
<file path=[Content_Types].xml><?xml version="1.0" encoding="utf-8"?>
<Types xmlns="http://schemas.openxmlformats.org/package/2006/content-types">
  <Default Extension="png" ContentType="image/png"/>
  <Default Extension="jpeg" ContentType="image/jpeg"/>
  <Default Extension="wmf" ContentType="image/x-wmf"/>
  <Default Extension="xml" ContentType="application/xml"/>
  <Default Extension="rels" ContentType="application/vnd.openxmlformats-package.relationships+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media/image1.jpeg" ContentType="image/jpeg"/>
  <Override PartName="/word/media/image4.wmf" ContentType="image/x-wmf"/>
  <Override PartName="/word/theme/theme1.xml" ContentType="application/vnd.openxmlformats-officedocument.theme+xml"/>
  <Override PartName="/word/footer1.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media/image6.png" ContentType="image/png"/>
  <Override PartName="/word/media/image5.png" ContentType="image/png"/>
  <Override PartName="/docProps/custom.xml" ContentType="application/vnd.openxmlformats-officedocument.custom-properties+xml"/>
  <Override PartName="/word/media/image4.png" ContentType="image/png"/>
  <Override PartName="/word/media/image3.png" ContentType="image/png"/>
  <Override PartName="/word/media/image7.png" ContentType="image/png"/>
  <Override PartName="/word/media/image1.wmf" ContentType="image/x-wmf"/>
  <Override PartName="/word/media/image1.png" ContentType="image/png"/>
  <Override PartName="/word/media/image5.jpeg" ContentType="image/jpeg"/>
  <Override PartName="/word/header1.xml" ContentType="application/vnd.openxmlformats-officedocument.wordprocessingml.header+xml"/>
  <Override PartName="/word/media/image11.png" ContentType="image/png"/>
  <Override PartName="/word/media/image12.png" ContentType="image/png"/>
  <Override PartName="/word/footer4.xml" ContentType="application/vnd.openxmlformats-officedocument.wordprocessingml.footer+xml"/>
  <Override PartName="/word/media/image2.png" ContentType="image/png"/>
  <Override PartName="/word/media/image6.jpeg" ContentType="image/jpeg"/>
  <Override PartName="/word/fontTable.xml" ContentType="application/vnd.openxmlformats-officedocument.wordprocessingml.fontTable+xml"/>
  <Override PartName="/word/media/image3.wmf" ContentType="image/x-wmf"/>
  <Override PartName="/word/media/image8.png" ContentType="image/png"/>
  <Override PartName="/word/media/image9.png" ContentType="image/png"/>
  <Override PartName="/docProps/core.xml" ContentType="application/vnd.openxmlformats-package.core-properties+xml"/>
  <Override PartName="/word/media/image3.jpeg" ContentType="image/jpeg"/>
  <Override PartName="/word/media/image4.jpeg" ContentType="image/jpeg"/>
  <Override PartName="/word/document.xml" ContentType="application/vnd.openxmlformats-officedocument.wordprocessingml.document.main+xml"/>
  <Override PartName="/word/media/image2.jpeg" ContentType="image/jpeg"/>
  <Override PartName="/word/media/image10.png" ContentType="image/png"/>
  <Override PartName="/word/media/image2.wmf" ContentType="image/x-wmf"/>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custom-properties" Target="docProps/custom.xml" /><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ps="http://schemas.microsoft.com/office/word/2010/wordprocessingShape" xmlns:wne="http://schemas.microsoft.com/office/word/2006/wordml" xmlns:wpg="http://schemas.microsoft.com/office/word/2010/wordprocessingGroup" xmlns:w15="http://schemas.microsoft.com/office/word/2012/wordml" xmlns:wpi="http://schemas.microsoft.com/office/word/2010/wordprocessingInk" xmlns:w10="urn:schemas-microsoft-com:office:word" xmlns:w14="http://schemas.microsoft.com/office/word/2010/wordml"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body>
    <w:p w14:paraId="49007E65">
      <w:pPr>
        <w:rPr>
          <w:color w:val="auto"/>
          <w:sz w:val="36"/>
          <w:szCs w:val="36"/>
          <w:rFonts w:eastAsia="FangSong_GB2312"/>
        </w:rPr>
      </w:pPr>
      <w:r>
        <w:rPr>
          <w:color w:val="auto"/>
          <w:sz w:val="36"/>
          <w:szCs w:val="36"/>
          <w:rFonts w:eastAsia="FangSong_GB2312"/>
        </w:rPr>
        <w:t xml:space="preserve"> </w:t>
      </w:r>
    </w:p>
    <w:p w14:paraId="30C49F0D">
      <w:pPr>
        <w:rPr>
          <w:color w:val="auto"/>
          <w:sz w:val="36"/>
          <w:szCs w:val="36"/>
          <w:rFonts w:eastAsia="FangSong_GB2312"/>
        </w:rPr>
      </w:pPr>
    </w:p>
    <w:p w14:paraId="221D776C">
      <w:pPr>
        <w:rPr>
          <w:color w:val="auto"/>
          <w:sz w:val="36"/>
          <w:szCs w:val="36"/>
          <w:rFonts w:eastAsia="FangSong_GB2312"/>
        </w:rPr>
      </w:pPr>
    </w:p>
    <w:p w14:paraId="420FA87F">
      <w:pPr>
        <w:adjustRightInd w:val="0"/>
        <w:snapToGrid w:val="0"/>
        <w:jc w:val="center"/>
        <w:outlineLvl w:val="0"/>
        <w:rPr>
          <w:color w:val="auto"/>
          <w:sz w:val="72"/>
          <w:bCs/>
          <w:szCs w:val="72"/>
          <w:rFonts w:eastAsia="方正小标宋_GBK"/>
        </w:rPr>
      </w:pPr>
      <w:bookmarkStart w:id="0" w:name="_Toc68775750"/>
      <w:r>
        <w:rPr>
          <w:color w:val="auto"/>
          <w:sz w:val="72"/>
          <w:bCs/>
          <w:szCs w:val="72"/>
          <w:rFonts w:eastAsia="方正小标宋_GBK"/>
        </w:rPr>
        <w:t>建设项目环境影响报告表</w:t>
      </w:r>
      <w:bookmarkEnd w:id="0"/>
    </w:p>
    <w:p w14:paraId="79C8DFC0">
      <w:pPr>
        <w:adjustRightInd w:val="0"/>
        <w:snapToGrid w:val="0"/>
        <w:jc w:val="center"/>
        <w:spacing w:beforeLines="80"/>
        <w:rPr>
          <w:color w:val="auto"/>
          <w:sz w:val="48"/>
          <w:bCs/>
          <w:szCs w:val="48"/>
          <w:rFonts w:eastAsia="楷体_GB2312"/>
        </w:rPr>
      </w:pPr>
      <w:r>
        <w:rPr>
          <w:color w:val="auto"/>
          <w:sz w:val="48"/>
          <w:bCs/>
          <w:szCs w:val="48"/>
          <w:rFonts w:eastAsia="楷体_GB2312"/>
        </w:rPr>
        <w:t>（污染影响类）</w:t>
      </w:r>
    </w:p>
    <w:p w14:paraId="3970027B">
      <w:pPr>
        <w:rPr>
          <w:color w:val="auto"/>
          <w:kern w:val="44"/>
        </w:rPr>
      </w:pPr>
    </w:p>
    <w:p w14:paraId="19F5C647">
      <w:pPr>
        <w:jc w:val="center"/>
        <w:rPr>
          <w:color w:val="auto"/>
          <w:sz w:val="52"/>
          <w:szCs w:val="52"/>
          <w:rFonts w:eastAsia="仿宋"/>
        </w:rPr>
      </w:pPr>
    </w:p>
    <w:p w14:paraId="018091A2">
      <w:pPr>
        <w:ind w:firstLine="1040"/>
        <w:rPr>
          <w:color w:val="auto"/>
          <w:sz w:val="44"/>
          <w:szCs w:val="44"/>
          <w:rFonts w:eastAsia="仿宋"/>
        </w:rPr>
      </w:pPr>
    </w:p>
    <w:p w14:paraId="713DD766">
      <w:pPr>
        <w:ind w:firstLine="1040"/>
        <w:rPr>
          <w:color w:val="auto"/>
          <w:sz w:val="44"/>
          <w:szCs w:val="44"/>
          <w:rFonts w:eastAsia="仿宋"/>
        </w:rPr>
      </w:pPr>
    </w:p>
    <w:p w14:paraId="67E48378">
      <w:pPr>
        <w:ind w:firstLine="1040"/>
        <w:rPr>
          <w:color w:val="auto"/>
          <w:sz w:val="44"/>
          <w:szCs w:val="44"/>
          <w:rFonts w:eastAsia="仿宋"/>
        </w:rPr>
      </w:pPr>
    </w:p>
    <w:p w14:paraId="7C81D332">
      <w:pPr>
        <w:ind w:firstLine="1040"/>
        <w:rPr>
          <w:color w:val="auto"/>
          <w:sz w:val="44"/>
          <w:szCs w:val="44"/>
          <w:rFonts w:eastAsia="仿宋"/>
        </w:rPr>
      </w:pPr>
    </w:p>
    <w:p w14:paraId="7E32B035">
      <w:pPr>
        <w:ind w:firstLine="1040"/>
        <w:rPr>
          <w:color w:val="auto"/>
          <w:sz w:val="44"/>
          <w:szCs w:val="44"/>
          <w:rFonts w:eastAsia="仿宋"/>
        </w:rPr>
      </w:pPr>
      <w:bookmarkStart w:id="23" w:name="_GoBack"/>
      <w:bookmarkEnd w:id="23"/>
    </w:p>
    <w:p w14:paraId="15EADCDC">
      <w:pPr>
        <w:adjustRightInd w:val="0"/>
        <w:snapToGrid w:val="0"/>
        <w:spacing w:line="288" w:lineRule="auto"/>
        <w:ind w:hanging="1440" w:hangingChars="450" w:left="1847" w:leftChars="194"/>
        <w:rPr>
          <w:u w:val="single"/>
          <w:color w:val="auto"/>
          <w:spacing w:val="-20"/>
          <w:sz w:val="36"/>
          <w:szCs w:val="36"/>
          <w:rFonts w:eastAsiaTheme="minorEastAsia"/>
        </w:rPr>
      </w:pPr>
      <w:r>
        <w:rPr>
          <w:color w:val="auto"/>
          <w:spacing w:val="-20"/>
          <w:sz w:val="36"/>
          <w:szCs w:val="36"/>
          <w:rFonts w:eastAsiaTheme="minorEastAsia"/>
        </w:rPr>
        <w:t>项目名称：</w:t>
      </w:r>
      <w:r>
        <w:rPr>
          <w:u w:val="single"/>
          <w:color w:val="auto"/>
          <w:sz w:val="36"/>
          <w:lang w:eastAsia="zh-CN"/>
          <w:szCs w:val="36"/>
          <w:rFonts w:hint="eastAsia" w:eastAsiaTheme="minorEastAsia"/>
        </w:rPr>
        <w:t>G1111鹤哈高速公路苔青至伊春段A2合同段沥青砼拌合站建设项目</w:t>
      </w:r>
      <w:r>
        <w:rPr>
          <w:u w:val="single"/>
          <w:color w:val="auto"/>
          <w:sz w:val="36"/>
          <w:szCs w:val="36"/>
        </w:rPr>
        <w:t xml:space="preserve">                </w:t>
      </w:r>
      <w:r>
        <w:rPr>
          <w:u w:val="single"/>
          <w:color w:val="auto"/>
          <w:sz w:val="36"/>
          <w:szCs w:val="36"/>
          <w:rFonts w:hint="eastAsia"/>
        </w:rPr>
        <w:t xml:space="preserve"> </w:t>
      </w:r>
    </w:p>
    <w:p w14:paraId="2A9A28CC">
      <w:pPr>
        <w:adjustRightInd w:val="0"/>
        <w:snapToGrid w:val="0"/>
        <w:spacing w:line="288" w:lineRule="auto"/>
        <w:ind w:firstLine="320" w:firstLineChars="100"/>
        <w:rPr>
          <w:u w:val="single"/>
          <w:color w:val="auto"/>
          <w:spacing w:val="-20"/>
          <w:sz w:val="36"/>
          <w:szCs w:val="36"/>
          <w:rFonts w:eastAsiaTheme="minorEastAsia"/>
        </w:rPr>
      </w:pPr>
      <w:r>
        <w:rPr>
          <w:color w:val="auto"/>
          <w:spacing w:val="-20"/>
          <w:sz w:val="36"/>
          <w:szCs w:val="36"/>
          <w:rFonts w:eastAsiaTheme="minorEastAsia"/>
        </w:rPr>
        <w:t>建设单位（盖章）：</w:t>
      </w:r>
      <w:r>
        <w:rPr>
          <w:u w:val="single"/>
          <w:color w:val="auto"/>
          <w:sz w:val="36"/>
          <w:lang w:eastAsia="zh-CN"/>
          <w:szCs w:val="36"/>
          <w:rFonts w:hint="eastAsia" w:eastAsiaTheme="minorEastAsia"/>
        </w:rPr>
        <w:t>黑龙江农垦建工路桥有限公司G1111鹤哈高速公路苔青至伊春段A2合同段项目经理部</w:t>
      </w:r>
    </w:p>
    <w:p w14:paraId="7BBB420C">
      <w:pPr>
        <w:adjustRightInd w:val="0"/>
        <w:snapToGrid w:val="0"/>
        <w:spacing w:line="288" w:lineRule="auto"/>
        <w:ind w:firstLine="360" w:firstLineChars="100"/>
        <w:rPr>
          <w:u w:val="single"/>
          <w:color w:val="auto"/>
          <w:sz w:val="36"/>
          <w:szCs w:val="36"/>
          <w:rFonts w:eastAsiaTheme="minorEastAsia"/>
        </w:rPr>
      </w:pPr>
      <w:r>
        <w:rPr>
          <w:color w:val="auto"/>
          <w:sz w:val="36"/>
          <w:szCs w:val="36"/>
          <w:rFonts w:eastAsiaTheme="minorEastAsia"/>
        </w:rPr>
        <w:t>编制日期：</w:t>
      </w:r>
      <w:r>
        <w:rPr>
          <w:u w:val="single"/>
          <w:color w:val="auto"/>
          <w:sz w:val="36"/>
          <w:szCs w:val="36"/>
          <w:rFonts w:eastAsiaTheme="minorEastAsia"/>
        </w:rPr>
        <w:t xml:space="preserve">     </w:t>
      </w:r>
      <w:r>
        <w:rPr>
          <w:u w:val="single"/>
          <w:color w:val="auto"/>
          <w:sz w:val="36"/>
          <w:szCs w:val="36"/>
          <w:rFonts w:hint="eastAsia" w:eastAsiaTheme="minorEastAsia"/>
        </w:rPr>
        <w:t xml:space="preserve">  </w:t>
      </w:r>
      <w:r>
        <w:rPr>
          <w:u w:val="single"/>
          <w:color w:val="auto"/>
          <w:sz w:val="36"/>
          <w:szCs w:val="36"/>
          <w:rFonts w:eastAsiaTheme="minorEastAsia"/>
        </w:rPr>
        <w:t xml:space="preserve">      202</w:t>
      </w:r>
      <w:r>
        <w:rPr>
          <w:u w:val="single"/>
          <w:color w:val="auto"/>
          <w:sz w:val="36"/>
          <w:szCs w:val="36"/>
          <w:rFonts w:hint="eastAsia" w:eastAsiaTheme="minorEastAsia"/>
        </w:rPr>
        <w:t>4</w:t>
      </w:r>
      <w:r>
        <w:rPr>
          <w:u w:val="single"/>
          <w:color w:val="auto"/>
          <w:sz w:val="36"/>
          <w:szCs w:val="36"/>
          <w:rFonts w:eastAsiaTheme="minorEastAsia"/>
        </w:rPr>
        <w:t>年</w:t>
      </w:r>
      <w:r>
        <w:rPr>
          <w:u w:val="single"/>
          <w:color w:val="auto"/>
          <w:sz w:val="36"/>
          <w:lang w:val="en-US" w:eastAsia="zh-CN"/>
          <w:szCs w:val="36"/>
          <w:rFonts w:hint="eastAsia" w:eastAsiaTheme="minorEastAsia"/>
        </w:rPr>
        <w:t>10</w:t>
      </w:r>
      <w:r>
        <w:rPr>
          <w:u w:val="single"/>
          <w:color w:val="auto"/>
          <w:sz w:val="36"/>
          <w:szCs w:val="36"/>
          <w:rFonts w:eastAsiaTheme="minorEastAsia"/>
        </w:rPr>
        <w:t xml:space="preserve">月   </w:t>
      </w:r>
      <w:r>
        <w:rPr>
          <w:u w:val="single"/>
          <w:color w:val="auto"/>
          <w:sz w:val="36"/>
          <w:szCs w:val="36"/>
          <w:rFonts w:hint="eastAsia" w:eastAsiaTheme="minorEastAsia"/>
        </w:rPr>
        <w:t xml:space="preserve">  </w:t>
      </w:r>
      <w:r>
        <w:rPr>
          <w:u w:val="single"/>
          <w:color w:val="auto"/>
          <w:sz w:val="36"/>
          <w:szCs w:val="36"/>
          <w:rFonts w:eastAsiaTheme="minorEastAsia"/>
        </w:rPr>
        <w:t xml:space="preserve">  </w:t>
      </w:r>
      <w:r>
        <w:rPr>
          <w:u w:val="single"/>
          <w:color w:val="auto"/>
          <w:sz w:val="36"/>
          <w:szCs w:val="36"/>
          <w:rFonts w:hint="eastAsia" w:eastAsiaTheme="minorEastAsia"/>
        </w:rPr>
        <w:t xml:space="preserve">  </w:t>
      </w:r>
      <w:r>
        <w:rPr>
          <w:u w:val="single"/>
          <w:color w:val="auto"/>
          <w:sz w:val="36"/>
          <w:szCs w:val="36"/>
          <w:rFonts w:eastAsiaTheme="minorEastAsia"/>
        </w:rPr>
        <w:t xml:space="preserve">     </w:t>
      </w:r>
    </w:p>
    <w:p w14:paraId="22FA59A4">
      <w:pPr>
        <w:adjustRightInd w:val="0"/>
        <w:snapToGrid w:val="0"/>
        <w:spacing w:line="288" w:lineRule="auto"/>
        <w:ind w:firstLine="1040"/>
        <w:rPr>
          <w:color w:val="auto"/>
          <w:sz w:val="36"/>
          <w:szCs w:val="36"/>
          <w:rFonts w:eastAsia="FangSong_GB2312"/>
        </w:rPr>
      </w:pPr>
    </w:p>
    <w:p w14:paraId="7E433C27">
      <w:pPr>
        <w:adjustRightInd w:val="0"/>
        <w:snapToGrid w:val="0"/>
        <w:spacing w:line="288" w:lineRule="auto"/>
        <w:ind w:firstLine="1040"/>
        <w:rPr>
          <w:color w:val="auto"/>
          <w:sz w:val="36"/>
          <w:szCs w:val="36"/>
          <w:rFonts w:eastAsia="FangSong_GB2312"/>
        </w:rPr>
      </w:pPr>
    </w:p>
    <w:p w14:paraId="5CEF97E3">
      <w:pPr>
        <w:adjustRightInd w:val="0"/>
        <w:snapToGrid w:val="0"/>
        <w:spacing w:line="288" w:lineRule="auto"/>
        <w:rPr>
          <w:color w:val="auto"/>
          <w:sz w:val="36"/>
          <w:szCs w:val="36"/>
          <w:rFonts w:eastAsia="FangSong_GB2312"/>
        </w:rPr>
      </w:pPr>
    </w:p>
    <w:p w14:paraId="06399069">
      <w:pPr>
        <w:adjustRightInd w:val="0"/>
        <w:snapToGrid w:val="0"/>
        <w:jc w:val="center"/>
        <w:spacing w:line="288" w:lineRule="auto"/>
        <w:rPr>
          <w:color w:val="auto"/>
          <w:sz w:val="36"/>
          <w:szCs w:val="36"/>
        </w:rPr>
      </w:pPr>
      <w:r>
        <w:rPr>
          <w:color w:val="auto"/>
          <w:sz w:val="36"/>
          <w:szCs w:val="36"/>
        </w:rPr>
        <w:t>中华人民共和国生态环境部制</w:t>
      </w:r>
    </w:p>
    <w:p w14:paraId="0DC36E9F">
      <w:pPr>
        <w:adjustRightInd w:val="0"/>
        <w:snapToGrid w:val="0"/>
        <w:jc w:val="center"/>
        <w:spacing w:line="288" w:lineRule="auto"/>
        <w:rPr>
          <w:color w:val="auto"/>
          <w:sz w:val="36"/>
          <w:szCs w:val="36"/>
        </w:rPr>
      </w:pPr>
    </w:p>
    <w:p w14:paraId="18CD0125">
      <w:pPr>
        <w:adjustRightInd w:val="0"/>
        <w:snapToGrid w:val="0"/>
        <w:spacing w:line="288" w:lineRule="auto"/>
        <w:rPr>
          <w:color w:val="auto"/>
          <w:sz w:val="36"/>
          <w:szCs w:val="36"/>
          <w:rFonts w:eastAsiaTheme="minorEastAsia"/>
        </w:rPr>
      </w:pPr>
    </w:p>
    <w:p w14:paraId="550DAFAF">
      <w:pPr>
        <w:adjustRightInd w:val="0"/>
        <w:snapToGrid w:val="0"/>
        <w:spacing w:line="288" w:lineRule="auto"/>
        <w:rPr>
          <w:color w:val="auto"/>
          <w:sz w:val="36"/>
          <w:szCs w:val="36"/>
          <w:rFonts w:eastAsiaTheme="minorEastAsia"/>
        </w:rPr>
      </w:pPr>
    </w:p>
    <w:p w14:paraId="0908E288">
      <w:pPr>
        <w:adjustRightInd w:val="0"/>
        <w:snapToGrid w:val="0"/>
        <w:spacing w:line="288" w:lineRule="auto"/>
        <w:rPr>
          <w:color w:val="auto"/>
          <w:sz w:val="36"/>
          <w:szCs w:val="36"/>
          <w:rFonts w:eastAsiaTheme="minorEastAsia"/>
        </w:rPr>
        <w:sectPr>
          <w:footerReference r:id="rId5" w:type="default"/>
          <w:footerReference r:id="rId6" w:type="even"/>
          <w:docGrid w:type="default" w:linePitch="312" w:charSpace="0"/>
          <w:pgSz w:w="11906" w:h="16838"/>
          <w:pgMar w:top="1701" w:right="1531" w:bottom="1701" w:left="1531" w:header="851" w:footer="1077" w:gutter="0"/>
          <w:pgNumType w:start="3"/>
          <w:pgBorders>
            <w:top w:val="none" w:sz="0" w:space="0"/>
            <w:left w:val="none" w:sz="0" w:space="0"/>
            <w:bottom w:val="none" w:sz="0" w:space="0"/>
            <w:right w:val="none" w:sz="0" w:space="0"/>
          </w:pgBorders>
          <w:pgBorders>
            <w:top w:val="none" w:sz="0" w:space="0"/>
            <w:left w:val="none" w:sz="0" w:space="0"/>
            <w:bottom w:val="none" w:sz="0" w:space="0"/>
            <w:right w:val="none" w:sz="0" w:space="0"/>
          </w:pgBorders>
          <w:pgNumType w:start="3"/>
          <w:cols w:space="720" w:num="1"/>
        </w:sectPr>
      </w:pPr>
    </w:p>
    <w:p w14:paraId="63983684">
      <w:pPr>
        <w:pStyle w:val="22"/>
        <w:jc w:val="center"/>
        <w:contextualSpacing/>
        <w:outlineLvl w:val="0"/>
        <w:spacing w:after="0" w:afterAutospacing="0" w:before="0" w:beforeAutospacing="0" w:line="360" w:lineRule="auto"/>
        <w:rPr>
          <w:color w:val="auto"/>
          <w:szCs w:val="24"/>
          <w:rFonts w:ascii="Times New Roman" w:hAnsi="Times New Roman"/>
        </w:rPr>
      </w:pPr>
      <w:bookmarkStart w:id="2" w:name="_Toc68775751"/>
      <w:r>
        <w:rPr>
          <w:color w:val="auto"/>
          <w:sz w:val="30"/>
          <w:szCs w:val="30"/>
          <w:rFonts w:ascii="Times New Roman" w:hAnsi="Times New Roman" w:eastAsia="黑体"/>
        </w:rPr>
        <w:t>目   录</w:t>
      </w:r>
      <w:bookmarkEnd w:id="2"/>
      <w:r>
        <w:rPr>
          <w:color w:val="auto"/>
          <w:kern w:val="2"/>
          <w:szCs w:val="24"/>
          <w:rFonts w:ascii="Times New Roman" w:hAnsi="Times New Roman"/>
        </w:rPr>
        <w:fldChar w:fldCharType="begin"/>
      </w:r>
      <w:r>
        <w:rPr>
          <w:color w:val="auto"/>
          <w:kern w:val="2"/>
          <w:szCs w:val="24"/>
          <w:rFonts w:ascii="Times New Roman" w:hAnsi="Times New Roman"/>
        </w:rPr>
        <w:instrText xml:space="preserve"> TOC \o "1-3" \h \z \u </w:instrText>
      </w:r>
      <w:r>
        <w:rPr>
          <w:color w:val="auto"/>
          <w:kern w:val="2"/>
          <w:szCs w:val="24"/>
          <w:rFonts w:ascii="Times New Roman" w:hAnsi="Times New Roman"/>
        </w:rPr>
        <w:fldChar w:fldCharType="separate"/>
      </w:r>
    </w:p>
    <w:p w14:paraId="03D6FF35">
      <w:pPr>
        <w:pStyle w:val="18"/>
        <w:contextualSpacing/>
        <w:tabs>
          <w:tab w:val="right" w:leader="dot" w:pos="8834"/>
        </w:tabs>
        <w:spacing w:line="360" w:lineRule="auto"/>
        <w:rPr>
          <w:color w:val="auto"/>
          <w:sz w:val="24"/>
        </w:rPr>
      </w:pPr>
      <w:r>
        <w:rPr>
          <w:color w:val="auto"/>
        </w:rPr>
        <w:fldChar w:fldCharType="begin"/>
      </w:r>
      <w:r>
        <w:rPr>
          <w:color w:val="auto"/>
        </w:rPr>
        <w:instrText xml:space="preserve"> HYPERLINK \l "_Toc68775752" </w:instrText>
      </w:r>
      <w:r>
        <w:rPr>
          <w:color w:val="auto"/>
        </w:rPr>
        <w:fldChar w:fldCharType="separate"/>
      </w:r>
      <w:r>
        <w:rPr>
          <w:rStyle w:val="32"/>
          <w:color w:val="auto"/>
          <w:sz w:val="24"/>
        </w:rPr>
        <w:t>一、建设项目基本情况</w:t>
      </w:r>
      <w:r>
        <w:tab/>
        <w:rPr>
          <w:color w:val="auto"/>
          <w:sz w:val="24"/>
        </w:rPr>
      </w:r>
      <w:r>
        <w:rPr>
          <w:color w:val="auto"/>
          <w:sz w:val="24"/>
        </w:rPr>
        <w:fldChar w:fldCharType="begin"/>
      </w:r>
      <w:r>
        <w:rPr>
          <w:color w:val="auto"/>
          <w:sz w:val="24"/>
        </w:rPr>
        <w:instrText xml:space="preserve"> PAGEREF _Toc68775752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14:paraId="69DF79FF">
      <w:pPr>
        <w:pStyle w:val="18"/>
        <w:contextualSpacing/>
        <w:tabs>
          <w:tab w:val="right" w:leader="dot" w:pos="8834"/>
        </w:tabs>
        <w:spacing w:line="360" w:lineRule="auto"/>
        <w:rPr>
          <w:color w:val="auto"/>
          <w:sz w:val="24"/>
        </w:rPr>
      </w:pPr>
      <w:r>
        <w:rPr>
          <w:color w:val="auto"/>
        </w:rPr>
        <w:fldChar w:fldCharType="begin"/>
      </w:r>
      <w:r>
        <w:rPr>
          <w:color w:val="auto"/>
        </w:rPr>
        <w:instrText xml:space="preserve"> HYPERLINK \l "_Toc68775753" </w:instrText>
      </w:r>
      <w:r>
        <w:rPr>
          <w:color w:val="auto"/>
        </w:rPr>
        <w:fldChar w:fldCharType="separate"/>
      </w:r>
      <w:r>
        <w:rPr>
          <w:rStyle w:val="32"/>
          <w:color w:val="auto"/>
          <w:sz w:val="24"/>
        </w:rPr>
        <w:t>二、建设项目工程分析</w:t>
      </w:r>
      <w:r>
        <w:tab/>
        <w:rPr>
          <w:color w:val="auto"/>
          <w:sz w:val="24"/>
        </w:rPr>
      </w:r>
      <w:r>
        <w:rPr>
          <w:color w:val="auto"/>
          <w:sz w:val="24"/>
        </w:rPr>
        <w:fldChar w:fldCharType="begin"/>
      </w:r>
      <w:r>
        <w:rPr>
          <w:color w:val="auto"/>
          <w:sz w:val="24"/>
        </w:rPr>
        <w:instrText xml:space="preserve"> PAGEREF _Toc68775753 \h </w:instrText>
      </w:r>
      <w:r>
        <w:rPr>
          <w:color w:val="auto"/>
          <w:sz w:val="24"/>
        </w:rPr>
        <w:fldChar w:fldCharType="separate"/>
      </w:r>
      <w:r>
        <w:rPr>
          <w:color w:val="auto"/>
          <w:sz w:val="24"/>
        </w:rPr>
        <w:t>12</w:t>
      </w:r>
      <w:r>
        <w:rPr>
          <w:color w:val="auto"/>
          <w:sz w:val="24"/>
        </w:rPr>
        <w:fldChar w:fldCharType="end"/>
      </w:r>
      <w:r>
        <w:rPr>
          <w:color w:val="auto"/>
          <w:sz w:val="24"/>
        </w:rPr>
        <w:fldChar w:fldCharType="end"/>
      </w:r>
    </w:p>
    <w:p w14:paraId="3833DB8A">
      <w:pPr>
        <w:pStyle w:val="18"/>
        <w:contextualSpacing/>
        <w:tabs>
          <w:tab w:val="right" w:leader="dot" w:pos="8834"/>
        </w:tabs>
        <w:spacing w:line="360" w:lineRule="auto"/>
        <w:rPr>
          <w:color w:val="auto"/>
          <w:sz w:val="24"/>
        </w:rPr>
      </w:pPr>
      <w:r>
        <w:rPr>
          <w:color w:val="auto"/>
        </w:rPr>
        <w:fldChar w:fldCharType="begin"/>
      </w:r>
      <w:r>
        <w:rPr>
          <w:color w:val="auto"/>
        </w:rPr>
        <w:instrText xml:space="preserve"> HYPERLINK \l "_Toc68775754" </w:instrText>
      </w:r>
      <w:r>
        <w:rPr>
          <w:color w:val="auto"/>
        </w:rPr>
        <w:fldChar w:fldCharType="separate"/>
      </w:r>
      <w:r>
        <w:rPr>
          <w:rStyle w:val="32"/>
          <w:color w:val="auto"/>
          <w:sz w:val="24"/>
        </w:rPr>
        <w:t>三、区域环境质量现状、环境保护目标及评价标准</w:t>
      </w:r>
      <w:r>
        <w:tab/>
        <w:rPr>
          <w:color w:val="auto"/>
          <w:sz w:val="24"/>
        </w:rPr>
      </w:r>
      <w:r>
        <w:rPr>
          <w:color w:val="auto"/>
          <w:sz w:val="24"/>
        </w:rPr>
        <w:fldChar w:fldCharType="begin"/>
      </w:r>
      <w:r>
        <w:rPr>
          <w:color w:val="auto"/>
          <w:sz w:val="24"/>
        </w:rPr>
        <w:instrText xml:space="preserve"> PAGEREF _Toc68775754 \h </w:instrText>
      </w:r>
      <w:r>
        <w:rPr>
          <w:color w:val="auto"/>
          <w:sz w:val="24"/>
        </w:rPr>
        <w:fldChar w:fldCharType="separate"/>
      </w:r>
      <w:r>
        <w:rPr>
          <w:color w:val="auto"/>
          <w:sz w:val="24"/>
        </w:rPr>
        <w:t>22</w:t>
      </w:r>
      <w:r>
        <w:rPr>
          <w:color w:val="auto"/>
          <w:sz w:val="24"/>
        </w:rPr>
        <w:fldChar w:fldCharType="end"/>
      </w:r>
      <w:r>
        <w:rPr>
          <w:color w:val="auto"/>
          <w:sz w:val="24"/>
        </w:rPr>
        <w:fldChar w:fldCharType="end"/>
      </w:r>
    </w:p>
    <w:p w14:paraId="5A989A96">
      <w:pPr>
        <w:pStyle w:val="18"/>
        <w:contextualSpacing/>
        <w:tabs>
          <w:tab w:val="right" w:leader="dot" w:pos="8834"/>
        </w:tabs>
        <w:spacing w:line="360" w:lineRule="auto"/>
        <w:rPr>
          <w:color w:val="auto"/>
          <w:sz w:val="24"/>
        </w:rPr>
      </w:pPr>
      <w:r>
        <w:rPr>
          <w:color w:val="auto"/>
        </w:rPr>
        <w:fldChar w:fldCharType="begin"/>
      </w:r>
      <w:r>
        <w:rPr>
          <w:color w:val="auto"/>
        </w:rPr>
        <w:instrText xml:space="preserve"> HYPERLINK \l "_Toc68775755" </w:instrText>
      </w:r>
      <w:r>
        <w:rPr>
          <w:color w:val="auto"/>
        </w:rPr>
        <w:fldChar w:fldCharType="separate"/>
      </w:r>
      <w:r>
        <w:rPr>
          <w:rStyle w:val="32"/>
          <w:color w:val="auto"/>
          <w:sz w:val="24"/>
        </w:rPr>
        <w:t>四、主要环境影响和保护措施</w:t>
      </w:r>
      <w:r>
        <w:tab/>
        <w:rPr>
          <w:color w:val="auto"/>
          <w:sz w:val="24"/>
        </w:rPr>
      </w:r>
      <w:r>
        <w:rPr>
          <w:color w:val="auto"/>
          <w:sz w:val="24"/>
          <w:rFonts w:hint="eastAsia"/>
        </w:rPr>
        <w:t>32</w:t>
      </w:r>
      <w:r>
        <w:rPr>
          <w:color w:val="auto"/>
          <w:sz w:val="24"/>
          <w:rFonts w:hint="eastAsia"/>
        </w:rPr>
        <w:fldChar w:fldCharType="end"/>
      </w:r>
    </w:p>
    <w:p w14:paraId="46F0CD9F">
      <w:pPr>
        <w:pStyle w:val="18"/>
        <w:contextualSpacing/>
        <w:tabs>
          <w:tab w:val="right" w:leader="dot" w:pos="8834"/>
        </w:tabs>
        <w:spacing w:line="360" w:lineRule="auto"/>
        <w:rPr>
          <w:color w:val="auto"/>
          <w:sz w:val="24"/>
        </w:rPr>
      </w:pPr>
      <w:r>
        <w:rPr>
          <w:color w:val="auto"/>
        </w:rPr>
        <w:fldChar w:fldCharType="begin"/>
      </w:r>
      <w:r>
        <w:rPr>
          <w:color w:val="auto"/>
        </w:rPr>
        <w:instrText xml:space="preserve"> HYPERLINK \l "_Toc68775756" </w:instrText>
      </w:r>
      <w:r>
        <w:rPr>
          <w:color w:val="auto"/>
        </w:rPr>
        <w:fldChar w:fldCharType="separate"/>
      </w:r>
      <w:r>
        <w:rPr>
          <w:rStyle w:val="32"/>
          <w:color w:val="auto"/>
          <w:sz w:val="24"/>
        </w:rPr>
        <w:t>五、环境保护措施监督检查清单</w:t>
      </w:r>
      <w:r>
        <w:tab/>
        <w:rPr>
          <w:color w:val="auto"/>
          <w:sz w:val="24"/>
        </w:rPr>
      </w:r>
      <w:r>
        <w:rPr>
          <w:color w:val="auto"/>
          <w:sz w:val="24"/>
        </w:rPr>
        <w:fldChar w:fldCharType="begin"/>
      </w:r>
      <w:r>
        <w:rPr>
          <w:color w:val="auto"/>
          <w:sz w:val="24"/>
        </w:rPr>
        <w:instrText xml:space="preserve"> PAGEREF _Toc68775756 \h </w:instrText>
      </w:r>
      <w:r>
        <w:rPr>
          <w:color w:val="auto"/>
          <w:sz w:val="24"/>
        </w:rPr>
        <w:fldChar w:fldCharType="separate"/>
      </w:r>
      <w:r>
        <w:rPr>
          <w:color w:val="auto"/>
          <w:sz w:val="24"/>
        </w:rPr>
        <w:t>52</w:t>
      </w:r>
      <w:r>
        <w:rPr>
          <w:color w:val="auto"/>
          <w:sz w:val="24"/>
        </w:rPr>
        <w:fldChar w:fldCharType="end"/>
      </w:r>
      <w:r>
        <w:rPr>
          <w:color w:val="auto"/>
          <w:sz w:val="24"/>
        </w:rPr>
        <w:fldChar w:fldCharType="end"/>
      </w:r>
    </w:p>
    <w:p w14:paraId="2AD67896">
      <w:pPr>
        <w:pStyle w:val="18"/>
        <w:contextualSpacing/>
        <w:tabs>
          <w:tab w:val="right" w:leader="dot" w:pos="8834"/>
        </w:tabs>
        <w:spacing w:line="360" w:lineRule="auto"/>
        <w:rPr>
          <w:color w:val="auto"/>
          <w:sz w:val="24"/>
        </w:rPr>
      </w:pPr>
      <w:r>
        <w:rPr>
          <w:color w:val="auto"/>
        </w:rPr>
        <w:fldChar w:fldCharType="begin"/>
      </w:r>
      <w:r>
        <w:rPr>
          <w:color w:val="auto"/>
        </w:rPr>
        <w:instrText xml:space="preserve"> HYPERLINK \l "_Toc68775757" </w:instrText>
      </w:r>
      <w:r>
        <w:rPr>
          <w:color w:val="auto"/>
        </w:rPr>
        <w:fldChar w:fldCharType="separate"/>
      </w:r>
      <w:r>
        <w:rPr>
          <w:rStyle w:val="32"/>
          <w:color w:val="auto"/>
          <w:sz w:val="24"/>
        </w:rPr>
        <w:t>六、结论</w:t>
      </w:r>
      <w:r>
        <w:tab/>
        <w:rPr>
          <w:color w:val="auto"/>
          <w:sz w:val="24"/>
        </w:rPr>
      </w:r>
      <w:r>
        <w:rPr>
          <w:color w:val="auto"/>
          <w:sz w:val="24"/>
          <w:rFonts w:hint="eastAsia"/>
        </w:rPr>
        <w:t>50</w:t>
      </w:r>
      <w:r>
        <w:rPr>
          <w:color w:val="auto"/>
          <w:sz w:val="24"/>
          <w:rFonts w:hint="eastAsia"/>
        </w:rPr>
        <w:fldChar w:fldCharType="end"/>
      </w:r>
    </w:p>
    <w:p w14:paraId="7A34391A">
      <w:pPr>
        <w:pStyle w:val="18"/>
        <w:contextualSpacing/>
        <w:tabs>
          <w:tab w:val="right" w:leader="dot" w:pos="8834"/>
        </w:tabs>
        <w:spacing w:line="360" w:lineRule="auto"/>
        <w:rPr>
          <w:color w:val="auto"/>
        </w:rPr>
      </w:pPr>
      <w:r>
        <w:rPr>
          <w:color w:val="auto"/>
        </w:rPr>
        <w:fldChar w:fldCharType="begin"/>
      </w:r>
      <w:r>
        <w:rPr>
          <w:color w:val="auto"/>
        </w:rPr>
        <w:instrText xml:space="preserve"> HYPERLINK \l "_Toc68775758" </w:instrText>
      </w:r>
      <w:r>
        <w:rPr>
          <w:color w:val="auto"/>
        </w:rPr>
        <w:fldChar w:fldCharType="separate"/>
      </w:r>
      <w:r>
        <w:rPr>
          <w:rStyle w:val="32"/>
          <w:color w:val="auto"/>
          <w:sz w:val="24"/>
        </w:rPr>
        <w:t>附表</w:t>
      </w:r>
      <w:r>
        <w:tab/>
        <w:rPr>
          <w:color w:val="auto"/>
          <w:sz w:val="24"/>
        </w:rPr>
      </w:r>
      <w:r>
        <w:rPr>
          <w:color w:val="auto"/>
          <w:sz w:val="24"/>
          <w:rFonts w:hint="eastAsia"/>
        </w:rPr>
        <w:t>51</w:t>
      </w:r>
      <w:r>
        <w:rPr>
          <w:color w:val="auto"/>
          <w:sz w:val="24"/>
          <w:rFonts w:hint="eastAsia"/>
        </w:rPr>
        <w:fldChar w:fldCharType="end"/>
      </w:r>
    </w:p>
    <w:p w14:paraId="6570D40D">
      <w:pPr>
        <w:pStyle w:val="18"/>
        <w:contextualSpacing/>
        <w:tabs>
          <w:tab w:val="right" w:leader="dot" w:pos="8834"/>
        </w:tabs>
        <w:spacing w:line="360" w:lineRule="auto"/>
        <w:rPr>
          <w:color w:val="auto"/>
        </w:rPr>
      </w:pPr>
      <w:r>
        <w:rPr>
          <w:color w:val="auto"/>
        </w:rPr>
        <w:fldChar w:fldCharType="begin"/>
      </w:r>
      <w:r>
        <w:rPr>
          <w:color w:val="auto"/>
        </w:rPr>
        <w:instrText xml:space="preserve"> HYPERLINK \l "_Toc68775758" </w:instrText>
      </w:r>
      <w:r>
        <w:rPr>
          <w:color w:val="auto"/>
        </w:rPr>
        <w:fldChar w:fldCharType="separate"/>
      </w:r>
      <w:r>
        <w:rPr>
          <w:rStyle w:val="32"/>
          <w:color w:val="auto"/>
          <w:sz w:val="24"/>
          <w:rFonts w:hint="eastAsia"/>
        </w:rPr>
        <w:t>大气</w:t>
      </w:r>
      <w:r>
        <w:rPr>
          <w:rStyle w:val="32"/>
          <w:color w:val="auto"/>
          <w:sz w:val="24"/>
        </w:rPr>
        <w:t>环境影响专项评价报告</w:t>
      </w:r>
      <w:r>
        <w:tab/>
        <w:rPr>
          <w:color w:val="auto"/>
          <w:sz w:val="24"/>
        </w:rPr>
      </w:r>
      <w:r>
        <w:rPr>
          <w:color w:val="auto"/>
          <w:sz w:val="24"/>
          <w:rFonts w:hint="eastAsia"/>
        </w:rPr>
        <w:t>52</w:t>
      </w:r>
      <w:r>
        <w:rPr>
          <w:color w:val="auto"/>
          <w:sz w:val="24"/>
          <w:rFonts w:hint="eastAsia"/>
        </w:rPr>
        <w:fldChar w:fldCharType="end"/>
      </w:r>
    </w:p>
    <w:p w14:paraId="7CFFEF9D">
      <w:pPr>
        <w:contextualSpacing/>
        <w:spacing w:line="360" w:lineRule="auto"/>
        <w:rPr>
          <w:color w:val="auto"/>
          <w:sz w:val="24"/>
        </w:rPr>
      </w:pPr>
      <w:r>
        <w:rPr>
          <w:color w:val="auto"/>
          <w:sz w:val="24"/>
        </w:rPr>
        <w:fldChar w:fldCharType="end"/>
      </w:r>
      <w:r>
        <w:rPr>
          <w:color w:val="auto"/>
          <w:sz w:val="24"/>
        </w:rPr>
        <w:t>附件1 营业执照</w:t>
      </w:r>
    </w:p>
    <w:p w14:paraId="54F15335">
      <w:pPr>
        <w:contextualSpacing/>
        <w:spacing w:line="360" w:lineRule="auto"/>
        <w:rPr>
          <w:color w:val="auto"/>
          <w:sz w:val="24"/>
          <w:lang w:val="en-US" w:eastAsia="zh-CN"/>
          <w:rFonts w:eastAsia="宋体" w:hint="default"/>
        </w:rPr>
      </w:pPr>
      <w:r>
        <w:rPr>
          <w:color w:val="auto"/>
          <w:sz w:val="24"/>
        </w:rPr>
        <w:t xml:space="preserve">附件2 </w:t>
      </w:r>
      <w:r>
        <w:rPr>
          <w:color w:val="auto"/>
          <w:sz w:val="24"/>
          <w:lang w:val="en-US" w:eastAsia="zh-CN"/>
          <w:rFonts w:hint="eastAsia"/>
        </w:rPr>
        <w:t>临时用地手续</w:t>
      </w:r>
    </w:p>
    <w:p w14:paraId="3A0FD9B6">
      <w:pPr>
        <w:contextualSpacing/>
        <w:spacing w:line="360" w:lineRule="auto"/>
        <w:rPr>
          <w:color w:val="auto"/>
          <w:sz w:val="24"/>
        </w:rPr>
      </w:pPr>
      <w:r>
        <w:rPr>
          <w:color w:val="auto"/>
          <w:sz w:val="24"/>
        </w:rPr>
        <w:t>附件</w:t>
      </w:r>
      <w:r>
        <w:rPr>
          <w:color w:val="auto"/>
          <w:sz w:val="24"/>
          <w:lang w:val="en-US" w:eastAsia="zh-CN"/>
          <w:rFonts w:hint="eastAsia"/>
        </w:rPr>
        <w:t>3</w:t>
      </w:r>
      <w:r>
        <w:rPr>
          <w:color w:val="auto"/>
          <w:sz w:val="24"/>
        </w:rPr>
        <w:t xml:space="preserve"> </w:t>
      </w:r>
      <w:r>
        <w:rPr>
          <w:color w:val="auto"/>
          <w:sz w:val="24"/>
          <w:rFonts w:hint="eastAsia"/>
        </w:rPr>
        <w:t>燃料分析报告</w:t>
      </w:r>
    </w:p>
    <w:p w14:paraId="630F402F">
      <w:pPr>
        <w:contextualSpacing/>
        <w:spacing w:line="360" w:lineRule="auto"/>
        <w:rPr>
          <w:color w:val="auto"/>
          <w:sz w:val="24"/>
        </w:rPr>
      </w:pPr>
      <w:r>
        <w:rPr>
          <w:color w:val="auto"/>
          <w:sz w:val="24"/>
        </w:rPr>
        <w:t>附件</w:t>
      </w:r>
      <w:r>
        <w:rPr>
          <w:color w:val="auto"/>
          <w:sz w:val="24"/>
          <w:lang w:val="en-US" w:eastAsia="zh-CN"/>
          <w:rFonts w:hint="eastAsia"/>
        </w:rPr>
        <w:t>4</w:t>
      </w:r>
      <w:r>
        <w:rPr>
          <w:color w:val="auto"/>
          <w:sz w:val="24"/>
        </w:rPr>
        <w:t xml:space="preserve"> </w:t>
      </w:r>
      <w:r>
        <w:rPr>
          <w:color w:val="auto"/>
          <w:sz w:val="24"/>
          <w:rFonts w:hint="eastAsia"/>
        </w:rPr>
        <w:t>现状检测报告</w:t>
      </w:r>
    </w:p>
    <w:p w14:paraId="5A821801">
      <w:pPr>
        <w:pStyle w:val="48"/>
        <w:adjustRightInd w:val="1"/>
        <w:snapToGrid w:val="1"/>
        <w:jc w:val="left"/>
        <w:contextualSpacing/>
        <w:spacing w:afterLines="0" w:beforeLines="0" w:line="360" w:lineRule="auto"/>
        <w:rPr>
          <w:color w:val="auto"/>
          <w:sz w:val="24"/>
          <w:rFonts w:ascii="Times New Roman"/>
        </w:rPr>
      </w:pPr>
      <w:r>
        <w:rPr>
          <w:color w:val="auto"/>
          <w:sz w:val="24"/>
          <w:rFonts w:ascii="Times New Roman"/>
        </w:rPr>
        <w:t>附图1 项目地理位置图</w:t>
      </w:r>
    </w:p>
    <w:p w14:paraId="282AFEEC">
      <w:pPr>
        <w:contextualSpacing/>
        <w:spacing w:line="360" w:lineRule="auto"/>
        <w:rPr>
          <w:color w:val="auto"/>
          <w:sz w:val="24"/>
        </w:rPr>
      </w:pPr>
      <w:r>
        <w:rPr>
          <w:color w:val="auto"/>
          <w:sz w:val="24"/>
        </w:rPr>
        <w:t>附图2 项目平面布置图</w:t>
      </w:r>
    </w:p>
    <w:p w14:paraId="754EE4E0">
      <w:pPr>
        <w:contextualSpacing/>
        <w:spacing w:line="360" w:lineRule="auto"/>
        <w:rPr>
          <w:color w:val="auto"/>
          <w:sz w:val="24"/>
        </w:rPr>
      </w:pPr>
      <w:r>
        <w:rPr>
          <w:color w:val="auto"/>
          <w:sz w:val="24"/>
        </w:rPr>
        <w:t>附图</w:t>
      </w:r>
      <w:r>
        <w:rPr>
          <w:color w:val="auto"/>
          <w:sz w:val="24"/>
          <w:rFonts w:hint="eastAsia"/>
        </w:rPr>
        <w:t xml:space="preserve">3 </w:t>
      </w:r>
      <w:r>
        <w:rPr>
          <w:color w:val="auto"/>
          <w:sz w:val="24"/>
        </w:rPr>
        <w:t>本项目四周情况</w:t>
      </w:r>
      <w:r>
        <w:rPr>
          <w:color w:val="auto"/>
          <w:sz w:val="24"/>
          <w:rFonts w:hint="eastAsia"/>
        </w:rPr>
        <w:t>图</w:t>
      </w:r>
    </w:p>
    <w:p w14:paraId="508FF2EC">
      <w:pPr>
        <w:contextualSpacing/>
        <w:spacing w:line="360" w:lineRule="auto"/>
        <w:rPr>
          <w:color w:val="auto"/>
          <w:sz w:val="24"/>
        </w:rPr>
        <w:sectPr>
          <w:footerReference r:id="rId7" w:type="default"/>
          <w:docGrid w:type="default" w:linePitch="312" w:charSpace="0"/>
          <w:pgSz w:w="11906" w:h="16838"/>
          <w:pgMar w:top="1701" w:right="1531" w:bottom="1701" w:left="1531" w:header="851" w:footer="1077" w:gutter="0"/>
          <w:pgNumType w:start="1"/>
          <w:pgBorders>
            <w:top w:val="none" w:sz="0" w:space="0"/>
            <w:left w:val="none" w:sz="0" w:space="0"/>
            <w:bottom w:val="none" w:sz="0" w:space="0"/>
            <w:right w:val="none" w:sz="0" w:space="0"/>
          </w:pgBorders>
          <w:pgBorders>
            <w:top w:val="none" w:sz="0" w:space="0"/>
            <w:left w:val="none" w:sz="0" w:space="0"/>
            <w:bottom w:val="none" w:sz="0" w:space="0"/>
            <w:right w:val="none" w:sz="0" w:space="0"/>
          </w:pgBorders>
          <w:pgNumType w:start="1"/>
          <w:cols w:space="720" w:num="1"/>
        </w:sectPr>
      </w:pPr>
    </w:p>
    <w:p w14:paraId="1EE7D91B">
      <w:pPr>
        <w:pStyle w:val="22"/>
        <w:jc w:val="center"/>
        <w:outlineLvl w:val="0"/>
        <w:rPr>
          <w:color w:val="auto"/>
          <w:sz w:val="30"/>
          <w:szCs w:val="30"/>
          <w:rFonts w:ascii="Times New Roman" w:hAnsi="Times New Roman" w:eastAsia="黑体"/>
        </w:rPr>
      </w:pPr>
      <w:bookmarkStart w:id="3" w:name="_Toc68775752"/>
      <w:r>
        <w:rPr>
          <w:color w:val="auto"/>
          <w:sz w:val="30"/>
          <w:szCs w:val="30"/>
          <w:rFonts w:ascii="Times New Roman" w:hAnsi="Times New Roman" w:eastAsia="黑体"/>
        </w:rPr>
        <w:t>一、建设项目基本情况</w:t>
      </w:r>
      <w:bookmarkEnd w:id="3"/>
    </w:p>
    <w:tbl>
      <w:tblPr>
        <w:tblStyle w:val="27"/>
        <w:tblW w:w="9368" w:type="dxa"/>
        <w:jc w:val="center"/>
        <w:tblLayout w:type="fixed"/>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
      <w:tblGrid>
        <w:gridCol w:w="2496.000000"/>
        <w:gridCol w:w="1879.000000"/>
        <w:gridCol w:w="562.000000"/>
        <w:gridCol w:w="1650.000000"/>
        <w:gridCol w:w="303.000000"/>
        <w:gridCol w:w="2478.000000"/>
      </w:tblGrid>
      <w:tr w14:paraId="7CE8B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44" w:hRule="atLeast"/>
          <w:jc w:val="center"/>
        </w:trPr>
        <w:tc>
          <w:tcPr>
            <w:tcW w:w="2496" w:type="dxa"/>
            <w:vAlign w:val="center"/>
            <w:tcMar>
              <w:top w:type="dxa" w:w="16.000000"/>
              <w:left w:type="dxa" w:w="16.000000"/>
              <w:right w:type="dxa" w:w="16.000000"/>
            </w:tcMar>
          </w:tcPr>
          <w:p w14:paraId="1BE9D568">
            <w:pPr>
              <w:adjustRightInd w:val="0"/>
              <w:snapToGrid w:val="0"/>
              <w:jc w:val="center"/>
              <w:rPr>
                <w:color w:val="auto"/>
                <w:sz w:val="24"/>
              </w:rPr>
            </w:pPr>
            <w:r>
              <w:rPr>
                <w:color w:val="auto"/>
                <w:sz w:val="24"/>
              </w:rPr>
              <w:t>建设项目名称</w:t>
            </w:r>
          </w:p>
        </w:tc>
        <w:tc>
          <w:tcPr>
            <w:tcW w:w="6872" w:type="dxa"/>
            <w:gridSpan w:val="5"/>
            <w:vAlign w:val="center"/>
          </w:tcPr>
          <w:p w14:paraId="3A14D3CE">
            <w:pPr>
              <w:adjustRightInd w:val="0"/>
              <w:snapToGrid w:val="0"/>
              <w:jc w:val="center"/>
              <w:rPr>
                <w:color w:val="auto"/>
                <w:sz w:val="24"/>
                <w:lang w:eastAsia="zh-CN"/>
                <w:rFonts w:eastAsia="宋体" w:hint="eastAsia"/>
              </w:rPr>
            </w:pPr>
            <w:r>
              <w:rPr>
                <w:color w:val="auto"/>
                <w:sz w:val="24"/>
                <w:lang w:eastAsia="zh-CN"/>
                <w:rFonts w:hint="eastAsia"/>
              </w:rPr>
              <w:t>G1111鹤哈高速公路苔青至伊春段A2合同段沥青砼拌合站建设项目</w:t>
            </w:r>
          </w:p>
        </w:tc>
      </w:tr>
      <w:tr w14:paraId="08C69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54" w:hRule="atLeast"/>
          <w:jc w:val="center"/>
        </w:trPr>
        <w:tc>
          <w:tcPr>
            <w:tcW w:w="2496" w:type="dxa"/>
            <w:vAlign w:val="center"/>
            <w:tcMar>
              <w:top w:type="dxa" w:w="16.000000"/>
              <w:left w:type="dxa" w:w="16.000000"/>
              <w:right w:type="dxa" w:w="16.000000"/>
            </w:tcMar>
          </w:tcPr>
          <w:p w14:paraId="65EE873C">
            <w:pPr>
              <w:adjustRightInd w:val="0"/>
              <w:snapToGrid w:val="0"/>
              <w:jc w:val="center"/>
              <w:rPr>
                <w:color w:val="auto"/>
                <w:sz w:val="24"/>
              </w:rPr>
            </w:pPr>
            <w:r>
              <w:rPr>
                <w:color w:val="auto"/>
                <w:sz w:val="24"/>
              </w:rPr>
              <w:t>项目代码</w:t>
            </w:r>
          </w:p>
        </w:tc>
        <w:tc>
          <w:tcPr>
            <w:tcW w:w="6872" w:type="dxa"/>
            <w:gridSpan w:val="5"/>
            <w:vAlign w:val="center"/>
          </w:tcPr>
          <w:p w14:paraId="2C66B61B">
            <w:pPr>
              <w:adjustRightInd w:val="0"/>
              <w:snapToGrid w:val="0"/>
              <w:jc w:val="center"/>
              <w:rPr>
                <w:color w:val="auto"/>
                <w:sz w:val="24"/>
              </w:rPr>
            </w:pPr>
            <w:r>
              <w:rPr>
                <w:color w:val="auto"/>
                <w:sz w:val="24"/>
              </w:rPr>
              <w:t>无</w:t>
            </w:r>
          </w:p>
        </w:tc>
      </w:tr>
      <w:tr w14:paraId="434F5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347" w:hRule="atLeast"/>
          <w:jc w:val="center"/>
        </w:trPr>
        <w:tc>
          <w:tcPr>
            <w:tcW w:w="2496" w:type="dxa"/>
            <w:vAlign w:val="center"/>
            <w:tcMar>
              <w:top w:type="dxa" w:w="16.000000"/>
              <w:left w:type="dxa" w:w="16.000000"/>
              <w:right w:type="dxa" w:w="16.000000"/>
            </w:tcMar>
          </w:tcPr>
          <w:p w14:paraId="191693D0">
            <w:pPr>
              <w:adjustRightInd w:val="0"/>
              <w:snapToGrid w:val="0"/>
              <w:jc w:val="center"/>
              <w:rPr>
                <w:color w:val="auto"/>
                <w:sz w:val="24"/>
              </w:rPr>
            </w:pPr>
            <w:r>
              <w:rPr>
                <w:color w:val="auto"/>
                <w:sz w:val="24"/>
              </w:rPr>
              <w:t>建设单位联系人</w:t>
            </w:r>
          </w:p>
        </w:tc>
        <w:tc>
          <w:tcPr>
            <w:tcW w:w="1879" w:type="dxa"/>
            <w:vAlign w:val="center"/>
          </w:tcPr>
          <w:p w14:paraId="3ECB6C0A">
            <w:pPr>
              <w:adjustRightInd w:val="0"/>
              <w:snapToGrid w:val="0"/>
              <w:jc w:val="center"/>
              <w:rPr>
                <w:color w:val="auto"/>
                <w:sz w:val="24"/>
              </w:rPr>
            </w:pPr>
            <w:r>
              <w:rPr>
                <w:color w:val="auto"/>
                <w:sz w:val="24"/>
                <w:lang w:val="en-US" w:eastAsia="zh-CN"/>
                <w:szCs w:val="24"/>
                <w:rFonts w:hint="eastAsia"/>
              </w:rPr>
              <w:t>王海峰</w:t>
            </w:r>
          </w:p>
        </w:tc>
        <w:tc>
          <w:tcPr>
            <w:tcW w:w="2212" w:type="dxa"/>
            <w:gridSpan w:val="2"/>
            <w:vAlign w:val="center"/>
          </w:tcPr>
          <w:p w14:paraId="189087DD">
            <w:pPr>
              <w:adjustRightInd w:val="0"/>
              <w:snapToGrid w:val="0"/>
              <w:jc w:val="center"/>
              <w:rPr>
                <w:color w:val="auto"/>
                <w:sz w:val="24"/>
              </w:rPr>
            </w:pPr>
            <w:r>
              <w:rPr>
                <w:color w:val="auto"/>
                <w:sz w:val="24"/>
              </w:rPr>
              <w:t>联系方式</w:t>
            </w:r>
          </w:p>
        </w:tc>
        <w:tc>
          <w:tcPr>
            <w:tcW w:w="2781" w:type="dxa"/>
            <w:gridSpan w:val="2"/>
            <w:vAlign w:val="center"/>
          </w:tcPr>
          <w:p w14:paraId="502C17F7">
            <w:pPr>
              <w:adjustRightInd w:val="0"/>
              <w:snapToGrid w:val="0"/>
              <w:jc w:val="left"/>
              <w:rPr>
                <w:color w:val="auto"/>
                <w:sz w:val="24"/>
              </w:rPr>
            </w:pPr>
          </w:p>
        </w:tc>
      </w:tr>
      <w:tr w14:paraId="2BB90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54" w:hRule="atLeast"/>
          <w:jc w:val="center"/>
        </w:trPr>
        <w:tc>
          <w:tcPr>
            <w:tcW w:w="2496" w:type="dxa"/>
            <w:vAlign w:val="center"/>
            <w:tcMar>
              <w:top w:type="dxa" w:w="16.000000"/>
              <w:left w:type="dxa" w:w="16.000000"/>
              <w:right w:type="dxa" w:w="16.000000"/>
            </w:tcMar>
          </w:tcPr>
          <w:p w14:paraId="0CAE0E80">
            <w:pPr>
              <w:adjustRightInd w:val="0"/>
              <w:snapToGrid w:val="0"/>
              <w:jc w:val="center"/>
              <w:rPr>
                <w:color w:val="auto"/>
                <w:sz w:val="24"/>
              </w:rPr>
            </w:pPr>
            <w:r>
              <w:rPr>
                <w:color w:val="auto"/>
                <w:sz w:val="24"/>
              </w:rPr>
              <w:t>建设地点</w:t>
            </w:r>
          </w:p>
        </w:tc>
        <w:tc>
          <w:tcPr>
            <w:tcW w:w="6872" w:type="dxa"/>
            <w:gridSpan w:val="5"/>
            <w:vAlign w:val="center"/>
          </w:tcPr>
          <w:p w14:paraId="4EB50F58">
            <w:pPr>
              <w:adjustRightInd w:val="0"/>
              <w:snapToGrid w:val="0"/>
              <w:jc w:val="center"/>
              <w:rPr>
                <w:color w:val="auto"/>
                <w:sz w:val="24"/>
              </w:rPr>
            </w:pPr>
            <w:r>
              <w:rPr>
                <w:color w:val="auto"/>
                <w:sz w:val="24"/>
              </w:rPr>
              <w:t>黑龙江省</w:t>
            </w:r>
            <w:r>
              <w:rPr>
                <w:color w:val="auto"/>
                <w:sz w:val="24"/>
                <w:lang w:val="en-US" w:eastAsia="zh-CN"/>
                <w:szCs w:val="24"/>
                <w:rFonts w:hint="eastAsia"/>
              </w:rPr>
              <w:t>伊春市伊美区伊东林场</w:t>
            </w:r>
          </w:p>
        </w:tc>
      </w:tr>
      <w:tr w14:paraId="6DEB1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54" w:hRule="atLeast"/>
          <w:jc w:val="center"/>
        </w:trPr>
        <w:tc>
          <w:tcPr>
            <w:tcW w:w="2496" w:type="dxa"/>
            <w:vAlign w:val="center"/>
            <w:tcMar>
              <w:top w:type="dxa" w:w="16.000000"/>
              <w:left w:type="dxa" w:w="16.000000"/>
              <w:right w:type="dxa" w:w="16.000000"/>
            </w:tcMar>
          </w:tcPr>
          <w:p w14:paraId="0FB90E85">
            <w:pPr>
              <w:adjustRightInd w:val="0"/>
              <w:snapToGrid w:val="0"/>
              <w:jc w:val="center"/>
              <w:rPr>
                <w:color w:val="auto"/>
                <w:sz w:val="24"/>
              </w:rPr>
            </w:pPr>
            <w:r>
              <w:rPr>
                <w:color w:val="auto"/>
                <w:sz w:val="24"/>
              </w:rPr>
              <w:t>地理坐标</w:t>
            </w:r>
          </w:p>
        </w:tc>
        <w:tc>
          <w:tcPr>
            <w:tcW w:w="6872" w:type="dxa"/>
            <w:gridSpan w:val="5"/>
            <w:vAlign w:val="center"/>
          </w:tcPr>
          <w:p w14:paraId="4A929DE0">
            <w:pPr>
              <w:jc w:val="center"/>
              <w:rPr>
                <w:color w:val="auto"/>
                <w:sz w:val="24"/>
              </w:rPr>
            </w:pPr>
            <w:r>
              <w:rPr>
                <w:color w:val="auto"/>
                <w:sz w:val="24"/>
              </w:rPr>
              <w:t>（</w:t>
            </w:r>
            <w:r>
              <w:rPr>
                <w:u w:val="single"/>
                <w:color w:val="auto"/>
                <w:sz w:val="24"/>
              </w:rPr>
              <w:t>12</w:t>
            </w:r>
            <w:r>
              <w:rPr>
                <w:u w:val="single"/>
                <w:color w:val="auto"/>
                <w:sz w:val="24"/>
                <w:lang w:val="en-US" w:eastAsia="zh-CN"/>
                <w:rFonts w:hint="eastAsia"/>
              </w:rPr>
              <w:t>9</w:t>
            </w:r>
            <w:r>
              <w:rPr>
                <w:u w:val="single"/>
                <w:color w:val="auto"/>
                <w:sz w:val="24"/>
              </w:rPr>
              <w:t>度</w:t>
            </w:r>
            <w:r>
              <w:rPr>
                <w:u w:val="single"/>
                <w:color w:val="auto"/>
                <w:sz w:val="24"/>
                <w:rFonts w:hint="eastAsia"/>
              </w:rPr>
              <w:t>0</w:t>
            </w:r>
            <w:r>
              <w:rPr>
                <w:u w:val="single"/>
                <w:color w:val="auto"/>
                <w:sz w:val="24"/>
              </w:rPr>
              <w:t>分</w:t>
            </w:r>
            <w:r>
              <w:rPr>
                <w:u w:val="single"/>
                <w:color w:val="auto"/>
                <w:sz w:val="24"/>
                <w:rFonts w:hint="eastAsia"/>
              </w:rPr>
              <w:t>4</w:t>
            </w:r>
            <w:r>
              <w:rPr>
                <w:u w:val="single"/>
                <w:color w:val="auto"/>
                <w:sz w:val="24"/>
                <w:lang w:val="en-US" w:eastAsia="zh-CN"/>
                <w:rFonts w:hint="eastAsia"/>
              </w:rPr>
              <w:t>2.060</w:t>
            </w:r>
            <w:r>
              <w:rPr>
                <w:u w:val="single"/>
                <w:color w:val="auto"/>
                <w:sz w:val="24"/>
              </w:rPr>
              <w:t>秒</w:t>
            </w:r>
            <w:r>
              <w:rPr>
                <w:color w:val="auto"/>
                <w:sz w:val="24"/>
              </w:rPr>
              <w:t>，</w:t>
            </w:r>
            <w:r>
              <w:rPr>
                <w:u w:val="single"/>
                <w:color w:val="auto"/>
                <w:sz w:val="24"/>
              </w:rPr>
              <w:t>4</w:t>
            </w:r>
            <w:r>
              <w:rPr>
                <w:u w:val="single"/>
                <w:color w:val="auto"/>
                <w:sz w:val="24"/>
                <w:lang w:val="en-US" w:eastAsia="zh-CN"/>
                <w:rFonts w:hint="eastAsia"/>
              </w:rPr>
              <w:t>7</w:t>
            </w:r>
            <w:r>
              <w:rPr>
                <w:u w:val="single"/>
                <w:color w:val="auto"/>
                <w:sz w:val="24"/>
              </w:rPr>
              <w:t>度</w:t>
            </w:r>
            <w:r>
              <w:rPr>
                <w:u w:val="single"/>
                <w:color w:val="auto"/>
                <w:sz w:val="24"/>
                <w:lang w:val="en-US" w:eastAsia="zh-CN"/>
                <w:rFonts w:hint="eastAsia"/>
              </w:rPr>
              <w:t>46</w:t>
            </w:r>
            <w:r>
              <w:rPr>
                <w:u w:val="single"/>
                <w:color w:val="auto"/>
                <w:sz w:val="24"/>
              </w:rPr>
              <w:t>分</w:t>
            </w:r>
            <w:r>
              <w:rPr>
                <w:u w:val="single"/>
                <w:color w:val="auto"/>
                <w:sz w:val="24"/>
                <w:lang w:val="en-US" w:eastAsia="zh-CN"/>
                <w:rFonts w:hint="eastAsia"/>
              </w:rPr>
              <w:t>20.375</w:t>
            </w:r>
            <w:r>
              <w:rPr>
                <w:color w:val="auto"/>
                <w:sz w:val="24"/>
              </w:rPr>
              <w:t>秒）</w:t>
            </w:r>
          </w:p>
        </w:tc>
      </w:tr>
      <w:tr w14:paraId="17320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561" w:hRule="atLeast"/>
          <w:jc w:val="center"/>
        </w:trPr>
        <w:tc>
          <w:tcPr>
            <w:tcW w:w="2496" w:type="dxa"/>
            <w:vAlign w:val="center"/>
            <w:tcMar>
              <w:top w:type="dxa" w:w="16.000000"/>
              <w:left w:type="dxa" w:w="16.000000"/>
              <w:right w:type="dxa" w:w="16.000000"/>
            </w:tcMar>
          </w:tcPr>
          <w:p w14:paraId="030534F9">
            <w:pPr>
              <w:adjustRightInd w:val="0"/>
              <w:snapToGrid w:val="0"/>
              <w:jc w:val="center"/>
              <w:rPr>
                <w:color w:val="auto"/>
                <w:sz w:val="24"/>
              </w:rPr>
            </w:pPr>
            <w:r>
              <w:rPr>
                <w:color w:val="auto"/>
                <w:sz w:val="24"/>
              </w:rPr>
              <w:t>国民经济</w:t>
            </w:r>
          </w:p>
          <w:p w14:paraId="1438BE4F">
            <w:pPr>
              <w:adjustRightInd w:val="0"/>
              <w:snapToGrid w:val="0"/>
              <w:jc w:val="center"/>
              <w:rPr>
                <w:color w:val="auto"/>
                <w:sz w:val="24"/>
              </w:rPr>
            </w:pPr>
            <w:r>
              <w:rPr>
                <w:color w:val="auto"/>
                <w:sz w:val="24"/>
              </w:rPr>
              <w:t>行业类别</w:t>
            </w:r>
          </w:p>
        </w:tc>
        <w:tc>
          <w:tcPr>
            <w:tcW w:w="2441" w:type="dxa"/>
            <w:gridSpan w:val="2"/>
            <w:vAlign w:val="center"/>
          </w:tcPr>
          <w:p w14:paraId="259DAC43">
            <w:pPr>
              <w:adjustRightInd w:val="0"/>
              <w:snapToGrid w:val="0"/>
              <w:jc w:val="center"/>
              <w:rPr>
                <w:color w:val="auto"/>
                <w:sz w:val="24"/>
              </w:rPr>
            </w:pPr>
            <w:r>
              <w:rPr>
                <w:color w:val="auto"/>
                <w:sz w:val="24"/>
              </w:rPr>
              <w:t>C309</w:t>
            </w:r>
            <w:r>
              <w:rPr>
                <w:color w:val="auto"/>
                <w:sz w:val="24"/>
                <w:rFonts w:hint="eastAsia"/>
              </w:rPr>
              <w:t>9</w:t>
            </w:r>
            <w:r>
              <w:rPr>
                <w:color w:val="auto"/>
                <w:sz w:val="24"/>
              </w:rPr>
              <w:t>其他非金属矿物制品制造</w:t>
            </w:r>
          </w:p>
        </w:tc>
        <w:tc>
          <w:tcPr>
            <w:tcW w:w="1953" w:type="dxa"/>
            <w:gridSpan w:val="2"/>
            <w:vAlign w:val="center"/>
          </w:tcPr>
          <w:p w14:paraId="355B6415">
            <w:pPr>
              <w:adjustRightInd w:val="0"/>
              <w:snapToGrid w:val="0"/>
              <w:jc w:val="center"/>
              <w:rPr>
                <w:color w:val="auto"/>
                <w:sz w:val="24"/>
              </w:rPr>
            </w:pPr>
            <w:bookmarkStart w:id="4" w:name="_Hlk49843745"/>
            <w:r>
              <w:rPr>
                <w:color w:val="auto"/>
                <w:sz w:val="24"/>
              </w:rPr>
              <w:t>建设项目</w:t>
            </w:r>
          </w:p>
          <w:p w14:paraId="219B08A8">
            <w:pPr>
              <w:adjustRightInd w:val="0"/>
              <w:snapToGrid w:val="0"/>
              <w:jc w:val="center"/>
              <w:rPr>
                <w:color w:val="auto"/>
                <w:sz w:val="24"/>
              </w:rPr>
            </w:pPr>
            <w:r>
              <w:rPr>
                <w:color w:val="auto"/>
                <w:sz w:val="24"/>
              </w:rPr>
              <w:t>行业类别</w:t>
            </w:r>
            <w:bookmarkEnd w:id="4"/>
          </w:p>
        </w:tc>
        <w:tc>
          <w:tcPr>
            <w:tcW w:w="2478" w:type="dxa"/>
            <w:vAlign w:val="center"/>
          </w:tcPr>
          <w:p w14:paraId="0A8B96CB">
            <w:pPr>
              <w:adjustRightInd w:val="0"/>
              <w:snapToGrid w:val="0"/>
              <w:jc w:val="center"/>
              <w:rPr>
                <w:color w:val="auto"/>
                <w:sz w:val="24"/>
              </w:rPr>
            </w:pPr>
            <w:r>
              <w:rPr>
                <w:color w:val="auto"/>
                <w:sz w:val="24"/>
                <w:rFonts w:hint="eastAsia"/>
              </w:rPr>
              <w:t xml:space="preserve">二十七、非金属矿物制品业 </w:t>
            </w:r>
            <w:r>
              <w:rPr>
                <w:color w:val="auto"/>
                <w:sz w:val="24"/>
              </w:rPr>
              <w:t>60、石墨及其他非金属矿物制品制造309</w:t>
            </w:r>
          </w:p>
        </w:tc>
      </w:tr>
      <w:tr w14:paraId="06C0F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1219" w:hRule="atLeast"/>
          <w:jc w:val="center"/>
        </w:trPr>
        <w:tc>
          <w:tcPr>
            <w:tcW w:w="2496" w:type="dxa"/>
            <w:vAlign w:val="center"/>
            <w:tcMar>
              <w:top w:type="dxa" w:w="16.000000"/>
              <w:left w:type="dxa" w:w="16.000000"/>
              <w:right w:type="dxa" w:w="16.000000"/>
            </w:tcMar>
          </w:tcPr>
          <w:p w14:paraId="13257DFB">
            <w:pPr>
              <w:adjustRightInd w:val="0"/>
              <w:snapToGrid w:val="0"/>
              <w:jc w:val="center"/>
              <w:rPr>
                <w:color w:val="auto"/>
                <w:sz w:val="24"/>
              </w:rPr>
            </w:pPr>
            <w:r>
              <w:rPr>
                <w:color w:val="auto"/>
                <w:sz w:val="24"/>
              </w:rPr>
              <w:t>建设性质</w:t>
            </w:r>
          </w:p>
        </w:tc>
        <w:tc>
          <w:tcPr>
            <w:tcW w:w="2441" w:type="dxa"/>
            <w:gridSpan w:val="2"/>
            <w:vAlign w:val="center"/>
          </w:tcPr>
          <w:p w14:paraId="78AF60CD">
            <w:pPr>
              <w:jc w:val="left"/>
              <w:rPr>
                <w:color w:val="auto"/>
                <w:sz w:val="24"/>
              </w:rPr>
            </w:pPr>
            <w:r>
              <w:rPr>
                <w:color w:val="auto"/>
                <w:sz w:val="24"/>
                <w:rFonts w:hAnsi="MS Mincho" w:eastAsia="MS Mincho"/>
              </w:rPr>
              <w:t>☑</w:t>
            </w:r>
            <w:r>
              <w:rPr>
                <w:color w:val="auto"/>
                <w:sz w:val="24"/>
              </w:rPr>
              <w:t>新建（迁建）</w:t>
            </w:r>
          </w:p>
          <w:p w14:paraId="01659525">
            <w:pPr>
              <w:jc w:val="left"/>
              <w:rPr>
                <w:color w:val="auto"/>
                <w:sz w:val="24"/>
              </w:rPr>
            </w:pPr>
            <w:r>
              <w:rPr>
                <w:color w:val="auto"/>
                <w:sz w:val="24"/>
              </w:rPr>
              <w:sym w:char="F0A3" w:font="Wingdings 2"/>
            </w:r>
            <w:r>
              <w:rPr>
                <w:color w:val="auto"/>
                <w:sz w:val="24"/>
              </w:rPr>
              <w:t>改建</w:t>
            </w:r>
          </w:p>
          <w:p w14:paraId="4A672D56">
            <w:pPr>
              <w:jc w:val="left"/>
              <w:rPr>
                <w:color w:val="auto"/>
                <w:sz w:val="24"/>
              </w:rPr>
            </w:pPr>
            <w:r>
              <w:rPr>
                <w:color w:val="auto"/>
                <w:sz w:val="24"/>
              </w:rPr>
              <w:sym w:char="F0A3" w:font="Wingdings 2"/>
            </w:r>
            <w:r>
              <w:rPr>
                <w:color w:val="auto"/>
                <w:sz w:val="24"/>
              </w:rPr>
              <w:t>扩建</w:t>
            </w:r>
          </w:p>
          <w:p w14:paraId="290CD459">
            <w:pPr>
              <w:jc w:val="left"/>
              <w:rPr>
                <w:color w:val="auto"/>
                <w:sz w:val="24"/>
              </w:rPr>
            </w:pPr>
            <w:r>
              <w:rPr>
                <w:color w:val="auto"/>
                <w:sz w:val="24"/>
              </w:rPr>
              <w:sym w:char="F0A3" w:font="Wingdings 2"/>
            </w:r>
            <w:r>
              <w:rPr>
                <w:color w:val="auto"/>
                <w:sz w:val="24"/>
              </w:rPr>
              <w:t>技术改造</w:t>
            </w:r>
          </w:p>
        </w:tc>
        <w:tc>
          <w:tcPr>
            <w:tcW w:w="1953" w:type="dxa"/>
            <w:gridSpan w:val="2"/>
            <w:vAlign w:val="center"/>
          </w:tcPr>
          <w:p w14:paraId="26A8DD21">
            <w:pPr>
              <w:adjustRightInd w:val="0"/>
              <w:snapToGrid w:val="0"/>
              <w:jc w:val="center"/>
              <w:rPr>
                <w:color w:val="auto"/>
                <w:sz w:val="24"/>
              </w:rPr>
            </w:pPr>
            <w:r>
              <w:rPr>
                <w:color w:val="auto"/>
                <w:sz w:val="24"/>
              </w:rPr>
              <w:t>建设项目</w:t>
            </w:r>
          </w:p>
          <w:p w14:paraId="7A85E909">
            <w:pPr>
              <w:adjustRightInd w:val="0"/>
              <w:snapToGrid w:val="0"/>
              <w:jc w:val="center"/>
              <w:rPr>
                <w:color w:val="auto"/>
                <w:sz w:val="24"/>
              </w:rPr>
            </w:pPr>
            <w:r>
              <w:rPr>
                <w:color w:val="auto"/>
                <w:sz w:val="24"/>
              </w:rPr>
              <w:t>申报情形</w:t>
            </w:r>
          </w:p>
        </w:tc>
        <w:tc>
          <w:tcPr>
            <w:tcW w:w="2478" w:type="dxa"/>
            <w:vAlign w:val="center"/>
          </w:tcPr>
          <w:p w14:paraId="4E53DCD6">
            <w:pPr>
              <w:jc w:val="left"/>
              <w:rPr>
                <w:color w:val="auto"/>
                <w:sz w:val="24"/>
              </w:rPr>
            </w:pPr>
            <w:r>
              <w:rPr>
                <w:color w:val="auto"/>
                <w:sz w:val="24"/>
                <w:rFonts w:hAnsi="MS Mincho" w:eastAsia="MS Mincho"/>
              </w:rPr>
              <w:t>☑</w:t>
            </w:r>
            <w:r>
              <w:rPr>
                <w:color w:val="auto"/>
                <w:sz w:val="24"/>
              </w:rPr>
              <w:t>首次申报项目</w:t>
            </w:r>
          </w:p>
          <w:p w14:paraId="2FF93805">
            <w:pPr>
              <w:jc w:val="left"/>
              <w:rPr>
                <w:color w:val="auto"/>
                <w:sz w:val="24"/>
              </w:rPr>
            </w:pPr>
            <w:r>
              <w:rPr>
                <w:color w:val="auto"/>
                <w:sz w:val="24"/>
              </w:rPr>
              <w:sym w:char="F0A3" w:font="Wingdings 2"/>
            </w:r>
            <w:r>
              <w:rPr>
                <w:color w:val="auto"/>
                <w:sz w:val="24"/>
              </w:rPr>
              <w:t>不予批准后再次申报项目</w:t>
            </w:r>
          </w:p>
          <w:p w14:paraId="1285EB29">
            <w:pPr>
              <w:jc w:val="left"/>
              <w:rPr>
                <w:color w:val="auto"/>
                <w:sz w:val="24"/>
              </w:rPr>
            </w:pPr>
            <w:r>
              <w:rPr>
                <w:color w:val="auto"/>
                <w:sz w:val="24"/>
              </w:rPr>
              <w:sym w:char="F0A3" w:font="Wingdings 2"/>
            </w:r>
            <w:r>
              <w:rPr>
                <w:color w:val="auto"/>
                <w:sz w:val="24"/>
              </w:rPr>
              <w:t xml:space="preserve">超五年重新审核项目     </w:t>
            </w:r>
          </w:p>
          <w:p w14:paraId="350B93B0">
            <w:pPr>
              <w:jc w:val="left"/>
              <w:rPr>
                <w:color w:val="auto"/>
                <w:sz w:val="24"/>
              </w:rPr>
            </w:pPr>
            <w:r>
              <w:rPr>
                <w:color w:val="auto"/>
                <w:sz w:val="24"/>
              </w:rPr>
              <w:sym w:char="F0A3" w:font="Wingdings 2"/>
            </w:r>
            <w:r>
              <w:rPr>
                <w:color w:val="auto"/>
                <w:sz w:val="24"/>
              </w:rPr>
              <w:t>重大变动重新报批项目</w:t>
            </w:r>
          </w:p>
        </w:tc>
      </w:tr>
      <w:tr w14:paraId="5BF34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54" w:hRule="atLeast"/>
          <w:jc w:val="center"/>
        </w:trPr>
        <w:tc>
          <w:tcPr>
            <w:tcW w:w="2496" w:type="dxa"/>
            <w:vAlign w:val="center"/>
            <w:tcMar>
              <w:top w:type="dxa" w:w="16.000000"/>
              <w:left w:type="dxa" w:w="16.000000"/>
              <w:right w:type="dxa" w:w="16.000000"/>
            </w:tcMar>
          </w:tcPr>
          <w:p w14:paraId="2128D539">
            <w:pPr>
              <w:adjustRightInd w:val="0"/>
              <w:snapToGrid w:val="0"/>
              <w:jc w:val="center"/>
              <w:rPr>
                <w:color w:val="auto"/>
                <w:sz w:val="24"/>
              </w:rPr>
            </w:pPr>
            <w:r>
              <w:rPr>
                <w:color w:val="auto"/>
                <w:sz w:val="24"/>
              </w:rPr>
              <w:t>项目审批（核准/</w:t>
            </w:r>
          </w:p>
          <w:p w14:paraId="19046C3A">
            <w:pPr>
              <w:adjustRightInd w:val="0"/>
              <w:snapToGrid w:val="0"/>
              <w:jc w:val="center"/>
              <w:rPr>
                <w:color w:val="auto"/>
                <w:sz w:val="24"/>
              </w:rPr>
            </w:pPr>
            <w:r>
              <w:rPr>
                <w:color w:val="auto"/>
                <w:sz w:val="24"/>
              </w:rPr>
              <w:t>备案）部门（选填）</w:t>
            </w:r>
          </w:p>
        </w:tc>
        <w:tc>
          <w:tcPr>
            <w:tcW w:w="2441" w:type="dxa"/>
            <w:gridSpan w:val="2"/>
            <w:vAlign w:val="center"/>
          </w:tcPr>
          <w:p w14:paraId="3A07606D">
            <w:pPr>
              <w:adjustRightInd w:val="0"/>
              <w:snapToGrid w:val="0"/>
              <w:jc w:val="center"/>
              <w:rPr>
                <w:color w:val="auto"/>
                <w:sz w:val="24"/>
              </w:rPr>
            </w:pPr>
            <w:r>
              <w:rPr>
                <w:color w:val="auto"/>
                <w:sz w:val="24"/>
              </w:rPr>
              <w:t>无</w:t>
            </w:r>
          </w:p>
        </w:tc>
        <w:tc>
          <w:tcPr>
            <w:tcW w:w="1953" w:type="dxa"/>
            <w:gridSpan w:val="2"/>
            <w:vAlign w:val="center"/>
          </w:tcPr>
          <w:p w14:paraId="6321BE62">
            <w:pPr>
              <w:adjustRightInd w:val="0"/>
              <w:snapToGrid w:val="0"/>
              <w:jc w:val="center"/>
              <w:rPr>
                <w:color w:val="auto"/>
                <w:sz w:val="24"/>
              </w:rPr>
            </w:pPr>
            <w:r>
              <w:rPr>
                <w:color w:val="auto"/>
                <w:sz w:val="24"/>
              </w:rPr>
              <w:t>项目审批（核准/备案）文号（选填）</w:t>
            </w:r>
          </w:p>
        </w:tc>
        <w:tc>
          <w:tcPr>
            <w:tcW w:w="2478" w:type="dxa"/>
            <w:vAlign w:val="center"/>
          </w:tcPr>
          <w:p w14:paraId="02C96E6F">
            <w:pPr>
              <w:adjustRightInd w:val="0"/>
              <w:snapToGrid w:val="0"/>
              <w:jc w:val="center"/>
              <w:rPr>
                <w:color w:val="auto"/>
                <w:sz w:val="24"/>
              </w:rPr>
            </w:pPr>
            <w:r>
              <w:rPr>
                <w:color w:val="auto"/>
                <w:sz w:val="24"/>
              </w:rPr>
              <w:t>无</w:t>
            </w:r>
          </w:p>
        </w:tc>
      </w:tr>
      <w:tr w14:paraId="6D97D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497" w:hRule="atLeast"/>
          <w:jc w:val="center"/>
        </w:trPr>
        <w:tc>
          <w:tcPr>
            <w:tcW w:w="2496" w:type="dxa"/>
            <w:vAlign w:val="center"/>
            <w:tcMar>
              <w:top w:type="dxa" w:w="16.000000"/>
              <w:left w:type="dxa" w:w="16.000000"/>
              <w:right w:type="dxa" w:w="16.000000"/>
            </w:tcMar>
          </w:tcPr>
          <w:p w14:paraId="7B387711">
            <w:pPr>
              <w:adjustRightInd w:val="0"/>
              <w:snapToGrid w:val="0"/>
              <w:jc w:val="center"/>
              <w:rPr>
                <w:color w:val="auto"/>
                <w:sz w:val="24"/>
              </w:rPr>
            </w:pPr>
            <w:r>
              <w:rPr>
                <w:color w:val="auto"/>
                <w:sz w:val="24"/>
              </w:rPr>
              <w:t>总投资（万元）</w:t>
            </w:r>
          </w:p>
        </w:tc>
        <w:tc>
          <w:tcPr>
            <w:tcW w:w="2441" w:type="dxa"/>
            <w:gridSpan w:val="2"/>
            <w:vAlign w:val="center"/>
          </w:tcPr>
          <w:p w14:paraId="06D452EF">
            <w:pPr>
              <w:adjustRightInd w:val="0"/>
              <w:snapToGrid w:val="0"/>
              <w:jc w:val="center"/>
              <w:rPr>
                <w:color w:val="auto"/>
                <w:sz w:val="24"/>
              </w:rPr>
            </w:pPr>
            <w:r>
              <w:rPr>
                <w:color w:val="auto"/>
                <w:sz w:val="24"/>
                <w:rFonts w:hint="eastAsia"/>
              </w:rPr>
              <w:t>4</w:t>
            </w:r>
            <w:r>
              <w:rPr>
                <w:color w:val="auto"/>
                <w:sz w:val="24"/>
                <w:lang w:val="en-US" w:eastAsia="zh-CN"/>
                <w:rFonts w:hint="eastAsia"/>
              </w:rPr>
              <w:t>6</w:t>
            </w:r>
            <w:r>
              <w:rPr>
                <w:color w:val="auto"/>
                <w:sz w:val="24"/>
                <w:rFonts w:hint="eastAsia"/>
              </w:rPr>
              <w:t>0</w:t>
            </w:r>
          </w:p>
        </w:tc>
        <w:tc>
          <w:tcPr>
            <w:tcW w:w="1953" w:type="dxa"/>
            <w:gridSpan w:val="2"/>
            <w:vAlign w:val="center"/>
            <w:tcMar>
              <w:top w:type="dxa" w:w="16.000000"/>
              <w:left w:type="dxa" w:w="16.000000"/>
              <w:right w:type="dxa" w:w="16.000000"/>
            </w:tcMar>
          </w:tcPr>
          <w:p w14:paraId="69A0E7D6">
            <w:pPr>
              <w:adjustRightInd w:val="0"/>
              <w:snapToGrid w:val="0"/>
              <w:jc w:val="center"/>
              <w:rPr>
                <w:color w:val="auto"/>
                <w:sz w:val="24"/>
              </w:rPr>
            </w:pPr>
            <w:r>
              <w:rPr>
                <w:color w:val="auto"/>
                <w:sz w:val="24"/>
              </w:rPr>
              <w:t>环保投资（万元）</w:t>
            </w:r>
          </w:p>
        </w:tc>
        <w:tc>
          <w:tcPr>
            <w:tcW w:w="2478" w:type="dxa"/>
            <w:vAlign w:val="center"/>
          </w:tcPr>
          <w:p w14:paraId="3C5ED2BC">
            <w:pPr>
              <w:adjustRightInd w:val="0"/>
              <w:snapToGrid w:val="0"/>
              <w:jc w:val="center"/>
              <w:rPr>
                <w:color w:val="auto"/>
                <w:sz w:val="24"/>
              </w:rPr>
            </w:pPr>
            <w:r>
              <w:rPr>
                <w:color w:val="auto"/>
                <w:sz w:val="24"/>
                <w:rFonts w:hint="eastAsia"/>
              </w:rPr>
              <w:t>120</w:t>
            </w:r>
          </w:p>
        </w:tc>
      </w:tr>
      <w:tr w14:paraId="153E6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54" w:hRule="atLeast"/>
          <w:jc w:val="center"/>
        </w:trPr>
        <w:tc>
          <w:tcPr>
            <w:tcW w:w="2496" w:type="dxa"/>
            <w:vAlign w:val="center"/>
            <w:tcMar>
              <w:top w:type="dxa" w:w="16.000000"/>
              <w:left w:type="dxa" w:w="16.000000"/>
              <w:right w:type="dxa" w:w="16.000000"/>
            </w:tcMar>
          </w:tcPr>
          <w:p w14:paraId="15579E7B">
            <w:pPr>
              <w:adjustRightInd w:val="0"/>
              <w:snapToGrid w:val="0"/>
              <w:jc w:val="center"/>
              <w:rPr>
                <w:color w:val="auto"/>
                <w:sz w:val="24"/>
              </w:rPr>
            </w:pPr>
            <w:r>
              <w:rPr>
                <w:color w:val="auto"/>
                <w:sz w:val="24"/>
              </w:rPr>
              <w:t>环保投资占比（%）</w:t>
            </w:r>
          </w:p>
        </w:tc>
        <w:tc>
          <w:tcPr>
            <w:tcW w:w="2441" w:type="dxa"/>
            <w:gridSpan w:val="2"/>
            <w:vAlign w:val="center"/>
          </w:tcPr>
          <w:p w14:paraId="1D40EB12">
            <w:pPr>
              <w:adjustRightInd w:val="0"/>
              <w:snapToGrid w:val="0"/>
              <w:jc w:val="center"/>
              <w:rPr>
                <w:color w:val="auto"/>
                <w:sz w:val="24"/>
                <w:lang w:eastAsia="zh-CN"/>
                <w:rFonts w:eastAsia="宋体" w:hint="eastAsia"/>
              </w:rPr>
            </w:pPr>
            <w:r>
              <w:rPr>
                <w:color w:val="auto"/>
                <w:sz w:val="24"/>
                <w:rFonts w:hint="eastAsia"/>
              </w:rPr>
              <w:t>26.</w:t>
            </w:r>
            <w:r>
              <w:rPr>
                <w:color w:val="auto"/>
                <w:sz w:val="24"/>
                <w:lang w:val="en-US" w:eastAsia="zh-CN"/>
                <w:rFonts w:hint="eastAsia"/>
              </w:rPr>
              <w:t>1</w:t>
            </w:r>
          </w:p>
        </w:tc>
        <w:tc>
          <w:tcPr>
            <w:tcW w:w="1953" w:type="dxa"/>
            <w:gridSpan w:val="2"/>
            <w:vAlign w:val="center"/>
            <w:tcMar>
              <w:top w:type="dxa" w:w="16.000000"/>
              <w:left w:type="dxa" w:w="16.000000"/>
              <w:right w:type="dxa" w:w="16.000000"/>
            </w:tcMar>
          </w:tcPr>
          <w:p w14:paraId="297F2B24">
            <w:pPr>
              <w:adjustRightInd w:val="0"/>
              <w:snapToGrid w:val="0"/>
              <w:jc w:val="center"/>
              <w:rPr>
                <w:color w:val="auto"/>
                <w:sz w:val="24"/>
              </w:rPr>
            </w:pPr>
            <w:r>
              <w:rPr>
                <w:color w:val="auto"/>
                <w:sz w:val="24"/>
              </w:rPr>
              <w:t>施工工期</w:t>
            </w:r>
          </w:p>
        </w:tc>
        <w:tc>
          <w:tcPr>
            <w:tcW w:w="2478" w:type="dxa"/>
            <w:vAlign w:val="center"/>
          </w:tcPr>
          <w:p w14:paraId="681DEB60">
            <w:pPr>
              <w:adjustRightInd w:val="0"/>
              <w:snapToGrid w:val="0"/>
              <w:jc w:val="center"/>
              <w:rPr>
                <w:color w:val="auto"/>
                <w:sz w:val="24"/>
                <w:lang w:val="en-US" w:eastAsia="zh-CN"/>
                <w:rFonts w:eastAsia="宋体" w:hint="default"/>
              </w:rPr>
            </w:pPr>
            <w:r>
              <w:rPr>
                <w:color w:val="auto"/>
                <w:sz w:val="24"/>
              </w:rPr>
              <w:t>202</w:t>
            </w:r>
            <w:r>
              <w:rPr>
                <w:color w:val="auto"/>
                <w:sz w:val="24"/>
                <w:rFonts w:hint="eastAsia"/>
              </w:rPr>
              <w:t>4</w:t>
            </w:r>
            <w:r>
              <w:rPr>
                <w:color w:val="auto"/>
                <w:sz w:val="24"/>
              </w:rPr>
              <w:t>.</w:t>
            </w:r>
            <w:r>
              <w:rPr>
                <w:color w:val="auto"/>
                <w:sz w:val="24"/>
                <w:lang w:val="en-US" w:eastAsia="zh-CN"/>
                <w:rFonts w:hint="eastAsia"/>
              </w:rPr>
              <w:t>11</w:t>
            </w:r>
            <w:r>
              <w:rPr>
                <w:color w:val="auto"/>
                <w:sz w:val="24"/>
              </w:rPr>
              <w:t>-202</w:t>
            </w:r>
            <w:r>
              <w:rPr>
                <w:color w:val="auto"/>
                <w:sz w:val="24"/>
                <w:rFonts w:hint="eastAsia"/>
              </w:rPr>
              <w:t>4</w:t>
            </w:r>
            <w:r>
              <w:rPr>
                <w:color w:val="auto"/>
                <w:sz w:val="24"/>
              </w:rPr>
              <w:t>.</w:t>
            </w:r>
            <w:r>
              <w:rPr>
                <w:color w:val="auto"/>
                <w:sz w:val="24"/>
                <w:lang w:val="en-US" w:eastAsia="zh-CN"/>
                <w:rFonts w:hint="eastAsia"/>
              </w:rPr>
              <w:t>12</w:t>
            </w:r>
          </w:p>
        </w:tc>
      </w:tr>
      <w:tr w14:paraId="60C43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0.000000"/>
            <w:right w:type="dxa" w:w="0.000000"/>
          </w:tblCellMar>
        </w:tblPrEx>
        <w:trPr>
          <w:trHeight w:val="497" w:hRule="atLeast"/>
          <w:jc w:val="center"/>
        </w:trPr>
        <w:tc>
          <w:tcPr>
            <w:tcW w:w="2496" w:type="dxa"/>
            <w:vAlign w:val="center"/>
            <w:tcMar>
              <w:top w:type="dxa" w:w="16.000000"/>
              <w:left w:type="dxa" w:w="16.000000"/>
              <w:right w:type="dxa" w:w="16.000000"/>
            </w:tcMar>
          </w:tcPr>
          <w:p w14:paraId="53FF7BE1">
            <w:pPr>
              <w:adjustRightInd w:val="0"/>
              <w:snapToGrid w:val="0"/>
              <w:jc w:val="center"/>
              <w:rPr>
                <w:color w:val="auto"/>
                <w:sz w:val="24"/>
              </w:rPr>
            </w:pPr>
            <w:r>
              <w:rPr>
                <w:color w:val="auto"/>
                <w:sz w:val="24"/>
              </w:rPr>
              <w:t>是否开工建设</w:t>
            </w:r>
          </w:p>
        </w:tc>
        <w:tc>
          <w:tcPr>
            <w:tcW w:w="2441" w:type="dxa"/>
            <w:gridSpan w:val="2"/>
            <w:vAlign w:val="center"/>
          </w:tcPr>
          <w:p w14:paraId="1E073605">
            <w:pPr>
              <w:adjustRightInd w:val="0"/>
              <w:snapToGrid w:val="0"/>
              <w:rPr>
                <w:color w:val="auto"/>
                <w:sz w:val="24"/>
              </w:rPr>
            </w:pPr>
            <w:r>
              <w:rPr>
                <w:color w:val="auto"/>
                <w:sz w:val="24"/>
                <w:rFonts w:hAnsi="MS Mincho" w:eastAsia="MS Mincho"/>
              </w:rPr>
              <w:t>☑</w:t>
            </w:r>
            <w:r>
              <w:rPr>
                <w:color w:val="auto"/>
                <w:sz w:val="24"/>
              </w:rPr>
              <w:t>否</w:t>
            </w:r>
          </w:p>
          <w:p w14:paraId="17A893EB">
            <w:pPr>
              <w:adjustRightInd w:val="0"/>
              <w:snapToGrid w:val="0"/>
              <w:rPr>
                <w:color w:val="auto"/>
                <w:sz w:val="24"/>
              </w:rPr>
            </w:pPr>
            <w:r>
              <w:rPr>
                <w:color w:val="auto"/>
                <w:sz w:val="24"/>
              </w:rPr>
              <w:sym w:char="F0A3" w:font="Wingdings 2"/>
            </w:r>
            <w:r>
              <w:rPr>
                <w:color w:val="auto"/>
                <w:sz w:val="24"/>
              </w:rPr>
              <w:t>是：</w:t>
            </w:r>
          </w:p>
        </w:tc>
        <w:tc>
          <w:tcPr>
            <w:tcW w:w="1953" w:type="dxa"/>
            <w:gridSpan w:val="2"/>
            <w:vAlign w:val="center"/>
            <w:tcMar>
              <w:top w:type="dxa" w:w="16.000000"/>
              <w:left w:type="dxa" w:w="16.000000"/>
              <w:right w:type="dxa" w:w="16.000000"/>
            </w:tcMar>
          </w:tcPr>
          <w:p w14:paraId="070FF3C9">
            <w:pPr>
              <w:adjustRightInd w:val="0"/>
              <w:snapToGrid w:val="0"/>
              <w:jc w:val="center"/>
              <w:rPr>
                <w:color w:val="auto"/>
                <w:spacing w:val="-6"/>
                <w:sz w:val="24"/>
              </w:rPr>
            </w:pPr>
            <w:r>
              <w:rPr>
                <w:color w:val="auto"/>
                <w:spacing w:val="-6"/>
                <w:sz w:val="24"/>
              </w:rPr>
              <w:t>用地（用海）</w:t>
            </w:r>
          </w:p>
          <w:p w14:paraId="00589FC1">
            <w:pPr>
              <w:adjustRightInd w:val="0"/>
              <w:snapToGrid w:val="0"/>
              <w:jc w:val="center"/>
              <w:rPr>
                <w:color w:val="auto"/>
                <w:sz w:val="24"/>
              </w:rPr>
            </w:pPr>
            <w:r>
              <w:rPr>
                <w:color w:val="auto"/>
                <w:spacing w:val="-6"/>
                <w:sz w:val="24"/>
              </w:rPr>
              <w:t>面积（m</w:t>
            </w:r>
            <w:r>
              <w:rPr>
                <w:vertAlign w:val="superscript"/>
                <w:color w:val="auto"/>
                <w:spacing w:val="-6"/>
                <w:sz w:val="24"/>
              </w:rPr>
              <w:t>2</w:t>
            </w:r>
            <w:r>
              <w:rPr>
                <w:color w:val="auto"/>
                <w:spacing w:val="-6"/>
                <w:sz w:val="24"/>
              </w:rPr>
              <w:t>）</w:t>
            </w:r>
          </w:p>
        </w:tc>
        <w:tc>
          <w:tcPr>
            <w:tcW w:w="2478" w:type="dxa"/>
            <w:vAlign w:val="center"/>
          </w:tcPr>
          <w:p w14:paraId="5876CFAA">
            <w:pPr>
              <w:adjustRightInd w:val="0"/>
              <w:snapToGrid w:val="0"/>
              <w:jc w:val="center"/>
              <w:rPr>
                <w:color w:val="auto"/>
                <w:sz w:val="24"/>
              </w:rPr>
            </w:pPr>
            <w:r>
              <w:rPr>
                <w:color w:val="auto"/>
                <w:sz w:val="24"/>
                <w:lang w:val="en-US" w:eastAsia="zh-CN"/>
                <w:bCs/>
                <w:rFonts w:hint="eastAsia"/>
              </w:rPr>
              <w:t>17667</w:t>
            </w:r>
          </w:p>
        </w:tc>
      </w:tr>
      <w:tr w14:paraId="232C3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09" w:hRule="atLeast"/>
          <w:jc w:val="center"/>
        </w:trPr>
        <w:tc>
          <w:tcPr>
            <w:tcW w:w="2496" w:type="dxa"/>
            <w:vAlign w:val="center"/>
          </w:tcPr>
          <w:p w14:paraId="5372D694">
            <w:pPr>
              <w:autoSpaceDE w:val="0"/>
              <w:autoSpaceDN w:val="0"/>
              <w:adjustRightInd w:val="0"/>
              <w:snapToGrid w:val="0"/>
              <w:jc w:val="center"/>
              <w:rPr>
                <w:color w:val="auto"/>
                <w:sz w:val="24"/>
                <w:kern w:val="0"/>
              </w:rPr>
            </w:pPr>
            <w:r>
              <w:rPr>
                <w:color w:val="auto"/>
                <w:sz w:val="24"/>
                <w:kern w:val="0"/>
              </w:rPr>
              <w:t>专项评价设置情况</w:t>
            </w:r>
          </w:p>
        </w:tc>
        <w:tc>
          <w:tcPr>
            <w:tcW w:w="6872" w:type="dxa"/>
            <w:gridSpan w:val="5"/>
            <w:vAlign w:val="center"/>
          </w:tcPr>
          <w:p w14:paraId="23355983">
            <w:pPr>
              <w:autoSpaceDE w:val="0"/>
              <w:autoSpaceDN w:val="0"/>
              <w:adjustRightInd w:val="0"/>
              <w:snapToGrid w:val="0"/>
              <w:jc w:val="center"/>
              <w:rPr>
                <w:color w:val="auto"/>
                <w:sz w:val="24"/>
                <w:kern w:val="0"/>
              </w:rPr>
            </w:pPr>
            <w:r>
              <w:rPr>
                <w:b w:val="1"/>
                <w:color w:val="auto"/>
                <w:sz w:val="24"/>
                <w:bCs/>
                <w:kern w:val="0"/>
                <w:rFonts w:hint="eastAsia" w:hAnsiTheme="minorEastAsia" w:eastAsiaTheme="minorEastAsia"/>
              </w:rPr>
              <w:t>表1</w:t>
            </w:r>
            <w:r>
              <w:rPr>
                <w:b w:val="1"/>
                <w:color w:val="auto"/>
                <w:sz w:val="24"/>
                <w:bCs/>
                <w:kern w:val="0"/>
                <w:rFonts w:hAnsiTheme="minorEastAsia" w:eastAsiaTheme="minorEastAsia"/>
              </w:rPr>
              <w:t xml:space="preserve">-1 </w:t>
            </w:r>
            <w:r>
              <w:rPr>
                <w:b w:val="1"/>
                <w:color w:val="auto"/>
                <w:sz w:val="24"/>
                <w:bCs/>
                <w:kern w:val="0"/>
                <w:rFonts w:hint="eastAsia" w:hAnsiTheme="minorEastAsia" w:eastAsiaTheme="minorEastAsia"/>
              </w:rPr>
              <w:t>专项评价设置情况</w:t>
            </w:r>
          </w:p>
          <w:tbl>
            <w:tblPr>
              <w:tblStyle w:val="28"/>
              <w:tblW w:w="0" w:type="auto"/>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847.000000"/>
              <w:gridCol w:w="2552.000000"/>
              <w:gridCol w:w="2052.000000"/>
              <w:gridCol w:w="1129.000000"/>
            </w:tblGrid>
            <w:tr w14:paraId="1FA16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847" w:type="dxa"/>
                  <w:vAlign w:val="center"/>
                </w:tcPr>
                <w:p w14:paraId="0DCA28AF">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专项评价类别</w:t>
                  </w:r>
                </w:p>
              </w:tc>
              <w:tc>
                <w:tcPr>
                  <w:tcW w:w="2552" w:type="dxa"/>
                  <w:vAlign w:val="center"/>
                </w:tcPr>
                <w:p w14:paraId="4B559CD9">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设置原则</w:t>
                  </w:r>
                </w:p>
              </w:tc>
              <w:tc>
                <w:tcPr>
                  <w:tcW w:w="2052" w:type="dxa"/>
                  <w:vAlign w:val="center"/>
                </w:tcPr>
                <w:p w14:paraId="3ACBACA6">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本项目情况</w:t>
                  </w:r>
                </w:p>
              </w:tc>
              <w:tc>
                <w:tcPr>
                  <w:tcW w:w="1129" w:type="dxa"/>
                  <w:vAlign w:val="center"/>
                </w:tcPr>
                <w:p w14:paraId="250D3741">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是否设置专项评价</w:t>
                  </w:r>
                </w:p>
              </w:tc>
            </w:tr>
            <w:tr w14:paraId="007C0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847" w:type="dxa"/>
                  <w:vAlign w:val="center"/>
                </w:tcPr>
                <w:p w14:paraId="6F671C37">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大气</w:t>
                  </w:r>
                </w:p>
              </w:tc>
              <w:tc>
                <w:tcPr>
                  <w:tcW w:w="2552" w:type="dxa"/>
                  <w:vAlign w:val="center"/>
                </w:tcPr>
                <w:p w14:paraId="5E5EAD98">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排放废气含有毒有害污染物、二噁英、苯并</w:t>
                  </w:r>
                  <w:r>
                    <w:rPr>
                      <w:color w:val="auto"/>
                      <w:kern w:val="0"/>
                      <w:szCs w:val="21"/>
                      <w:rFonts w:hAnsiTheme="minorEastAsia" w:eastAsiaTheme="minorEastAsia"/>
                    </w:rPr>
                    <w:t>[a]</w:t>
                  </w:r>
                  <w:r>
                    <w:rPr>
                      <w:color w:val="auto"/>
                      <w:kern w:val="0"/>
                      <w:szCs w:val="21"/>
                      <w:rFonts w:hint="eastAsia" w:hAnsiTheme="minorEastAsia" w:eastAsiaTheme="minorEastAsia"/>
                    </w:rPr>
                    <w:t>芘、氰化物、氯气且厂界外</w:t>
                  </w:r>
                  <w:r>
                    <w:rPr>
                      <w:color w:val="auto"/>
                      <w:kern w:val="0"/>
                      <w:szCs w:val="21"/>
                      <w:rFonts w:hAnsiTheme="minorEastAsia" w:eastAsiaTheme="minorEastAsia"/>
                    </w:rPr>
                    <w:t xml:space="preserve">500 </w:t>
                  </w:r>
                  <w:r>
                    <w:rPr>
                      <w:color w:val="auto"/>
                      <w:kern w:val="0"/>
                      <w:szCs w:val="21"/>
                      <w:rFonts w:hint="eastAsia" w:hAnsiTheme="minorEastAsia" w:eastAsiaTheme="minorEastAsia"/>
                    </w:rPr>
                    <w:t>米范围内有环境空气保护目标的建设项目</w:t>
                  </w:r>
                </w:p>
              </w:tc>
              <w:tc>
                <w:tcPr>
                  <w:tcW w:w="2052" w:type="dxa"/>
                  <w:vAlign w:val="center"/>
                </w:tcPr>
                <w:p w14:paraId="1FFBFD8C">
                  <w:pPr>
                    <w:autoSpaceDE w:val="0"/>
                    <w:autoSpaceDN w:val="0"/>
                    <w:adjustRightInd w:val="0"/>
                    <w:snapToGrid w:val="0"/>
                    <w:jc w:val="center"/>
                    <w:rPr>
                      <w:color w:val="auto"/>
                      <w:kern w:val="0"/>
                      <w:szCs w:val="21"/>
                      <w:rFonts w:hAnsiTheme="minorEastAsia" w:eastAsiaTheme="minorEastAsia"/>
                    </w:rPr>
                  </w:pPr>
                  <w:r>
                    <w:rPr>
                      <w:color w:val="auto"/>
                      <w:kern w:val="0"/>
                      <w:szCs w:val="21"/>
                      <w:rFonts w:hAnsiTheme="minorEastAsia" w:eastAsiaTheme="minorEastAsia"/>
                    </w:rPr>
                    <w:t>本项目运营期排放的</w:t>
                  </w:r>
                  <w:r>
                    <w:rPr>
                      <w:color w:val="auto"/>
                      <w:kern w:val="0"/>
                      <w:szCs w:val="21"/>
                      <w:rFonts w:hint="eastAsia" w:hAnsiTheme="minorEastAsia" w:eastAsiaTheme="minorEastAsia"/>
                    </w:rPr>
                    <w:t>沥青</w:t>
                  </w:r>
                  <w:r>
                    <w:rPr>
                      <w:color w:val="auto"/>
                      <w:kern w:val="0"/>
                      <w:szCs w:val="21"/>
                      <w:rFonts w:hAnsiTheme="minorEastAsia" w:eastAsiaTheme="minorEastAsia"/>
                    </w:rPr>
                    <w:t>烟气中含有有毒有害污染物苯并[a]芘，厂界外500m范围内</w:t>
                  </w:r>
                  <w:r>
                    <w:rPr>
                      <w:color w:val="auto"/>
                      <w:lang w:val="en-US" w:eastAsia="zh-CN"/>
                      <w:kern w:val="0"/>
                      <w:szCs w:val="21"/>
                      <w:rFonts w:hint="eastAsia" w:hAnsiTheme="minorEastAsia" w:eastAsiaTheme="minorEastAsia"/>
                    </w:rPr>
                    <w:t>无</w:t>
                  </w:r>
                  <w:r>
                    <w:rPr>
                      <w:color w:val="auto"/>
                      <w:kern w:val="0"/>
                      <w:szCs w:val="21"/>
                      <w:rFonts w:hAnsiTheme="minorEastAsia" w:eastAsiaTheme="minorEastAsia"/>
                    </w:rPr>
                    <w:t>有环境空气保护目标</w:t>
                  </w:r>
                </w:p>
              </w:tc>
              <w:tc>
                <w:tcPr>
                  <w:tcW w:w="1129" w:type="dxa"/>
                  <w:vAlign w:val="center"/>
                </w:tcPr>
                <w:p w14:paraId="37E9ADF9">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未设置</w:t>
                  </w:r>
                </w:p>
              </w:tc>
            </w:tr>
            <w:tr w14:paraId="2B7B6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847" w:type="dxa"/>
                  <w:vAlign w:val="center"/>
                </w:tcPr>
                <w:p w14:paraId="757C2C46">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地表水</w:t>
                  </w:r>
                </w:p>
              </w:tc>
              <w:tc>
                <w:tcPr>
                  <w:tcW w:w="2552" w:type="dxa"/>
                  <w:vAlign w:val="center"/>
                </w:tcPr>
                <w:p w14:paraId="4F28EB08">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新增工业废水直排建设项目（槽罐车外送污水处理厂的除外）；新增废水直排的污水集中处理厂</w:t>
                  </w:r>
                </w:p>
              </w:tc>
              <w:tc>
                <w:tcPr>
                  <w:tcW w:w="2052" w:type="dxa"/>
                  <w:vAlign w:val="center"/>
                </w:tcPr>
                <w:p w14:paraId="4E099112">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本项目无生产废水排放，生活污水排入防渗化粪池，定期清掏，外运堆肥，不外排</w:t>
                  </w:r>
                </w:p>
              </w:tc>
              <w:tc>
                <w:tcPr>
                  <w:tcW w:w="1129" w:type="dxa"/>
                  <w:vAlign w:val="center"/>
                </w:tcPr>
                <w:p w14:paraId="0346487E">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未设置</w:t>
                  </w:r>
                </w:p>
              </w:tc>
            </w:tr>
            <w:tr w14:paraId="05C30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847" w:type="dxa"/>
                  <w:vAlign w:val="center"/>
                </w:tcPr>
                <w:p w14:paraId="41C6373E">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环境风险</w:t>
                  </w:r>
                </w:p>
              </w:tc>
              <w:tc>
                <w:tcPr>
                  <w:tcW w:w="2552" w:type="dxa"/>
                  <w:vAlign w:val="center"/>
                </w:tcPr>
                <w:p w14:paraId="1A989329">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有毒有害和易燃易爆危险物质存储量超过临界量的建设项目</w:t>
                  </w:r>
                </w:p>
              </w:tc>
              <w:tc>
                <w:tcPr>
                  <w:tcW w:w="2052" w:type="dxa"/>
                  <w:vAlign w:val="center"/>
                </w:tcPr>
                <w:p w14:paraId="22825BA4">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本项目不涉及危险物质存储量超过临界量</w:t>
                  </w:r>
                </w:p>
              </w:tc>
              <w:tc>
                <w:tcPr>
                  <w:tcW w:w="1129" w:type="dxa"/>
                  <w:vAlign w:val="center"/>
                </w:tcPr>
                <w:p w14:paraId="73EA7341">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未设置</w:t>
                  </w:r>
                </w:p>
              </w:tc>
            </w:tr>
            <w:tr w14:paraId="4159A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847" w:type="dxa"/>
                  <w:vAlign w:val="center"/>
                </w:tcPr>
                <w:p w14:paraId="0D547037">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生态</w:t>
                  </w:r>
                </w:p>
              </w:tc>
              <w:tc>
                <w:tcPr>
                  <w:tcW w:w="2552" w:type="dxa"/>
                  <w:vAlign w:val="center"/>
                </w:tcPr>
                <w:p w14:paraId="2CA55B60">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取水口下游</w:t>
                  </w:r>
                  <w:r>
                    <w:rPr>
                      <w:color w:val="auto"/>
                      <w:kern w:val="0"/>
                      <w:szCs w:val="21"/>
                      <w:rFonts w:hAnsiTheme="minorEastAsia" w:eastAsiaTheme="minorEastAsia"/>
                    </w:rPr>
                    <w:t xml:space="preserve">500 </w:t>
                  </w:r>
                  <w:r>
                    <w:rPr>
                      <w:color w:val="auto"/>
                      <w:kern w:val="0"/>
                      <w:szCs w:val="21"/>
                      <w:rFonts w:hint="eastAsia" w:hAnsiTheme="minorEastAsia" w:eastAsiaTheme="minorEastAsia"/>
                    </w:rPr>
                    <w:t>米范围内有重要水生生物的自然产卵场、索饵场、越冬场和洄游通道的新增河道取水的污染类建设项目</w:t>
                  </w:r>
                </w:p>
              </w:tc>
              <w:tc>
                <w:tcPr>
                  <w:tcW w:w="2052" w:type="dxa"/>
                  <w:vAlign w:val="center"/>
                </w:tcPr>
                <w:p w14:paraId="0DE08A30">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本项目无取水口</w:t>
                  </w:r>
                </w:p>
              </w:tc>
              <w:tc>
                <w:tcPr>
                  <w:tcW w:w="1129" w:type="dxa"/>
                  <w:vAlign w:val="center"/>
                </w:tcPr>
                <w:p w14:paraId="7C63D5DD">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未设置</w:t>
                  </w:r>
                </w:p>
              </w:tc>
            </w:tr>
            <w:tr w14:paraId="1DA26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847" w:type="dxa"/>
                  <w:vAlign w:val="center"/>
                </w:tcPr>
                <w:p w14:paraId="5EEC779E">
                  <w:pPr>
                    <w:autoSpaceDE w:val="0"/>
                    <w:autoSpaceDN w:val="0"/>
                    <w:adjustRightInd w:val="0"/>
                    <w:snapToGrid w:val="0"/>
                    <w:jc w:val="center"/>
                    <w:rPr>
                      <w:color w:val="auto"/>
                      <w:kern w:val="21"/>
                      <w:szCs w:val="21"/>
                      <w:rFonts w:eastAsiaTheme="minorEastAsia"/>
                    </w:rPr>
                  </w:pPr>
                  <w:r>
                    <w:rPr>
                      <w:color w:val="auto"/>
                      <w:kern w:val="21"/>
                      <w:szCs w:val="21"/>
                      <w:rFonts w:hint="eastAsia" w:hAnsiTheme="minorEastAsia" w:eastAsiaTheme="minorEastAsia"/>
                    </w:rPr>
                    <w:t>海洋</w:t>
                  </w:r>
                </w:p>
              </w:tc>
              <w:tc>
                <w:tcPr>
                  <w:tcW w:w="2552" w:type="dxa"/>
                  <w:vAlign w:val="center"/>
                </w:tcPr>
                <w:p w14:paraId="515EC154">
                  <w:pPr>
                    <w:autoSpaceDE w:val="0"/>
                    <w:autoSpaceDN w:val="0"/>
                    <w:adjustRightInd w:val="0"/>
                    <w:snapToGrid w:val="0"/>
                    <w:jc w:val="center"/>
                    <w:rPr>
                      <w:color w:val="auto"/>
                      <w:kern w:val="21"/>
                      <w:szCs w:val="21"/>
                      <w:rFonts w:eastAsiaTheme="minorEastAsia"/>
                    </w:rPr>
                  </w:pPr>
                  <w:r>
                    <w:rPr>
                      <w:color w:val="auto"/>
                      <w:kern w:val="21"/>
                      <w:szCs w:val="21"/>
                      <w:rFonts w:hint="eastAsia" w:hAnsiTheme="minorEastAsia" w:eastAsiaTheme="minorEastAsia"/>
                    </w:rPr>
                    <w:t>直接向海排放污染物的海洋工程建设项目</w:t>
                  </w:r>
                </w:p>
              </w:tc>
              <w:tc>
                <w:tcPr>
                  <w:tcW w:w="2052" w:type="dxa"/>
                  <w:vAlign w:val="center"/>
                </w:tcPr>
                <w:p w14:paraId="0C14E871">
                  <w:pPr>
                    <w:autoSpaceDE w:val="0"/>
                    <w:autoSpaceDN w:val="0"/>
                    <w:adjustRightInd w:val="0"/>
                    <w:snapToGrid w:val="0"/>
                    <w:jc w:val="center"/>
                    <w:rPr>
                      <w:color w:val="auto"/>
                      <w:kern w:val="21"/>
                      <w:szCs w:val="21"/>
                      <w:rFonts w:eastAsiaTheme="minorEastAsia"/>
                    </w:rPr>
                  </w:pPr>
                  <w:r>
                    <w:rPr>
                      <w:color w:val="auto"/>
                      <w:kern w:val="21"/>
                      <w:szCs w:val="21"/>
                      <w:rFonts w:eastAsiaTheme="minorEastAsia"/>
                    </w:rPr>
                    <w:t>本项目非海洋工程建设项目</w:t>
                  </w:r>
                </w:p>
              </w:tc>
              <w:tc>
                <w:tcPr>
                  <w:tcW w:w="1129" w:type="dxa"/>
                  <w:vAlign w:val="center"/>
                </w:tcPr>
                <w:p w14:paraId="6994B7A6">
                  <w:pPr>
                    <w:autoSpaceDE w:val="0"/>
                    <w:autoSpaceDN w:val="0"/>
                    <w:adjustRightInd w:val="0"/>
                    <w:snapToGrid w:val="0"/>
                    <w:jc w:val="center"/>
                    <w:rPr>
                      <w:color w:val="auto"/>
                      <w:kern w:val="0"/>
                      <w:szCs w:val="21"/>
                      <w:rFonts w:hAnsiTheme="minorEastAsia" w:eastAsiaTheme="minorEastAsia"/>
                    </w:rPr>
                  </w:pPr>
                  <w:r>
                    <w:rPr>
                      <w:color w:val="auto"/>
                      <w:kern w:val="0"/>
                      <w:szCs w:val="21"/>
                      <w:rFonts w:hint="eastAsia" w:hAnsiTheme="minorEastAsia" w:eastAsiaTheme="minorEastAsia"/>
                    </w:rPr>
                    <w:t>未设置</w:t>
                  </w:r>
                </w:p>
              </w:tc>
            </w:tr>
          </w:tbl>
          <w:p w14:paraId="3C14C99A">
            <w:pPr>
              <w:autoSpaceDE w:val="0"/>
              <w:autoSpaceDN w:val="0"/>
              <w:adjustRightInd w:val="0"/>
              <w:snapToGrid w:val="0"/>
              <w:jc w:val="center"/>
              <w:rPr>
                <w:color w:val="auto"/>
                <w:sz w:val="24"/>
                <w:kern w:val="0"/>
              </w:rPr>
            </w:pPr>
            <w:r>
              <w:rPr>
                <w:color w:val="auto"/>
                <w:sz w:val="21"/>
                <w:lang w:val="en-US" w:eastAsia="zh-CN" w:bidi="ar-SA"/>
                <w:bCs/>
                <w:kern w:val="2"/>
                <w:szCs w:val="21"/>
                <w:rFonts w:ascii="Calibri" w:hAnsi="Calibri" w:eastAsia="宋体" w:cs="宋体" w:hint="default"/>
              </w:rPr>
              <w:t>根据上表分析可知，本项目无需开展专项评价工作。</w:t>
            </w:r>
            <w:r>
              <w:rPr>
                <w:color w:val="auto"/>
                <w:sz w:val="24"/>
                <w:kern w:val="0"/>
                <w:rFonts w:hint="eastAsia"/>
              </w:rPr>
              <w:t xml:space="preserve">    </w:t>
            </w:r>
          </w:p>
        </w:tc>
      </w:tr>
      <w:tr w14:paraId="61E52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206" w:hRule="atLeast"/>
          <w:jc w:val="center"/>
        </w:trPr>
        <w:tc>
          <w:tcPr>
            <w:tcW w:w="2496" w:type="dxa"/>
            <w:vAlign w:val="center"/>
          </w:tcPr>
          <w:p w14:paraId="3559155C">
            <w:pPr>
              <w:autoSpaceDE w:val="0"/>
              <w:autoSpaceDN w:val="0"/>
              <w:adjustRightInd w:val="0"/>
              <w:snapToGrid w:val="0"/>
              <w:jc w:val="center"/>
              <w:rPr>
                <w:color w:val="auto"/>
                <w:sz w:val="24"/>
                <w:kern w:val="0"/>
              </w:rPr>
            </w:pPr>
            <w:r>
              <w:rPr>
                <w:color w:val="auto"/>
                <w:sz w:val="24"/>
              </w:rPr>
              <w:t>规划情况</w:t>
            </w:r>
          </w:p>
        </w:tc>
        <w:tc>
          <w:tcPr>
            <w:tcW w:w="6872" w:type="dxa"/>
            <w:gridSpan w:val="5"/>
            <w:vAlign w:val="center"/>
          </w:tcPr>
          <w:p w14:paraId="487DAF44">
            <w:pPr>
              <w:autoSpaceDE w:val="0"/>
              <w:autoSpaceDN w:val="0"/>
              <w:adjustRightInd w:val="0"/>
              <w:snapToGrid w:val="0"/>
              <w:jc w:val="center"/>
              <w:rPr>
                <w:color w:val="auto"/>
                <w:sz w:val="24"/>
                <w:kern w:val="0"/>
                <w:shd w:val="clear" w:color="FFFFFF" w:fill="FFFFFF"/>
                <w:rFonts w:eastAsiaTheme="minorEastAsia"/>
              </w:rPr>
            </w:pPr>
            <w:r>
              <w:rPr>
                <w:color w:val="auto"/>
                <w:sz w:val="24"/>
                <w:kern w:val="0"/>
              </w:rPr>
              <w:t>无</w:t>
            </w:r>
          </w:p>
        </w:tc>
      </w:tr>
      <w:tr w14:paraId="48E58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306" w:hRule="atLeast"/>
          <w:jc w:val="center"/>
        </w:trPr>
        <w:tc>
          <w:tcPr>
            <w:tcW w:w="2496" w:type="dxa"/>
            <w:vAlign w:val="center"/>
          </w:tcPr>
          <w:p w14:paraId="2D214075">
            <w:pPr>
              <w:adjustRightInd w:val="0"/>
              <w:snapToGrid w:val="0"/>
              <w:jc w:val="center"/>
              <w:rPr>
                <w:color w:val="auto"/>
                <w:sz w:val="24"/>
              </w:rPr>
            </w:pPr>
            <w:r>
              <w:rPr>
                <w:color w:val="auto"/>
                <w:sz w:val="24"/>
              </w:rPr>
              <w:t>规划环境影响</w:t>
            </w:r>
          </w:p>
          <w:p w14:paraId="05DECC7D">
            <w:pPr>
              <w:adjustRightInd w:val="0"/>
              <w:snapToGrid w:val="0"/>
              <w:jc w:val="center"/>
              <w:rPr>
                <w:color w:val="auto"/>
                <w:sz w:val="24"/>
                <w:kern w:val="0"/>
              </w:rPr>
            </w:pPr>
            <w:r>
              <w:rPr>
                <w:color w:val="auto"/>
                <w:sz w:val="24"/>
              </w:rPr>
              <w:t>评价情况</w:t>
            </w:r>
          </w:p>
        </w:tc>
        <w:tc>
          <w:tcPr>
            <w:tcW w:w="6872" w:type="dxa"/>
            <w:gridSpan w:val="5"/>
            <w:vAlign w:val="center"/>
          </w:tcPr>
          <w:p w14:paraId="653B7780">
            <w:pPr>
              <w:autoSpaceDE w:val="0"/>
              <w:autoSpaceDN w:val="0"/>
              <w:jc w:val="center"/>
              <w:spacing w:line="360" w:lineRule="auto"/>
              <w:rPr>
                <w:color w:val="auto"/>
                <w:sz w:val="24"/>
                <w:kern w:val="0"/>
                <w:shd w:val="clear" w:color="FFFFFF" w:fill="FFFFFF"/>
                <w:rFonts w:eastAsiaTheme="minorEastAsia"/>
              </w:rPr>
            </w:pPr>
            <w:r>
              <w:rPr>
                <w:color w:val="auto"/>
                <w:sz w:val="24"/>
                <w:kern w:val="0"/>
              </w:rPr>
              <w:t>无</w:t>
            </w:r>
          </w:p>
        </w:tc>
      </w:tr>
      <w:tr w14:paraId="7B5E8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229" w:hRule="atLeast"/>
          <w:jc w:val="center"/>
        </w:trPr>
        <w:tc>
          <w:tcPr>
            <w:tcW w:w="2496" w:type="dxa"/>
            <w:vAlign w:val="center"/>
          </w:tcPr>
          <w:p w14:paraId="6425CB98">
            <w:pPr>
              <w:autoSpaceDE w:val="0"/>
              <w:autoSpaceDN w:val="0"/>
              <w:adjustRightInd w:val="0"/>
              <w:snapToGrid w:val="0"/>
              <w:jc w:val="center"/>
              <w:rPr>
                <w:color w:val="auto"/>
                <w:sz w:val="24"/>
                <w:kern w:val="0"/>
              </w:rPr>
            </w:pPr>
            <w:r>
              <w:rPr>
                <w:color w:val="auto"/>
                <w:sz w:val="24"/>
                <w:kern w:val="0"/>
              </w:rPr>
              <w:t>规划及规划环境</w:t>
            </w:r>
          </w:p>
          <w:p w14:paraId="41127485">
            <w:pPr>
              <w:autoSpaceDE w:val="0"/>
              <w:autoSpaceDN w:val="0"/>
              <w:adjustRightInd w:val="0"/>
              <w:snapToGrid w:val="0"/>
              <w:jc w:val="center"/>
              <w:rPr>
                <w:color w:val="auto"/>
                <w:sz w:val="24"/>
                <w:kern w:val="0"/>
              </w:rPr>
            </w:pPr>
            <w:r>
              <w:rPr>
                <w:color w:val="auto"/>
                <w:sz w:val="24"/>
                <w:kern w:val="0"/>
              </w:rPr>
              <w:t>影响评价符合性分析</w:t>
            </w:r>
          </w:p>
        </w:tc>
        <w:tc>
          <w:tcPr>
            <w:tcW w:w="6872" w:type="dxa"/>
            <w:gridSpan w:val="5"/>
            <w:vAlign w:val="center"/>
          </w:tcPr>
          <w:p w14:paraId="76555D86">
            <w:pPr>
              <w:autoSpaceDE w:val="0"/>
              <w:autoSpaceDN w:val="0"/>
              <w:jc w:val="center"/>
              <w:spacing w:line="360" w:lineRule="auto"/>
              <w:rPr>
                <w:color w:val="auto"/>
                <w:sz w:val="24"/>
                <w:kern w:val="0"/>
              </w:rPr>
            </w:pPr>
            <w:r>
              <w:rPr>
                <w:color w:val="auto"/>
                <w:sz w:val="24"/>
                <w:kern w:val="0"/>
              </w:rPr>
              <w:t>无</w:t>
            </w:r>
          </w:p>
        </w:tc>
      </w:tr>
      <w:tr w14:paraId="6080F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021" w:hRule="atLeast"/>
          <w:jc w:val="center"/>
        </w:trPr>
        <w:tc>
          <w:tcPr>
            <w:tcW w:w="2496" w:type="dxa"/>
            <w:vAlign w:val="center"/>
          </w:tcPr>
          <w:p w14:paraId="45CF4046">
            <w:pPr>
              <w:autoSpaceDE w:val="0"/>
              <w:autoSpaceDN w:val="0"/>
              <w:adjustRightInd w:val="0"/>
              <w:snapToGrid w:val="0"/>
              <w:jc w:val="center"/>
              <w:rPr>
                <w:color w:val="auto"/>
                <w:sz w:val="24"/>
                <w:kern w:val="0"/>
              </w:rPr>
            </w:pPr>
            <w:r>
              <w:rPr>
                <w:color w:val="auto"/>
                <w:sz w:val="24"/>
                <w:kern w:val="0"/>
              </w:rPr>
              <w:t>其他符合性</w:t>
            </w:r>
          </w:p>
          <w:p w14:paraId="0101E272">
            <w:pPr>
              <w:autoSpaceDE w:val="0"/>
              <w:autoSpaceDN w:val="0"/>
              <w:adjustRightInd w:val="0"/>
              <w:snapToGrid w:val="0"/>
              <w:jc w:val="center"/>
              <w:rPr>
                <w:color w:val="auto"/>
                <w:sz w:val="24"/>
                <w:kern w:val="0"/>
              </w:rPr>
            </w:pPr>
            <w:r>
              <w:rPr>
                <w:color w:val="auto"/>
                <w:sz w:val="24"/>
                <w:kern w:val="0"/>
              </w:rPr>
              <w:t>分析</w:t>
            </w:r>
          </w:p>
        </w:tc>
        <w:tc>
          <w:tcPr>
            <w:tcW w:w="6872" w:type="dxa"/>
            <w:gridSpan w:val="5"/>
            <w:vAlign w:val="center"/>
          </w:tcPr>
          <w:p w14:paraId="4CC8D29D">
            <w:pPr>
              <w:jc w:val="left"/>
              <w:spacing w:line="360" w:lineRule="auto"/>
              <w:ind w:firstLine="482" w:firstLineChars="200"/>
              <w:rPr>
                <w:b w:val="1"/>
                <w:color w:val="auto"/>
                <w:sz w:val="24"/>
                <w:kern w:val="0"/>
                <w:szCs w:val="21"/>
              </w:rPr>
            </w:pPr>
            <w:r>
              <w:rPr>
                <w:b w:val="1"/>
                <w:color w:val="auto"/>
                <w:sz w:val="24"/>
                <w:kern w:val="0"/>
                <w:szCs w:val="21"/>
              </w:rPr>
              <w:t>1、与“三线一单”符合性分析</w:t>
            </w:r>
          </w:p>
          <w:p w14:paraId="5F984817">
            <w:pPr>
              <w:jc w:val="left"/>
              <w:contextualSpacing/>
              <w:spacing w:line="360" w:lineRule="auto"/>
              <w:ind w:firstLine="480" w:firstLineChars="200"/>
              <w:rPr>
                <w:color w:val="auto"/>
                <w:sz w:val="24"/>
                <w:szCs w:val="24"/>
              </w:rPr>
            </w:pPr>
            <w:r>
              <w:rPr>
                <w:color w:val="auto"/>
                <w:sz w:val="24"/>
                <w:bCs/>
                <w:szCs w:val="24"/>
                <w:rFonts w:ascii="Calibri" w:hAnsi="Calibri" w:eastAsia="宋体" w:cs="宋体" w:hint="eastAsia"/>
              </w:rPr>
              <w:t>根据</w:t>
            </w:r>
            <w:r>
              <w:rPr>
                <w:color w:val="auto"/>
                <w:sz w:val="24"/>
                <w:lang w:val="en-US" w:eastAsia="zh-CN" w:bidi="ar-SA"/>
                <w:bCs/>
                <w:kern w:val="2"/>
                <w:szCs w:val="24"/>
                <w:rFonts w:ascii="Times New Roman" w:hAnsi="Times New Roman" w:eastAsia="宋体" w:cs="Times New Roman" w:hint="default"/>
              </w:rPr>
              <w:t>《</w:t>
            </w:r>
            <w:r>
              <w:rPr>
                <w:color w:val="auto"/>
                <w:sz w:val="24"/>
                <w:lang w:val="en-US" w:eastAsia="zh-CN" w:bidi="ar-SA"/>
                <w:bCs/>
                <w:kern w:val="2"/>
                <w:szCs w:val="24"/>
                <w:rFonts w:ascii="Times New Roman" w:hAnsi="Times New Roman" w:eastAsia="宋体" w:cs="Times New Roman" w:hint="eastAsia"/>
              </w:rPr>
              <w:t>黑龙江省生态环境分区管控文本（2023年版本）</w:t>
            </w:r>
            <w:r>
              <w:rPr>
                <w:color w:val="auto"/>
                <w:sz w:val="24"/>
                <w:lang w:val="en-US" w:eastAsia="zh-CN" w:bidi="ar-SA"/>
                <w:bCs/>
                <w:kern w:val="2"/>
                <w:szCs w:val="24"/>
                <w:rFonts w:ascii="Times New Roman" w:hAnsi="Times New Roman" w:eastAsia="宋体" w:cs="Times New Roman" w:hint="default"/>
              </w:rPr>
              <w:t>》（黑</w:t>
            </w:r>
            <w:r>
              <w:rPr>
                <w:color w:val="auto"/>
                <w:sz w:val="24"/>
                <w:lang w:val="en-US" w:eastAsia="zh-CN" w:bidi="ar-SA"/>
                <w:bCs/>
                <w:kern w:val="2"/>
                <w:szCs w:val="24"/>
                <w:rFonts w:ascii="Times New Roman" w:hAnsi="Times New Roman" w:eastAsia="宋体" w:cs="Times New Roman" w:hint="eastAsia"/>
              </w:rPr>
              <w:t>环</w:t>
            </w:r>
            <w:r>
              <w:rPr>
                <w:color w:val="auto"/>
                <w:sz w:val="24"/>
                <w:lang w:val="en-US" w:eastAsia="zh-CN" w:bidi="ar-SA"/>
                <w:bCs/>
                <w:kern w:val="2"/>
                <w:szCs w:val="24"/>
                <w:rFonts w:ascii="Times New Roman" w:hAnsi="Times New Roman" w:eastAsia="宋体" w:cs="Times New Roman" w:hint="default"/>
              </w:rPr>
              <w:t>发〔</w:t>
            </w:r>
            <w:r>
              <w:rPr>
                <w:color w:val="auto"/>
                <w:sz w:val="24"/>
                <w:lang w:val="en-US" w:eastAsia="zh-CN" w:bidi="ar-SA"/>
                <w:bCs/>
                <w:kern w:val="2"/>
                <w:szCs w:val="24"/>
                <w:rFonts w:ascii="Times New Roman" w:hAnsi="Times New Roman" w:eastAsia="宋体" w:cs="Times New Roman" w:hint="eastAsia"/>
              </w:rPr>
              <w:t>2024</w:t>
            </w:r>
            <w:r>
              <w:rPr>
                <w:color w:val="auto"/>
                <w:sz w:val="24"/>
                <w:lang w:val="en-US" w:eastAsia="zh-CN" w:bidi="ar-SA"/>
                <w:bCs/>
                <w:kern w:val="2"/>
                <w:szCs w:val="24"/>
                <w:rFonts w:ascii="Times New Roman" w:hAnsi="Times New Roman" w:eastAsia="宋体" w:cs="Times New Roman" w:hint="default"/>
              </w:rPr>
              <w:t>〕1号）</w:t>
            </w:r>
            <w:r>
              <w:rPr>
                <w:color w:val="auto"/>
                <w:sz w:val="24"/>
                <w:lang w:val="en-US" w:eastAsia="zh-CN" w:bidi="ar-SA"/>
                <w:bCs/>
                <w:kern w:val="2"/>
                <w:szCs w:val="24"/>
                <w:rFonts w:ascii="Times New Roman" w:hAnsi="Times New Roman" w:eastAsia="宋体" w:cs="Times New Roman" w:hint="eastAsia"/>
              </w:rPr>
              <w:t>和《伊春市人民政府关于实施“三线一单”生态环境分区管控的意见》（伊政规〔2022〕5号）</w:t>
            </w:r>
            <w:r>
              <w:rPr>
                <w:color w:val="auto"/>
                <w:sz w:val="24"/>
                <w:bCs/>
                <w:szCs w:val="24"/>
                <w:rFonts w:ascii="Calibri" w:hAnsi="Calibri" w:eastAsia="宋体" w:cs="宋体" w:hint="eastAsia"/>
              </w:rPr>
              <w:t>，</w:t>
            </w:r>
            <w:r>
              <w:rPr>
                <w:color w:val="auto"/>
                <w:sz w:val="24"/>
                <w:lang w:val="zh-CN" w:eastAsia="zh-CN"/>
                <w:bCs/>
                <w:szCs w:val="24"/>
                <w:rFonts w:ascii="Calibri" w:hAnsi="Calibri" w:eastAsia="宋体" w:cs="宋体" w:hint="eastAsia"/>
              </w:rPr>
              <w:t>本项目与“三线一单”符合性情况如下：</w:t>
            </w:r>
          </w:p>
          <w:p w14:paraId="3332E439">
            <w:pPr>
              <w:widowControl w:val="1"/>
              <w:jc w:val="left"/>
              <w:spacing w:line="360" w:lineRule="auto"/>
              <w:ind w:firstLine="482" w:firstLineChars="200"/>
              <w:rPr>
                <w:b w:val="1"/>
                <w:color w:val="auto"/>
                <w:sz w:val="24"/>
              </w:rPr>
            </w:pPr>
            <w:r>
              <w:rPr>
                <w:b w:val="1"/>
                <w:color w:val="auto"/>
                <w:sz w:val="24"/>
              </w:rPr>
              <w:t>（1）生态保护红线符合性分析</w:t>
            </w:r>
          </w:p>
          <w:p w14:paraId="1A78A12C">
            <w:pPr>
              <w:widowControl w:val="1"/>
              <w:spacing w:line="360" w:lineRule="auto"/>
              <w:ind w:firstLine="480" w:firstLineChars="200"/>
              <w:rPr>
                <w:color w:val="auto"/>
                <w:sz w:val="24"/>
                <w:kern w:val="0"/>
                <w:szCs w:val="21"/>
                <w:rFonts w:hAnsiTheme="minorEastAsia" w:eastAsiaTheme="minorEastAsia"/>
              </w:rPr>
            </w:pPr>
            <w:r>
              <w:rPr>
                <w:color w:val="auto"/>
                <w:sz w:val="24"/>
              </w:rPr>
              <w:t>本项目位于黑龙江省</w:t>
            </w:r>
            <w:r>
              <w:rPr>
                <w:color w:val="auto"/>
                <w:sz w:val="24"/>
                <w:lang w:val="en-US" w:eastAsia="zh-CN"/>
                <w:szCs w:val="24"/>
                <w:rFonts w:hint="eastAsia"/>
              </w:rPr>
              <w:t>伊春市伊美区伊东林场</w:t>
            </w:r>
            <w:r>
              <w:rPr>
                <w:color w:val="auto"/>
                <w:sz w:val="24"/>
                <w:bCs/>
              </w:rPr>
              <w:t>，</w:t>
            </w:r>
            <w:r>
              <w:rPr>
                <w:color w:val="auto"/>
                <w:sz w:val="24"/>
                <w:kern w:val="0"/>
                <w:szCs w:val="21"/>
                <w:rFonts w:hAnsiTheme="minorEastAsia" w:eastAsiaTheme="minorEastAsia"/>
              </w:rPr>
              <w:t>不在《黑龙江省生态保护红线划定方案》（上报稿）划定的生态保护红线范围内。符合“生态保护红线”要求。</w:t>
            </w:r>
          </w:p>
          <w:p w14:paraId="27FE7016">
            <w:pPr>
              <w:widowControl w:val="1"/>
              <w:spacing w:line="360" w:lineRule="auto"/>
              <w:ind w:firstLine="482" w:firstLineChars="200"/>
              <w:rPr>
                <w:b w:val="1"/>
                <w:color w:val="auto"/>
                <w:sz w:val="24"/>
              </w:rPr>
            </w:pPr>
            <w:r>
              <w:rPr>
                <w:b w:val="1"/>
                <w:color w:val="auto"/>
                <w:sz w:val="24"/>
              </w:rPr>
              <w:t>（2）环境质量底线符合性分析</w:t>
            </w:r>
          </w:p>
          <w:p w14:paraId="2F9AFD55">
            <w:pPr>
              <w:widowControl w:val="1"/>
              <w:spacing w:line="360" w:lineRule="auto"/>
              <w:ind w:firstLine="480" w:firstLineChars="200"/>
              <w:rPr>
                <w:color w:val="auto"/>
                <w:sz w:val="24"/>
                <w:szCs w:val="24"/>
              </w:rPr>
            </w:pPr>
            <w:r>
              <w:rPr>
                <w:color w:val="auto"/>
                <w:sz w:val="24"/>
                <w:lang w:val="en-US" w:eastAsia="zh-CN" w:bidi="ar-SA"/>
                <w:bCs/>
                <w:kern w:val="2"/>
                <w:szCs w:val="24"/>
                <w:rFonts w:ascii="Times New Roman" w:hAnsi="Times New Roman" w:eastAsia="宋体" w:cs="Times New Roman" w:hint="eastAsia"/>
              </w:rPr>
              <w:t>本项目所在区域大气环境执行《环境空气质量标准》（GB3095-2012）及修改单中的二级标准，项目区域声环境、水环境现状质量符合环境功能区划（即环境质量目标）要求。本项目运营后会产生一定的污染物，如废气、固废、噪声等，但在采取相应的污染防治措施后，各类污染物均可达标排放，不会对周边环境造成不良影响，不会降低区域环境质量</w:t>
            </w:r>
            <w:r>
              <w:rPr>
                <w:color w:val="auto"/>
                <w:sz w:val="24"/>
                <w:kern w:val="0"/>
                <w:szCs w:val="24"/>
              </w:rPr>
              <w:t>。</w:t>
            </w:r>
          </w:p>
          <w:p w14:paraId="5EC876ED">
            <w:pPr>
              <w:widowControl w:val="1"/>
              <w:spacing w:line="360" w:lineRule="auto"/>
              <w:ind w:firstLine="482" w:firstLineChars="200"/>
              <w:rPr>
                <w:b w:val="1"/>
                <w:color w:val="auto"/>
                <w:sz w:val="24"/>
              </w:rPr>
            </w:pPr>
            <w:r>
              <w:rPr>
                <w:b w:val="1"/>
                <w:color w:val="auto"/>
                <w:sz w:val="24"/>
              </w:rPr>
              <w:t>（3）资源利用上线符合性分析</w:t>
            </w:r>
          </w:p>
          <w:p w14:paraId="53675858">
            <w:pPr>
              <w:widowControl w:val="1"/>
              <w:spacing w:line="360" w:lineRule="auto"/>
              <w:ind w:firstLine="480" w:firstLineChars="200"/>
              <w:rPr>
                <w:color w:val="auto"/>
                <w:sz w:val="24"/>
              </w:rPr>
            </w:pPr>
            <w:r>
              <w:rPr>
                <w:color w:val="auto"/>
                <w:sz w:val="24"/>
                <w:rFonts w:ascii="宋体" w:hAnsi="宋体" w:hint="eastAsia"/>
              </w:rPr>
              <w:t>本项目用水采用厂区自打井，不属于高水耗，高能耗行业</w:t>
            </w:r>
            <w:r>
              <w:rPr>
                <w:color w:val="auto"/>
                <w:sz w:val="24"/>
                <w:rFonts w:hint="eastAsia"/>
              </w:rPr>
              <w:t>。</w:t>
            </w:r>
            <w:r>
              <w:rPr>
                <w:color w:val="auto"/>
                <w:sz w:val="24"/>
              </w:rPr>
              <w:t>生产不用水，仅生活用水，</w:t>
            </w:r>
            <w:r>
              <w:rPr>
                <w:color w:val="auto"/>
                <w:sz w:val="24"/>
                <w:rFonts w:ascii="宋体" w:hAnsi="宋体" w:hint="eastAsia"/>
              </w:rPr>
              <w:t>提高用水效率，</w:t>
            </w:r>
            <w:r>
              <w:rPr>
                <w:color w:val="auto"/>
                <w:sz w:val="24"/>
                <w:rFonts w:hint="eastAsia"/>
              </w:rPr>
              <w:t>且制定节水方案，</w:t>
            </w:r>
            <w:r>
              <w:rPr>
                <w:color w:val="auto"/>
                <w:sz w:val="24"/>
                <w:rFonts w:ascii="宋体" w:hAnsi="宋体" w:hint="eastAsia"/>
              </w:rPr>
              <w:t>减少对水资源的消耗</w:t>
            </w:r>
            <w:r>
              <w:rPr>
                <w:color w:val="auto"/>
                <w:sz w:val="24"/>
                <w:rFonts w:hint="eastAsia"/>
              </w:rPr>
              <w:t>。本项目选址土地为</w:t>
            </w:r>
            <w:r>
              <w:rPr>
                <w:color w:val="auto"/>
                <w:sz w:val="24"/>
                <w:lang w:val="en-US" w:eastAsia="zh-CN"/>
                <w:rFonts w:hint="eastAsia"/>
              </w:rPr>
              <w:t>临时</w:t>
            </w:r>
            <w:r>
              <w:rPr>
                <w:color w:val="auto"/>
                <w:sz w:val="24"/>
                <w:rFonts w:hint="eastAsia"/>
              </w:rPr>
              <w:t>用地，不占用基本农田。综上，本项目符合</w:t>
            </w:r>
            <w:r>
              <w:rPr>
                <w:color w:val="auto"/>
                <w:sz w:val="24"/>
                <w:lang w:val="en-US" w:eastAsia="zh-CN"/>
                <w:rFonts w:hint="eastAsia"/>
              </w:rPr>
              <w:t>伊春</w:t>
            </w:r>
            <w:r>
              <w:rPr>
                <w:color w:val="auto"/>
                <w:sz w:val="24"/>
                <w:rFonts w:hint="eastAsia"/>
              </w:rPr>
              <w:t>市能源、水资源、土地资源等资源利用上线要求。</w:t>
            </w:r>
          </w:p>
          <w:p w14:paraId="55F1FD1E">
            <w:pPr>
              <w:widowControl w:val="1"/>
              <w:spacing w:line="360" w:lineRule="auto"/>
              <w:ind w:firstLine="482" w:firstLineChars="200"/>
              <w:rPr>
                <w:b w:val="1"/>
                <w:color w:val="auto"/>
                <w:sz w:val="24"/>
              </w:rPr>
            </w:pPr>
            <w:r>
              <w:rPr>
                <w:b w:val="1"/>
                <w:color w:val="auto"/>
                <w:sz w:val="24"/>
              </w:rPr>
              <w:t>（4）环境准入清单符合性分析</w:t>
            </w:r>
          </w:p>
          <w:p w14:paraId="09EFFED8">
            <w:pPr>
              <w:widowControl w:val="1"/>
              <w:spacing w:line="360" w:lineRule="auto"/>
              <w:ind w:firstLine="480" w:firstLineChars="200"/>
              <w:rPr>
                <w:color w:val="auto"/>
                <w:sz w:val="24"/>
                <w:rFonts w:hAnsiTheme="minorEastAsia" w:eastAsiaTheme="minorEastAsia"/>
              </w:rPr>
            </w:pPr>
            <w:r>
              <w:rPr>
                <w:color w:val="auto"/>
                <w:sz w:val="24"/>
              </w:rPr>
              <w:t>本项目位于黑龙江省</w:t>
            </w:r>
            <w:r>
              <w:rPr>
                <w:color w:val="auto"/>
                <w:sz w:val="24"/>
                <w:lang w:val="en-US" w:eastAsia="zh-CN"/>
                <w:szCs w:val="24"/>
                <w:rFonts w:hint="eastAsia"/>
              </w:rPr>
              <w:t>伊春市伊美区伊东林场</w:t>
            </w:r>
            <w:r>
              <w:rPr>
                <w:color w:val="auto"/>
                <w:sz w:val="24"/>
                <w:bCs/>
              </w:rPr>
              <w:t>，</w:t>
            </w:r>
            <w:r>
              <w:rPr>
                <w:color w:val="auto"/>
                <w:sz w:val="24"/>
                <w:rFonts w:hint="eastAsia"/>
              </w:rPr>
              <w:t>本项目所处区域位于</w:t>
            </w:r>
            <w:r>
              <w:rPr>
                <w:color w:val="auto"/>
                <w:sz w:val="24"/>
                <w:lang w:val="en-US" w:eastAsia="zh-CN"/>
                <w:rFonts w:hint="eastAsia"/>
              </w:rPr>
              <w:t>重点</w:t>
            </w:r>
            <w:r>
              <w:rPr>
                <w:color w:val="auto"/>
                <w:sz w:val="24"/>
                <w:rFonts w:hint="eastAsia"/>
              </w:rPr>
              <w:t>管控单元</w:t>
            </w:r>
            <w:r>
              <w:rPr>
                <w:color w:val="auto"/>
                <w:sz w:val="24"/>
                <w:rFonts w:hint="eastAsia"/>
              </w:rPr>
              <w:t>内，</w:t>
            </w:r>
            <w:r>
              <w:rPr>
                <w:color w:val="auto"/>
                <w:sz w:val="24"/>
                <w:rFonts w:hAnsiTheme="minorEastAsia" w:eastAsiaTheme="minorEastAsia"/>
              </w:rPr>
              <w:t>根据《</w:t>
            </w:r>
            <w:r>
              <w:rPr>
                <w:color w:val="auto"/>
                <w:sz w:val="24"/>
                <w:lang w:val="en-US" w:eastAsia="zh-CN"/>
                <w:rFonts w:hint="eastAsia" w:hAnsiTheme="minorEastAsia" w:eastAsiaTheme="minorEastAsia"/>
              </w:rPr>
              <w:t>伊春</w:t>
            </w:r>
            <w:r>
              <w:rPr>
                <w:color w:val="auto"/>
                <w:sz w:val="24"/>
                <w:rFonts w:hAnsiTheme="minorEastAsia" w:eastAsiaTheme="minorEastAsia"/>
              </w:rPr>
              <w:t>市生态环境准入清单》</w:t>
            </w:r>
            <w:r>
              <w:rPr>
                <w:color w:val="auto"/>
                <w:sz w:val="24"/>
                <w:rFonts w:hint="eastAsia" w:hAnsiTheme="minorEastAsia" w:eastAsiaTheme="minorEastAsia"/>
              </w:rPr>
              <w:t>（2023年版）</w:t>
            </w:r>
            <w:r>
              <w:rPr>
                <w:color w:val="auto"/>
                <w:sz w:val="24"/>
                <w:rFonts w:hAnsiTheme="minorEastAsia" w:eastAsiaTheme="minorEastAsia"/>
              </w:rPr>
              <w:t>，具体管控要求及符合性分析见下表。</w:t>
            </w:r>
          </w:p>
          <w:p w14:paraId="2B6FB38D">
            <w:pPr>
              <w:autoSpaceDE w:val="0"/>
              <w:autoSpaceDN w:val="0"/>
              <w:jc w:val="center"/>
              <w:contextualSpacing/>
              <w:rPr>
                <w:b w:val="1"/>
                <w:color w:val="auto"/>
                <w:sz w:val="24"/>
              </w:rPr>
            </w:pPr>
            <w:r>
              <w:rPr>
                <w:b w:val="1"/>
                <w:color w:val="auto"/>
                <w:sz w:val="24"/>
              </w:rPr>
              <w:t>表1-</w:t>
            </w:r>
            <w:r>
              <w:rPr>
                <w:b w:val="1"/>
                <w:color w:val="auto"/>
                <w:sz w:val="24"/>
                <w:rFonts w:hint="eastAsia"/>
              </w:rPr>
              <w:t>2</w:t>
            </w:r>
            <w:r>
              <w:rPr>
                <w:b w:val="1"/>
                <w:color w:val="auto"/>
                <w:sz w:val="24"/>
              </w:rPr>
              <w:t xml:space="preserve"> 生态环境准入清单管控要求符合性分析</w:t>
            </w:r>
          </w:p>
          <w:tbl>
            <w:tblPr>
              <w:tblStyle w:val="27"/>
              <w:tblW w:w="6458" w:type="dxa"/>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771.000000"/>
              <w:gridCol w:w="377.000000"/>
              <w:gridCol w:w="404.000000"/>
              <w:gridCol w:w="437.000000"/>
              <w:gridCol w:w="3008.000000"/>
              <w:gridCol w:w="1461.000000"/>
            </w:tblGrid>
            <w:tr w14:paraId="30EB3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771" w:type="dxa"/>
                  <w:vAlign w:val="center"/>
                  <w:tcBorders>
                    <w:top w:val="single" w:color="auto" w:sz="12" w:space="0"/>
                    <w:left w:val="nil"/>
                    <w:bottom w:val="single" w:color="auto" w:sz="4" w:space="0"/>
                    <w:right w:val="single" w:color="auto" w:sz="4" w:space="0"/>
                  </w:tcBorders>
                  <w:noWrap/>
                </w:tcPr>
                <w:p w14:paraId="6721E7E7">
                  <w:pPr>
                    <w:jc w:val="center"/>
                    <w:rPr>
                      <w:color w:val="auto"/>
                      <w:szCs w:val="21"/>
                      <w:rFonts w:ascii="宋体" w:hAnsi="宋体"/>
                    </w:rPr>
                  </w:pPr>
                  <w:r>
                    <w:rPr>
                      <w:color w:val="auto"/>
                      <w:rFonts w:ascii="宋体" w:hAnsi="宋体" w:hint="eastAsia"/>
                    </w:rPr>
                    <w:t>环境管控单元编码</w:t>
                  </w:r>
                </w:p>
              </w:tc>
              <w:tc>
                <w:tcPr>
                  <w:tcW w:w="377" w:type="dxa"/>
                  <w:vAlign w:val="center"/>
                  <w:tcBorders>
                    <w:top w:val="single" w:color="auto" w:sz="12" w:space="0"/>
                    <w:left w:val="single" w:color="auto" w:sz="4" w:space="0"/>
                    <w:bottom w:val="single" w:color="auto" w:sz="4" w:space="0"/>
                    <w:right w:val="single" w:color="auto" w:sz="4" w:space="0"/>
                  </w:tcBorders>
                  <w:noWrap/>
                </w:tcPr>
                <w:p w14:paraId="7DBD21AA">
                  <w:pPr>
                    <w:jc w:val="center"/>
                    <w:rPr>
                      <w:color w:val="auto"/>
                      <w:szCs w:val="21"/>
                      <w:rFonts w:ascii="宋体" w:hAnsi="宋体"/>
                    </w:rPr>
                  </w:pPr>
                  <w:r>
                    <w:rPr>
                      <w:color w:val="auto"/>
                      <w:rFonts w:ascii="宋体" w:hAnsi="宋体" w:hint="eastAsia"/>
                    </w:rPr>
                    <w:t>环境管控单元名称</w:t>
                  </w:r>
                </w:p>
              </w:tc>
              <w:tc>
                <w:tcPr>
                  <w:tcW w:w="404" w:type="dxa"/>
                  <w:vAlign w:val="center"/>
                  <w:tcBorders>
                    <w:top w:val="single" w:color="auto" w:sz="12" w:space="0"/>
                    <w:left w:val="single" w:color="auto" w:sz="4" w:space="0"/>
                    <w:bottom w:val="single" w:color="auto" w:sz="4" w:space="0"/>
                    <w:right w:val="single" w:color="auto" w:sz="4" w:space="0"/>
                  </w:tcBorders>
                  <w:noWrap/>
                </w:tcPr>
                <w:p w14:paraId="5A630FF5">
                  <w:pPr>
                    <w:jc w:val="center"/>
                    <w:rPr>
                      <w:color w:val="auto"/>
                      <w:szCs w:val="21"/>
                      <w:rFonts w:ascii="宋体" w:hAnsi="宋体"/>
                    </w:rPr>
                  </w:pPr>
                  <w:r>
                    <w:rPr>
                      <w:color w:val="auto"/>
                      <w:rFonts w:ascii="宋体" w:hAnsi="宋体" w:hint="eastAsia"/>
                    </w:rPr>
                    <w:t>管控单元类别</w:t>
                  </w:r>
                </w:p>
              </w:tc>
              <w:tc>
                <w:tcPr>
                  <w:tcW w:w="3445" w:type="dxa"/>
                  <w:gridSpan w:val="2"/>
                  <w:vAlign w:val="center"/>
                  <w:tcBorders>
                    <w:top w:val="single" w:color="auto" w:sz="12" w:space="0"/>
                    <w:left w:val="single" w:color="auto" w:sz="4" w:space="0"/>
                    <w:bottom w:val="single" w:color="auto" w:sz="4" w:space="0"/>
                    <w:right w:val="single" w:color="auto" w:sz="4" w:space="0"/>
                  </w:tcBorders>
                  <w:noWrap/>
                </w:tcPr>
                <w:p w14:paraId="6B78C022">
                  <w:pPr>
                    <w:jc w:val="center"/>
                    <w:rPr>
                      <w:color w:val="auto"/>
                      <w:szCs w:val="21"/>
                      <w:rFonts w:ascii="宋体" w:hAnsi="宋体"/>
                    </w:rPr>
                  </w:pPr>
                  <w:r>
                    <w:rPr>
                      <w:color w:val="auto"/>
                      <w:kern w:val="0"/>
                      <w:rFonts w:ascii="宋体" w:hAnsi="宋体" w:hint="eastAsia"/>
                    </w:rPr>
                    <w:t>管控要求</w:t>
                  </w:r>
                </w:p>
              </w:tc>
              <w:tc>
                <w:tcPr>
                  <w:tcW w:w="1461" w:type="dxa"/>
                  <w:vAlign w:val="center"/>
                  <w:tcBorders>
                    <w:top w:val="single" w:color="auto" w:sz="12" w:space="0"/>
                    <w:left w:val="single" w:color="auto" w:sz="4" w:space="0"/>
                    <w:bottom w:val="single" w:color="auto" w:sz="4" w:space="0"/>
                    <w:right w:val="nil"/>
                  </w:tcBorders>
                  <w:noWrap/>
                </w:tcPr>
                <w:p w14:paraId="1E4E533B">
                  <w:pPr>
                    <w:jc w:val="center"/>
                    <w:rPr>
                      <w:color w:val="auto"/>
                      <w:szCs w:val="21"/>
                      <w:rFonts w:ascii="宋体" w:hAnsi="宋体"/>
                    </w:rPr>
                  </w:pPr>
                  <w:r>
                    <w:rPr>
                      <w:color w:val="auto"/>
                      <w:rFonts w:ascii="宋体" w:hAnsi="宋体" w:hint="eastAsia"/>
                    </w:rPr>
                    <w:t>符合性分析</w:t>
                  </w:r>
                </w:p>
              </w:tc>
            </w:tr>
            <w:tr w14:paraId="15BB7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771" w:type="dxa"/>
                  <w:vMerge w:val="restart"/>
                  <w:vAlign w:val="center"/>
                  <w:tcBorders>
                    <w:top w:val="single" w:color="auto" w:sz="4" w:space="0"/>
                    <w:left w:val="nil"/>
                    <w:right w:val="single" w:color="auto" w:sz="4" w:space="0"/>
                  </w:tcBorders>
                  <w:noWrap/>
                </w:tcPr>
                <w:p w14:paraId="1443E40E">
                  <w:pPr>
                    <w:pStyle w:val="78"/>
                    <w:ind w:firstLineChars="0" w:hanging="87"/>
                    <w:rPr>
                      <w:color w:val="auto"/>
                      <w:szCs w:val="21"/>
                      <w:rFonts w:ascii="Times New Roman" w:hAnsi="Times New Roman" w:eastAsia="宋体" w:cs="Times New Roman" w:hint="default"/>
                    </w:rPr>
                  </w:pPr>
                  <w:r>
                    <w:rPr>
                      <w:color w:val="auto"/>
                      <w:sz w:val="21"/>
                      <w:szCs w:val="21"/>
                      <w:rFonts w:ascii="Times New Roman" w:hAnsi="Times New Roman" w:eastAsia="宋体" w:cs="Times New Roman" w:hint="default"/>
                    </w:rPr>
                    <w:t>ZH23071720002</w:t>
                  </w:r>
                </w:p>
              </w:tc>
              <w:tc>
                <w:tcPr>
                  <w:tcW w:w="377" w:type="dxa"/>
                  <w:vMerge w:val="restart"/>
                  <w:vAlign w:val="center"/>
                  <w:tcBorders>
                    <w:top w:val="single" w:color="auto" w:sz="4" w:space="0"/>
                    <w:left w:val="single" w:color="auto" w:sz="4" w:space="0"/>
                    <w:right w:val="single" w:color="auto" w:sz="4" w:space="0"/>
                  </w:tcBorders>
                  <w:noWrap/>
                </w:tcPr>
                <w:p w14:paraId="07F0D2EA">
                  <w:pPr>
                    <w:pStyle w:val="78"/>
                    <w:rPr>
                      <w:color w:val="auto"/>
                      <w:szCs w:val="21"/>
                      <w:rFonts w:ascii="Times New Roman" w:hAnsi="Times New Roman" w:eastAsia="宋体" w:cs="Times New Roman" w:hint="default"/>
                    </w:rPr>
                  </w:pPr>
                  <w:r>
                    <w:rPr>
                      <w:color w:val="auto"/>
                      <w:sz w:val="21"/>
                      <w:szCs w:val="21"/>
                      <w:rFonts w:ascii="Times New Roman" w:hAnsi="Times New Roman" w:eastAsia="宋体" w:cs="Times New Roman" w:hint="default"/>
                    </w:rPr>
                    <w:t>伊美区大气环境布局敏感重点管控区</w:t>
                  </w:r>
                </w:p>
              </w:tc>
              <w:tc>
                <w:tcPr>
                  <w:tcW w:w="404" w:type="dxa"/>
                  <w:vMerge w:val="restart"/>
                  <w:vAlign w:val="center"/>
                  <w:tcBorders>
                    <w:top w:val="single" w:color="auto" w:sz="4" w:space="0"/>
                    <w:left w:val="single" w:color="auto" w:sz="4" w:space="0"/>
                    <w:right w:val="single" w:color="auto" w:sz="4" w:space="0"/>
                  </w:tcBorders>
                  <w:noWrap/>
                </w:tcPr>
                <w:p w14:paraId="1AF5D7BB">
                  <w:pPr>
                    <w:jc w:val="center"/>
                    <w:rPr>
                      <w:color w:val="auto"/>
                      <w:szCs w:val="21"/>
                      <w:rFonts w:ascii="Times New Roman" w:hAnsi="Times New Roman" w:eastAsia="宋体" w:cs="Times New Roman" w:hint="default"/>
                    </w:rPr>
                  </w:pPr>
                  <w:r>
                    <w:rPr>
                      <w:color w:val="auto"/>
                      <w:sz w:val="21"/>
                      <w:szCs w:val="21"/>
                      <w:rFonts w:ascii="Times New Roman" w:hAnsi="Times New Roman" w:eastAsia="宋体" w:cs="Times New Roman" w:hint="default"/>
                    </w:rPr>
                    <w:t>重点管控单元</w:t>
                  </w:r>
                </w:p>
              </w:tc>
              <w:tc>
                <w:tcPr>
                  <w:tcW w:w="437" w:type="dxa"/>
                  <w:vAlign w:val="center"/>
                  <w:tcBorders>
                    <w:top w:val="single" w:color="auto" w:sz="4" w:space="0"/>
                    <w:left w:val="single" w:color="auto" w:sz="4" w:space="0"/>
                    <w:bottom w:val="single" w:color="auto" w:sz="4" w:space="0"/>
                    <w:right w:val="single" w:color="auto" w:sz="4" w:space="0"/>
                  </w:tcBorders>
                  <w:noWrap/>
                </w:tcPr>
                <w:p w14:paraId="38766C27">
                  <w:pPr>
                    <w:pStyle w:val="78"/>
                    <w:rPr>
                      <w:color w:val="auto"/>
                      <w:szCs w:val="21"/>
                      <w:rFonts w:ascii="Times New Roman" w:hAnsi="Times New Roman" w:eastAsia="宋体" w:cs="Times New Roman" w:hint="default"/>
                    </w:rPr>
                  </w:pPr>
                  <w:r>
                    <w:rPr>
                      <w:color w:val="auto"/>
                      <w:sz w:val="21"/>
                      <w:szCs w:val="21"/>
                      <w:rFonts w:ascii="Times New Roman" w:hAnsi="Times New Roman" w:eastAsia="宋体" w:cs="Times New Roman" w:hint="default"/>
                    </w:rPr>
                    <w:t>空间布局约束</w:t>
                  </w:r>
                </w:p>
              </w:tc>
              <w:tc>
                <w:tcPr>
                  <w:tcW w:w="3008" w:type="dxa"/>
                  <w:vAlign w:val="center"/>
                  <w:tcBorders>
                    <w:top w:val="single" w:color="auto" w:sz="4" w:space="0"/>
                    <w:left w:val="single" w:color="auto" w:sz="4" w:space="0"/>
                    <w:bottom w:val="single" w:color="auto" w:sz="4" w:space="0"/>
                    <w:right w:val="single" w:color="auto" w:sz="4" w:space="0"/>
                  </w:tcBorders>
                  <w:noWrap/>
                </w:tcPr>
                <w:p w14:paraId="7785CE71">
                  <w:pPr>
                    <w:pStyle w:val="78"/>
                    <w:jc w:val="left"/>
                    <w:ind w:right="105" w:rightChars="50"/>
                    <w:rPr>
                      <w:color w:val="auto"/>
                      <w:sz w:val="21"/>
                      <w:lang w:val="en-US"/>
                      <w:szCs w:val="21"/>
                      <w:rFonts w:ascii="Times New Roman" w:hAnsi="Times New Roman" w:eastAsia="宋体" w:cs="Times New Roman" w:hint="default"/>
                    </w:rPr>
                  </w:pPr>
                  <w:r>
                    <w:rPr>
                      <w:color w:val="auto"/>
                      <w:sz w:val="21"/>
                      <w:lang w:val="en-US"/>
                      <w:szCs w:val="21"/>
                      <w:rFonts w:ascii="Times New Roman" w:hAnsi="Times New Roman" w:eastAsia="宋体" w:cs="Times New Roman" w:hint="default"/>
                    </w:rPr>
                    <w:t>1.严控“两高”行业产能。严格执行钢铁、水泥、平板玻璃等行业产能置换实施办法。</w:t>
                  </w:r>
                </w:p>
                <w:p w14:paraId="7791BFBC">
                  <w:pPr>
                    <w:pStyle w:val="78"/>
                    <w:jc w:val="left"/>
                    <w:ind w:right="105" w:rightChars="50"/>
                    <w:rPr>
                      <w:color w:val="auto"/>
                      <w:spacing w:val="-3"/>
                      <w:kern w:val="0"/>
                      <w:rFonts w:ascii="Times New Roman" w:hAnsi="Times New Roman" w:eastAsia="宋体" w:cs="Times New Roman" w:hint="default"/>
                    </w:rPr>
                  </w:pPr>
                  <w:r>
                    <w:rPr>
                      <w:color w:val="auto"/>
                      <w:sz w:val="21"/>
                      <w:lang w:val="en-US"/>
                      <w:szCs w:val="21"/>
                      <w:rFonts w:ascii="Times New Roman" w:hAnsi="Times New Roman" w:eastAsia="宋体" w:cs="Times New Roman" w:hint="default"/>
                    </w:rPr>
                    <w:t>2.利用水泥窑协同处置城市生活垃圾、危险废弃物、电石渣等固废伴生水泥项目，必须依托现有新型干法水泥熟料生产线进行不扩产能改造。</w:t>
                  </w:r>
                </w:p>
              </w:tc>
              <w:tc>
                <w:tcPr>
                  <w:tcW w:w="1461" w:type="dxa"/>
                  <w:vMerge w:val="restart"/>
                  <w:vAlign w:val="center"/>
                  <w:tcBorders>
                    <w:top w:val="single" w:color="auto" w:sz="4" w:space="0"/>
                    <w:left w:val="single" w:color="auto" w:sz="4" w:space="0"/>
                    <w:right w:val="nil"/>
                  </w:tcBorders>
                  <w:noWrap/>
                </w:tcPr>
                <w:p w14:paraId="6F71AF1B">
                  <w:pPr>
                    <w:rPr>
                      <w:color w:val="auto"/>
                      <w:kern w:val="0"/>
                      <w:szCs w:val="21"/>
                      <w:rFonts w:ascii="宋体" w:hAnsi="宋体"/>
                    </w:rPr>
                  </w:pPr>
                  <w:r>
                    <w:rPr>
                      <w:color w:val="auto"/>
                      <w:kern w:val="0"/>
                      <w:rFonts w:ascii="宋体" w:hAnsi="宋体" w:hint="eastAsia"/>
                    </w:rPr>
                    <w:t>本项目污染物排放均满足相应标准，本项目属于</w:t>
                  </w:r>
                  <w:r>
                    <w:rPr>
                      <w:color w:val="auto"/>
                      <w:kern w:val="0"/>
                      <w:rFonts w:ascii="宋体" w:hAnsi="宋体"/>
                    </w:rPr>
                    <w:t>沥青混凝土加工</w:t>
                  </w:r>
                  <w:r>
                    <w:rPr>
                      <w:color w:val="auto"/>
                      <w:kern w:val="0"/>
                      <w:rFonts w:ascii="宋体" w:hAnsi="宋体" w:hint="eastAsia"/>
                    </w:rPr>
                    <w:t>项目，</w:t>
                  </w:r>
                  <w:r>
                    <w:rPr>
                      <w:color w:val="auto"/>
                      <w:kern w:val="0"/>
                      <w:rFonts w:hAnsi="宋体"/>
                    </w:rPr>
                    <w:t>不涉及生产、使用淘汰类产品和产能，</w:t>
                  </w:r>
                  <w:r>
                    <w:rPr>
                      <w:color w:val="auto"/>
                      <w:kern w:val="0"/>
                      <w:rFonts w:ascii="宋体" w:hAnsi="宋体" w:hint="eastAsia"/>
                    </w:rPr>
                    <w:t>符合</w:t>
                  </w:r>
                  <w:r>
                    <w:rPr>
                      <w:color w:val="auto"/>
                      <w:lang w:val="en-US" w:eastAsia="zh-CN"/>
                      <w:kern w:val="0"/>
                      <w:rFonts w:ascii="宋体" w:hAnsi="宋体" w:hint="eastAsia"/>
                    </w:rPr>
                    <w:t>管控</w:t>
                  </w:r>
                  <w:r>
                    <w:rPr>
                      <w:color w:val="auto"/>
                      <w:kern w:val="0"/>
                      <w:rFonts w:ascii="宋体" w:hAnsi="宋体" w:hint="eastAsia"/>
                    </w:rPr>
                    <w:t>要求。</w:t>
                  </w:r>
                </w:p>
              </w:tc>
            </w:tr>
            <w:tr w14:paraId="3B64B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771" w:type="dxa"/>
                  <w:vMerge w:val="continue"/>
                  <w:vAlign w:val="center"/>
                  <w:tcBorders>
                    <w:left w:val="nil"/>
                    <w:right w:val="single" w:color="auto" w:sz="4" w:space="0"/>
                  </w:tcBorders>
                  <w:noWrap/>
                </w:tcPr>
                <w:p w14:paraId="743FF153">
                  <w:pPr>
                    <w:pStyle w:val="78"/>
                    <w:ind w:firstLineChars="0" w:hanging="87"/>
                    <w:rPr>
                      <w:color w:val="auto"/>
                      <w:sz w:val="21"/>
                      <w:szCs w:val="21"/>
                      <w:rFonts w:ascii="Times New Roman" w:hAnsi="Times New Roman" w:eastAsia="宋体" w:cs="Times New Roman" w:hint="default"/>
                    </w:rPr>
                  </w:pPr>
                </w:p>
              </w:tc>
              <w:tc>
                <w:tcPr>
                  <w:tcW w:w="377" w:type="dxa"/>
                  <w:vMerge w:val="continue"/>
                  <w:vAlign w:val="center"/>
                  <w:tcBorders>
                    <w:left w:val="single" w:color="auto" w:sz="4" w:space="0"/>
                    <w:right w:val="single" w:color="auto" w:sz="4" w:space="0"/>
                  </w:tcBorders>
                  <w:noWrap/>
                </w:tcPr>
                <w:p w14:paraId="292DA3E6">
                  <w:pPr>
                    <w:pStyle w:val="78"/>
                    <w:rPr>
                      <w:color w:val="auto"/>
                      <w:sz w:val="21"/>
                      <w:szCs w:val="21"/>
                      <w:rFonts w:ascii="Times New Roman" w:hAnsi="Times New Roman" w:eastAsia="宋体" w:cs="Times New Roman" w:hint="default"/>
                    </w:rPr>
                  </w:pPr>
                </w:p>
              </w:tc>
              <w:tc>
                <w:tcPr>
                  <w:tcW w:w="404" w:type="dxa"/>
                  <w:vMerge w:val="continue"/>
                  <w:vAlign w:val="center"/>
                  <w:tcBorders>
                    <w:left w:val="single" w:color="auto" w:sz="4" w:space="0"/>
                    <w:right w:val="single" w:color="auto" w:sz="4" w:space="0"/>
                  </w:tcBorders>
                  <w:noWrap/>
                </w:tcPr>
                <w:p w14:paraId="0D8A3CB6">
                  <w:pPr>
                    <w:jc w:val="center"/>
                    <w:rPr>
                      <w:color w:val="auto"/>
                      <w:sz w:val="21"/>
                      <w:szCs w:val="21"/>
                      <w:rFonts w:ascii="Times New Roman" w:hAnsi="Times New Roman" w:eastAsia="宋体" w:cs="Times New Roman" w:hint="default"/>
                    </w:rPr>
                  </w:pPr>
                </w:p>
              </w:tc>
              <w:tc>
                <w:tcPr>
                  <w:tcW w:w="437" w:type="dxa"/>
                  <w:vAlign w:val="center"/>
                  <w:tcBorders>
                    <w:top w:val="single" w:color="auto" w:sz="4" w:space="0"/>
                    <w:left w:val="single" w:color="auto" w:sz="4" w:space="0"/>
                    <w:bottom w:val="single" w:color="auto" w:sz="4" w:space="0"/>
                    <w:right w:val="single" w:color="auto" w:sz="4" w:space="0"/>
                  </w:tcBorders>
                  <w:noWrap/>
                </w:tcPr>
                <w:p w14:paraId="199BD8E7">
                  <w:pPr>
                    <w:pStyle w:val="78"/>
                    <w:rPr>
                      <w:color w:val="auto"/>
                      <w:rFonts w:ascii="Times New Roman" w:hAnsi="Times New Roman" w:eastAsia="宋体" w:cs="Times New Roman" w:hint="default"/>
                    </w:rPr>
                  </w:pPr>
                  <w:r>
                    <w:rPr>
                      <w:color w:val="auto"/>
                      <w:sz w:val="21"/>
                      <w:szCs w:val="21"/>
                      <w:rFonts w:ascii="Times New Roman" w:hAnsi="Times New Roman" w:eastAsia="宋体" w:cs="Times New Roman" w:hint="default"/>
                    </w:rPr>
                    <w:t>污染物排放管控</w:t>
                  </w:r>
                </w:p>
              </w:tc>
              <w:tc>
                <w:tcPr>
                  <w:tcW w:w="3008" w:type="dxa"/>
                  <w:vAlign w:val="center"/>
                  <w:tcBorders>
                    <w:top w:val="single" w:color="auto" w:sz="4" w:space="0"/>
                    <w:left w:val="single" w:color="auto" w:sz="4" w:space="0"/>
                    <w:bottom w:val="single" w:color="auto" w:sz="4" w:space="0"/>
                    <w:right w:val="single" w:color="auto" w:sz="4" w:space="0"/>
                  </w:tcBorders>
                  <w:noWrap/>
                </w:tcPr>
                <w:p w14:paraId="084B75B5">
                  <w:pPr>
                    <w:pStyle w:val="78"/>
                    <w:jc w:val="left"/>
                    <w:ind w:right="105" w:rightChars="50"/>
                    <w:rPr>
                      <w:color w:val="auto"/>
                      <w:sz w:val="21"/>
                      <w:lang w:val="en-US"/>
                      <w:szCs w:val="21"/>
                      <w:rFonts w:ascii="Times New Roman" w:hAnsi="Times New Roman" w:eastAsia="宋体" w:cs="Times New Roman" w:hint="default"/>
                    </w:rPr>
                  </w:pPr>
                  <w:r>
                    <w:rPr>
                      <w:color w:val="auto"/>
                      <w:sz w:val="21"/>
                      <w:lang w:val="en-US"/>
                      <w:szCs w:val="21"/>
                      <w:rFonts w:ascii="Times New Roman" w:hAnsi="Times New Roman" w:eastAsia="宋体" w:cs="Times New Roman" w:hint="default"/>
                    </w:rPr>
                    <w:t>1.对以煤、石焦油、渣油、重油等为燃料的锅炉和工业炉窑，加快使用清洁低碳能源以及工厂余热、电力热力等进行替代。</w:t>
                  </w:r>
                </w:p>
                <w:p w14:paraId="4EE98510">
                  <w:pPr>
                    <w:pStyle w:val="78"/>
                    <w:jc w:val="left"/>
                    <w:ind w:right="105" w:rightChars="50"/>
                    <w:rPr>
                      <w:color w:val="auto"/>
                      <w:spacing w:val="-3"/>
                      <w:kern w:val="0"/>
                      <w:rFonts w:ascii="Times New Roman" w:hAnsi="Times New Roman" w:eastAsia="宋体" w:cs="Times New Roman" w:hint="default"/>
                    </w:rPr>
                  </w:pPr>
                  <w:r>
                    <w:rPr>
                      <w:color w:val="auto"/>
                      <w:sz w:val="21"/>
                      <w:lang w:val="en-US" w:eastAsia="zh-CN"/>
                      <w:szCs w:val="21"/>
                      <w:rFonts w:ascii="Times New Roman" w:hAnsi="Times New Roman" w:eastAsia="宋体" w:cs="Times New Roman" w:hint="default"/>
                    </w:rPr>
                    <w:t>2.到2025年，在用65蒸吨/小时以上的燃煤锅炉（含电力）实现超低排放，钢铁企业基本实现超低排放。</w:t>
                  </w:r>
                </w:p>
              </w:tc>
              <w:tc>
                <w:tcPr>
                  <w:tcW w:w="1461" w:type="dxa"/>
                  <w:vMerge w:val="continue"/>
                  <w:vAlign w:val="center"/>
                  <w:tcBorders>
                    <w:left w:val="single" w:color="auto" w:sz="4" w:space="0"/>
                    <w:right w:val="nil"/>
                  </w:tcBorders>
                  <w:noWrap/>
                </w:tcPr>
                <w:p w14:paraId="24507DD8">
                  <w:pPr>
                    <w:rPr>
                      <w:color w:val="auto"/>
                      <w:kern w:val="0"/>
                      <w:rFonts w:ascii="宋体" w:hAnsi="宋体" w:hint="eastAsia"/>
                    </w:rPr>
                  </w:pPr>
                </w:p>
              </w:tc>
            </w:tr>
            <w:tr w14:paraId="325E8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771" w:type="dxa"/>
                  <w:vMerge w:val="continue"/>
                  <w:vAlign w:val="center"/>
                  <w:tcBorders>
                    <w:left w:val="nil"/>
                    <w:bottom w:val="single" w:color="auto" w:sz="12" w:space="0"/>
                    <w:right w:val="single" w:color="auto" w:sz="4" w:space="0"/>
                  </w:tcBorders>
                  <w:noWrap/>
                </w:tcPr>
                <w:p w14:paraId="59D064A5">
                  <w:pPr>
                    <w:pStyle w:val="78"/>
                    <w:ind w:firstLineChars="0" w:hanging="87"/>
                    <w:rPr>
                      <w:color w:val="auto"/>
                      <w:sz w:val="21"/>
                      <w:szCs w:val="21"/>
                      <w:rFonts w:ascii="Times New Roman" w:hAnsi="Times New Roman" w:eastAsia="宋体" w:cs="Times New Roman" w:hint="default"/>
                    </w:rPr>
                  </w:pPr>
                </w:p>
              </w:tc>
              <w:tc>
                <w:tcPr>
                  <w:tcW w:w="377" w:type="dxa"/>
                  <w:vMerge w:val="continue"/>
                  <w:vAlign w:val="center"/>
                  <w:tcBorders>
                    <w:left w:val="single" w:color="auto" w:sz="4" w:space="0"/>
                    <w:bottom w:val="single" w:color="auto" w:sz="12" w:space="0"/>
                    <w:right w:val="single" w:color="auto" w:sz="4" w:space="0"/>
                  </w:tcBorders>
                  <w:noWrap/>
                </w:tcPr>
                <w:p w14:paraId="5A5E4022">
                  <w:pPr>
                    <w:pStyle w:val="78"/>
                    <w:rPr>
                      <w:color w:val="auto"/>
                      <w:sz w:val="21"/>
                      <w:szCs w:val="21"/>
                      <w:rFonts w:ascii="Times New Roman" w:hAnsi="Times New Roman" w:eastAsia="宋体" w:cs="Times New Roman" w:hint="default"/>
                    </w:rPr>
                  </w:pPr>
                </w:p>
              </w:tc>
              <w:tc>
                <w:tcPr>
                  <w:tcW w:w="404" w:type="dxa"/>
                  <w:vMerge w:val="continue"/>
                  <w:vAlign w:val="center"/>
                  <w:tcBorders>
                    <w:left w:val="single" w:color="auto" w:sz="4" w:space="0"/>
                    <w:bottom w:val="single" w:color="auto" w:sz="12" w:space="0"/>
                    <w:right w:val="single" w:color="auto" w:sz="4" w:space="0"/>
                  </w:tcBorders>
                  <w:noWrap/>
                </w:tcPr>
                <w:p w14:paraId="67AADABD">
                  <w:pPr>
                    <w:jc w:val="center"/>
                    <w:rPr>
                      <w:color w:val="auto"/>
                      <w:sz w:val="21"/>
                      <w:szCs w:val="21"/>
                      <w:rFonts w:ascii="Times New Roman" w:hAnsi="Times New Roman" w:eastAsia="宋体" w:cs="Times New Roman" w:hint="default"/>
                    </w:rPr>
                  </w:pPr>
                </w:p>
              </w:tc>
              <w:tc>
                <w:tcPr>
                  <w:tcW w:w="437" w:type="dxa"/>
                  <w:vAlign w:val="center"/>
                  <w:tcBorders>
                    <w:top w:val="single" w:color="auto" w:sz="4" w:space="0"/>
                    <w:left w:val="single" w:color="auto" w:sz="4" w:space="0"/>
                    <w:bottom w:val="single" w:color="auto" w:sz="12" w:space="0"/>
                    <w:right w:val="single" w:color="auto" w:sz="4" w:space="0"/>
                  </w:tcBorders>
                  <w:noWrap/>
                </w:tcPr>
                <w:p w14:paraId="5564D3D7">
                  <w:pPr>
                    <w:pStyle w:val="78"/>
                    <w:rPr>
                      <w:color w:val="auto"/>
                      <w:rFonts w:ascii="Times New Roman" w:hAnsi="Times New Roman" w:eastAsia="宋体" w:cs="Times New Roman" w:hint="default"/>
                    </w:rPr>
                  </w:pPr>
                  <w:r>
                    <w:rPr>
                      <w:color w:val="auto"/>
                      <w:sz w:val="21"/>
                      <w:szCs w:val="21"/>
                      <w:rFonts w:ascii="Times New Roman" w:hAnsi="Times New Roman" w:eastAsia="宋体" w:cs="Times New Roman" w:hint="default"/>
                    </w:rPr>
                    <w:t>环境风险防控</w:t>
                  </w:r>
                </w:p>
              </w:tc>
              <w:tc>
                <w:tcPr>
                  <w:tcW w:w="3008" w:type="dxa"/>
                  <w:vAlign w:val="center"/>
                  <w:tcBorders>
                    <w:top w:val="single" w:color="auto" w:sz="4" w:space="0"/>
                    <w:left w:val="single" w:color="auto" w:sz="4" w:space="0"/>
                    <w:bottom w:val="single" w:color="auto" w:sz="12" w:space="0"/>
                    <w:right w:val="single" w:color="auto" w:sz="4" w:space="0"/>
                  </w:tcBorders>
                  <w:noWrap/>
                </w:tcPr>
                <w:p w14:paraId="2535AA7A">
                  <w:pPr>
                    <w:pStyle w:val="78"/>
                    <w:jc w:val="left"/>
                    <w:ind w:right="105" w:rightChars="50"/>
                    <w:rPr>
                      <w:color w:val="auto"/>
                      <w:spacing w:val="-3"/>
                      <w:kern w:val="0"/>
                      <w:rFonts w:ascii="Times New Roman" w:hAnsi="Times New Roman" w:eastAsia="宋体" w:cs="Times New Roman" w:hint="default"/>
                    </w:rPr>
                  </w:pPr>
                  <w:r>
                    <w:rPr>
                      <w:color w:val="auto"/>
                      <w:sz w:val="21"/>
                      <w:lang w:val="en-US"/>
                      <w:szCs w:val="21"/>
                      <w:rFonts w:ascii="Times New Roman" w:hAnsi="Times New Roman" w:eastAsia="宋体" w:cs="Times New Roman" w:hint="default"/>
                    </w:rPr>
                    <w:t>禁止在居民区、学校、医疗和养老机构等周边新建有色金属冶炼、焦化等行业企业。</w:t>
                  </w:r>
                </w:p>
              </w:tc>
              <w:tc>
                <w:tcPr>
                  <w:tcW w:w="1461" w:type="dxa"/>
                  <w:vMerge w:val="continue"/>
                  <w:vAlign w:val="center"/>
                  <w:tcBorders>
                    <w:left w:val="single" w:color="auto" w:sz="4" w:space="0"/>
                    <w:bottom w:val="single" w:color="auto" w:sz="12" w:space="0"/>
                    <w:right w:val="nil"/>
                  </w:tcBorders>
                  <w:noWrap/>
                </w:tcPr>
                <w:p w14:paraId="64851171">
                  <w:pPr>
                    <w:rPr>
                      <w:color w:val="auto"/>
                      <w:kern w:val="0"/>
                      <w:rFonts w:ascii="宋体" w:hAnsi="宋体" w:hint="eastAsia"/>
                    </w:rPr>
                  </w:pPr>
                </w:p>
              </w:tc>
            </w:tr>
          </w:tbl>
          <w:p w14:paraId="11E7AE22">
            <w:pPr>
              <w:autoSpaceDE w:val="0"/>
              <w:autoSpaceDN w:val="0"/>
              <w:adjustRightInd w:val="0"/>
              <w:snapToGrid w:val="0"/>
              <w:jc w:val="left"/>
              <w:spacing w:line="360" w:lineRule="auto"/>
              <w:ind w:firstLine="480" w:firstLineChars="200"/>
              <w:rPr>
                <w:color w:val="auto"/>
                <w:sz w:val="24"/>
                <w:kern w:val="0"/>
                <w:rFonts w:ascii="宋体" w:hAnsi="宋体"/>
              </w:rPr>
            </w:pPr>
            <w:r>
              <w:rPr>
                <w:color w:val="auto"/>
                <w:sz w:val="24"/>
                <w:kern w:val="0"/>
                <w:szCs w:val="21"/>
              </w:rPr>
              <w:t>本项目采取了有效、可行的污染治理措施，各项污染物均可达标排放，本项目建设对周围环境影响较小，</w:t>
            </w:r>
            <w:r>
              <w:rPr>
                <w:color w:val="auto"/>
                <w:sz w:val="24"/>
                <w:rFonts w:ascii="宋体" w:hAnsi="宋体" w:hint="eastAsia"/>
              </w:rPr>
              <w:t>因此</w:t>
            </w:r>
            <w:r>
              <w:rPr>
                <w:color w:val="auto"/>
                <w:sz w:val="24"/>
                <w:kern w:val="0"/>
                <w:rFonts w:ascii="宋体" w:hAnsi="宋体" w:hint="eastAsia"/>
              </w:rPr>
              <w:t>本项目符合</w:t>
            </w:r>
            <w:r>
              <w:rPr>
                <w:color w:val="auto"/>
                <w:sz w:val="24"/>
                <w:lang w:val="en-US" w:eastAsia="zh-CN" w:bidi="ar-SA"/>
                <w:bCs/>
                <w:kern w:val="2"/>
                <w:szCs w:val="24"/>
                <w:rFonts w:ascii="Times New Roman" w:hAnsi="Times New Roman" w:eastAsia="宋体" w:cs="Times New Roman" w:hint="eastAsia"/>
              </w:rPr>
              <w:t>《伊春市人民政府关于实施“三线一单”生态环境分区管控的意见》（伊政规〔2022〕5号）</w:t>
            </w:r>
            <w:r>
              <w:rPr>
                <w:color w:val="auto"/>
                <w:sz w:val="24"/>
                <w:kern w:val="0"/>
                <w:rFonts w:ascii="宋体" w:hAnsi="宋体" w:hint="eastAsia"/>
              </w:rPr>
              <w:t>要求。</w:t>
            </w:r>
          </w:p>
          <w:p w14:paraId="5BC7EAD3">
            <w:pPr>
              <w:autoSpaceDE w:val="0"/>
              <w:autoSpaceDN w:val="0"/>
              <w:adjustRightInd w:val="0"/>
              <w:snapToGrid w:val="0"/>
              <w:jc w:val="left"/>
              <w:spacing w:line="360" w:lineRule="auto"/>
              <w:ind w:firstLine="482" w:firstLineChars="200"/>
              <w:rPr>
                <w:b w:val="1"/>
                <w:color w:val="auto"/>
                <w:sz w:val="24"/>
                <w:bCs/>
                <w:kern w:val="0"/>
                <w:szCs w:val="21"/>
              </w:rPr>
            </w:pPr>
            <w:r>
              <w:rPr>
                <w:b w:val="1"/>
                <w:color w:val="auto"/>
                <w:sz w:val="24"/>
                <w:kern w:val="0"/>
                <w:szCs w:val="21"/>
              </w:rPr>
              <w:t>2、与</w:t>
            </w:r>
            <w:r>
              <w:rPr>
                <w:b w:val="1"/>
                <w:color w:val="auto"/>
                <w:sz w:val="24"/>
                <w:bCs/>
                <w:kern w:val="0"/>
                <w:szCs w:val="21"/>
              </w:rPr>
              <w:t>《环境空气细颗粒物污染综合防治技术政策》符合性分析</w:t>
            </w:r>
          </w:p>
          <w:p w14:paraId="3DA3E607">
            <w:pPr>
              <w:autoSpaceDE w:val="0"/>
              <w:autoSpaceDN w:val="0"/>
              <w:adjustRightInd w:val="0"/>
              <w:snapToGrid w:val="0"/>
              <w:spacing w:line="360" w:lineRule="auto"/>
              <w:ind w:firstLine="480" w:firstLineChars="200"/>
              <w:rPr>
                <w:color w:val="auto"/>
                <w:sz w:val="24"/>
              </w:rPr>
            </w:pPr>
            <w:r>
              <w:rPr>
                <w:color w:val="auto"/>
                <w:sz w:val="24"/>
              </w:rPr>
              <w:t>（1）</w:t>
            </w:r>
            <w:r>
              <w:rPr>
                <w:color w:val="auto"/>
                <w:sz w:val="24"/>
                <w:bCs/>
              </w:rPr>
              <w:t>三、防治工业污染要求：（十一）</w:t>
            </w:r>
            <w:r>
              <w:rPr>
                <w:color w:val="auto"/>
                <w:sz w:val="24"/>
              </w:rPr>
              <w:t>应加强对各类污染源的监管，确保污染治理设施稳定运行，切实落实企业环保责任。鼓励采用低能耗、低污染的生产工艺，提高各个行业的清洁生产水平，降低污染物产生量。（十二）应制定严格、完善的国家和地方工业污染物排放标准，明确各行业排放控制要求。在环境污染严重、污染物排放量大的地区，应制定实施严格的地方排放标准或国家排放标准特别排放限值。（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十五）产生大气颗粒物及其前体物污染物的生产活动应尽量采用密闭装置，避免无组织排放；无法完全密闭的，应安装集气装置收集逸散的污染物，经净化后排放。</w:t>
            </w:r>
          </w:p>
          <w:p w14:paraId="3F212260">
            <w:pPr>
              <w:autoSpaceDE w:val="0"/>
              <w:autoSpaceDN w:val="0"/>
              <w:adjustRightInd w:val="0"/>
              <w:snapToGrid w:val="0"/>
              <w:jc w:val="left"/>
              <w:spacing w:line="360" w:lineRule="auto"/>
              <w:ind w:firstLine="480" w:firstLineChars="200"/>
              <w:rPr>
                <w:color w:val="auto"/>
                <w:sz w:val="24"/>
                <w:bCs/>
                <w:rFonts w:eastAsiaTheme="minorEastAsia"/>
              </w:rPr>
            </w:pPr>
            <w:r>
              <w:rPr>
                <w:color w:val="auto"/>
                <w:sz w:val="24"/>
              </w:rPr>
              <w:t>符合性分析：本项目为沥青混凝土加工项目。生产采用低能耗、低污染的工艺。</w:t>
            </w:r>
            <w:r>
              <w:rPr>
                <w:color w:val="auto"/>
                <w:sz w:val="24"/>
                <w:bCs/>
              </w:rPr>
              <w:t>本项目矿粉采用封闭式罐车运入厂区，碎石运输车辆全部采用苫布覆盖；原料的输送、计量及投料均为封闭式。搅拌站、干燥筒整体封闭。</w:t>
            </w:r>
            <w:r>
              <w:rPr>
                <w:color w:val="auto"/>
                <w:sz w:val="24"/>
                <w:bCs/>
                <w:rFonts w:eastAsiaTheme="minorEastAsia"/>
              </w:rPr>
              <w:t>本项目</w:t>
            </w:r>
            <w:r>
              <w:rPr>
                <w:color w:val="auto"/>
                <w:sz w:val="24"/>
                <w:rFonts w:eastAsiaTheme="minorEastAsia"/>
              </w:rPr>
              <w:t>碎石筛分、烘干废气、热料仓落料废气、</w:t>
            </w:r>
            <w:r>
              <w:rPr>
                <w:color w:val="auto"/>
                <w:sz w:val="24"/>
                <w:bCs/>
                <w:rFonts w:eastAsiaTheme="minorEastAsia"/>
              </w:rPr>
              <w:t>矿粉筒仓装卸废气、冷料仓上料废气、</w:t>
            </w:r>
            <w:r>
              <w:rPr>
                <w:color w:val="auto"/>
                <w:sz w:val="24"/>
                <w:rFonts w:hint="eastAsia" w:eastAsiaTheme="minorEastAsia"/>
              </w:rPr>
              <w:t>28MW</w:t>
            </w:r>
            <w:r>
              <w:rPr>
                <w:color w:val="auto"/>
                <w:sz w:val="24"/>
                <w:rFonts w:eastAsiaTheme="minorEastAsia"/>
              </w:rPr>
              <w:t>燃</w:t>
            </w:r>
            <w:r>
              <w:rPr>
                <w:color w:val="auto"/>
                <w:sz w:val="24"/>
                <w:rFonts w:hint="eastAsia" w:eastAsiaTheme="minorEastAsia"/>
              </w:rPr>
              <w:t>天然气</w:t>
            </w:r>
            <w:r>
              <w:rPr>
                <w:color w:val="auto"/>
                <w:sz w:val="24"/>
                <w:rFonts w:eastAsiaTheme="minorEastAsia"/>
              </w:rPr>
              <w:t>燃烧器烟气</w:t>
            </w:r>
            <w:r>
              <w:rPr>
                <w:color w:val="auto"/>
                <w:sz w:val="24"/>
                <w:rFonts w:eastAsiaTheme="minorEastAsia"/>
              </w:rPr>
              <w:t>经</w:t>
            </w:r>
            <w:r>
              <w:rPr>
                <w:color w:val="auto"/>
                <w:sz w:val="24"/>
                <w:rFonts w:hint="eastAsia" w:eastAsiaTheme="minorEastAsia"/>
              </w:rPr>
              <w:t>除尘</w:t>
            </w:r>
            <w:r>
              <w:rPr>
                <w:color w:val="auto"/>
                <w:sz w:val="24"/>
                <w:rFonts w:eastAsiaTheme="minorEastAsia"/>
              </w:rPr>
              <w:t>系统（重力</w:t>
            </w:r>
            <w:r>
              <w:rPr>
                <w:color w:val="auto"/>
                <w:sz w:val="24"/>
                <w:rFonts w:hint="eastAsia" w:eastAsiaTheme="minorEastAsia"/>
              </w:rPr>
              <w:t>+布袋</w:t>
            </w:r>
            <w:r>
              <w:rPr>
                <w:color w:val="auto"/>
                <w:sz w:val="24"/>
                <w:rFonts w:eastAsiaTheme="minorEastAsia"/>
              </w:rPr>
              <w:t>）处理后，由</w:t>
            </w:r>
            <w:r>
              <w:rPr>
                <w:color w:val="auto"/>
                <w:sz w:val="24"/>
                <w:rFonts w:hint="eastAsia" w:eastAsiaTheme="minorEastAsia"/>
              </w:rPr>
              <w:t>15</w:t>
            </w:r>
            <w:r>
              <w:rPr>
                <w:color w:val="auto"/>
                <w:sz w:val="24"/>
                <w:rFonts w:eastAsiaTheme="minorEastAsia"/>
              </w:rPr>
              <w:t>m高</w:t>
            </w:r>
            <w:r>
              <w:rPr>
                <w:color w:val="auto"/>
                <w:sz w:val="24"/>
                <w:rFonts w:hint="eastAsia" w:eastAsiaTheme="minorEastAsia"/>
              </w:rPr>
              <w:t>除尘</w:t>
            </w:r>
            <w:r>
              <w:rPr>
                <w:color w:val="auto"/>
                <w:sz w:val="24"/>
                <w:rFonts w:eastAsiaTheme="minorEastAsia"/>
              </w:rPr>
              <w:t>系统</w:t>
            </w:r>
            <w:r>
              <w:rPr>
                <w:color w:val="auto"/>
                <w:sz w:val="24"/>
                <w:rFonts w:hint="eastAsia"/>
              </w:rPr>
              <w:t>排气筒</w:t>
            </w:r>
            <w:r>
              <w:rPr>
                <w:color w:val="auto"/>
                <w:sz w:val="24"/>
                <w:kern w:val="0"/>
                <w:rFonts w:hint="eastAsia"/>
              </w:rPr>
              <w:t>（DA001）</w:t>
            </w:r>
            <w:r>
              <w:rPr>
                <w:color w:val="auto"/>
                <w:sz w:val="24"/>
                <w:rFonts w:eastAsiaTheme="minorEastAsia"/>
              </w:rPr>
              <w:t>排放，除尘效率为99%</w:t>
            </w:r>
            <w:r>
              <w:rPr>
                <w:color w:val="auto"/>
                <w:sz w:val="24"/>
                <w:bCs/>
                <w:rFonts w:eastAsiaTheme="minorEastAsia"/>
              </w:rPr>
              <w:t>；本项目1台</w:t>
            </w:r>
            <w:r>
              <w:rPr>
                <w:color w:val="auto"/>
                <w:sz w:val="24"/>
                <w:lang w:val="en-US" w:eastAsia="zh-CN"/>
                <w:szCs w:val="24"/>
                <w:rFonts w:hint="eastAsia"/>
              </w:rPr>
              <w:t>1.5</w:t>
            </w:r>
            <w:r>
              <w:rPr>
                <w:color w:val="auto"/>
                <w:sz w:val="24"/>
                <w:szCs w:val="24"/>
                <w:rFonts w:hint="eastAsia"/>
              </w:rPr>
              <w:t>t/h</w:t>
            </w:r>
            <w:r>
              <w:rPr>
                <w:color w:val="auto"/>
                <w:sz w:val="24"/>
                <w:bCs/>
                <w:szCs w:val="24"/>
                <w:rFonts w:eastAsiaTheme="minorEastAsia"/>
              </w:rPr>
              <w:t>燃</w:t>
            </w:r>
            <w:r>
              <w:rPr>
                <w:color w:val="auto"/>
                <w:sz w:val="24"/>
                <w:lang w:val="en-US" w:eastAsia="zh-CN"/>
                <w:bCs/>
                <w:szCs w:val="24"/>
                <w:rFonts w:hint="eastAsia" w:eastAsiaTheme="minorEastAsia"/>
              </w:rPr>
              <w:t>气</w:t>
            </w:r>
            <w:r>
              <w:rPr>
                <w:color w:val="auto"/>
                <w:sz w:val="24"/>
                <w:bCs/>
                <w:rFonts w:eastAsiaTheme="minorEastAsia"/>
              </w:rPr>
              <w:t>导热油炉用于加热沥青，</w:t>
            </w:r>
            <w:r>
              <w:rPr>
                <w:color w:val="auto"/>
                <w:sz w:val="24"/>
                <w:rFonts w:eastAsiaTheme="minorEastAsia"/>
              </w:rPr>
              <w:t>导热油炉</w:t>
            </w:r>
            <w:r>
              <w:rPr>
                <w:color w:val="auto"/>
                <w:sz w:val="24"/>
                <w:bCs/>
                <w:rFonts w:eastAsiaTheme="minorEastAsia"/>
              </w:rPr>
              <w:t>烟气经</w:t>
            </w:r>
            <w:r>
              <w:rPr>
                <w:color w:val="auto"/>
                <w:sz w:val="24"/>
                <w:bCs/>
                <w:rFonts w:hint="eastAsia" w:eastAsiaTheme="minorEastAsia"/>
              </w:rPr>
              <w:t>低氮燃烧</w:t>
            </w:r>
            <w:r>
              <w:rPr>
                <w:color w:val="auto"/>
                <w:sz w:val="24"/>
                <w:bCs/>
                <w:rFonts w:eastAsiaTheme="minorEastAsia"/>
              </w:rPr>
              <w:t>处理后（除</w:t>
            </w:r>
            <w:r>
              <w:rPr>
                <w:color w:val="auto"/>
                <w:sz w:val="24"/>
                <w:bCs/>
                <w:rFonts w:hint="eastAsia" w:eastAsiaTheme="minorEastAsia"/>
              </w:rPr>
              <w:t>氮</w:t>
            </w:r>
            <w:r>
              <w:rPr>
                <w:color w:val="auto"/>
                <w:sz w:val="24"/>
                <w:bCs/>
                <w:rFonts w:eastAsiaTheme="minorEastAsia"/>
              </w:rPr>
              <w:t>效率</w:t>
            </w:r>
            <w:r>
              <w:rPr>
                <w:color w:val="auto"/>
                <w:sz w:val="24"/>
                <w:bCs/>
                <w:rFonts w:hint="eastAsia" w:eastAsiaTheme="minorEastAsia"/>
              </w:rPr>
              <w:t>30</w:t>
            </w:r>
            <w:r>
              <w:rPr>
                <w:color w:val="auto"/>
                <w:sz w:val="24"/>
                <w:bCs/>
                <w:rFonts w:eastAsiaTheme="minorEastAsia"/>
              </w:rPr>
              <w:t>%），由1根</w:t>
            </w:r>
            <w:r>
              <w:rPr>
                <w:color w:val="auto"/>
                <w:sz w:val="24"/>
                <w:bCs/>
                <w:rFonts w:hint="eastAsia" w:eastAsiaTheme="minorEastAsia"/>
              </w:rPr>
              <w:t>12</w:t>
            </w:r>
            <w:r>
              <w:rPr>
                <w:color w:val="auto"/>
                <w:sz w:val="24"/>
                <w:bCs/>
                <w:rFonts w:eastAsiaTheme="minorEastAsia"/>
              </w:rPr>
              <w:t>m高</w:t>
            </w:r>
            <w:r>
              <w:rPr>
                <w:color w:val="auto"/>
                <w:sz w:val="24"/>
                <w:rFonts w:hint="eastAsia"/>
              </w:rPr>
              <w:t>排气筒</w:t>
            </w:r>
            <w:r>
              <w:rPr>
                <w:color w:val="auto"/>
                <w:sz w:val="24"/>
                <w:kern w:val="0"/>
                <w:rFonts w:hint="eastAsia"/>
              </w:rPr>
              <w:t>（DA002）</w:t>
            </w:r>
            <w:r>
              <w:rPr>
                <w:color w:val="auto"/>
                <w:sz w:val="24"/>
                <w:bCs/>
                <w:rFonts w:eastAsiaTheme="minorEastAsia"/>
              </w:rPr>
              <w:t>排放；本项目在沥青混凝土拌和沥青储罐处会产生非甲烷总烃、沥青烟和苯并[a]芘，</w:t>
            </w:r>
            <w:r>
              <w:rPr>
                <w:color w:val="auto"/>
                <w:sz w:val="24"/>
              </w:rPr>
              <w:t>沥青在密闭储罐中储存过程中产生的烟气以及出料产生的烟气通过负压收集系统集中收集（收集效率</w:t>
            </w:r>
            <w:r>
              <w:rPr>
                <w:color w:val="auto"/>
                <w:sz w:val="24"/>
                <w:rFonts w:hint="eastAsia"/>
              </w:rPr>
              <w:t>95</w:t>
            </w:r>
            <w:r>
              <w:rPr>
                <w:color w:val="auto"/>
                <w:sz w:val="24"/>
              </w:rPr>
              <w:t>%，环保设施的最大总风量为</w:t>
            </w:r>
            <w:r>
              <w:rPr>
                <w:color w:val="auto"/>
                <w:sz w:val="24"/>
                <w:rFonts w:hint="eastAsia"/>
              </w:rPr>
              <w:t>4</w:t>
            </w:r>
            <w:r>
              <w:rPr>
                <w:color w:val="auto"/>
                <w:sz w:val="24"/>
              </w:rPr>
              <w:t>0000m</w:t>
            </w:r>
            <w:r>
              <w:rPr>
                <w:vertAlign w:val="superscript"/>
                <w:color w:val="auto"/>
                <w:sz w:val="24"/>
              </w:rPr>
              <w:t>3</w:t>
            </w:r>
            <w:r>
              <w:rPr>
                <w:color w:val="auto"/>
                <w:sz w:val="24"/>
              </w:rPr>
              <w:t>/h），</w:t>
            </w:r>
            <w:r>
              <w:rPr>
                <w:color w:val="auto"/>
                <w:sz w:val="24"/>
                <w:bCs/>
                <w:rFonts w:eastAsiaTheme="minorEastAsia"/>
              </w:rPr>
              <w:t>经</w:t>
            </w:r>
            <w:r>
              <w:rPr>
                <w:color w:val="auto"/>
                <w:sz w:val="24"/>
                <w:bCs/>
                <w:rFonts w:eastAsiaTheme="minorEastAsia"/>
              </w:rPr>
              <w:t>气浮旋流塔</w:t>
            </w:r>
            <w:r>
              <w:rPr>
                <w:color w:val="auto"/>
                <w:sz w:val="24"/>
                <w:bCs/>
                <w:rFonts w:hint="eastAsia" w:eastAsiaTheme="minorEastAsia"/>
              </w:rPr>
              <w:t>+三维一体化废气处理设备（由电离子+光催化+高碘值碳吸附组成）</w:t>
            </w:r>
            <w:r>
              <w:rPr>
                <w:color w:val="auto"/>
                <w:sz w:val="24"/>
                <w:bCs/>
                <w:rFonts w:eastAsiaTheme="minorEastAsia"/>
              </w:rPr>
              <w:t>（</w:t>
            </w:r>
            <w:r>
              <w:rPr>
                <w:color w:val="auto"/>
                <w:sz w:val="24"/>
                <w:bCs/>
                <w:rFonts w:hint="eastAsia" w:eastAsiaTheme="minorEastAsia"/>
              </w:rPr>
              <w:t>处理</w:t>
            </w:r>
            <w:r>
              <w:rPr>
                <w:color w:val="auto"/>
                <w:sz w:val="24"/>
                <w:bCs/>
                <w:rFonts w:eastAsiaTheme="minorEastAsia"/>
              </w:rPr>
              <w:t>效率</w:t>
            </w:r>
            <w:r>
              <w:rPr>
                <w:color w:val="auto"/>
                <w:sz w:val="24"/>
                <w:bCs/>
                <w:rFonts w:hint="eastAsia" w:eastAsiaTheme="minorEastAsia"/>
              </w:rPr>
              <w:t>95</w:t>
            </w:r>
            <w:r>
              <w:rPr>
                <w:color w:val="auto"/>
                <w:sz w:val="24"/>
                <w:bCs/>
                <w:rFonts w:eastAsiaTheme="minorEastAsia"/>
              </w:rPr>
              <w:t>%）处理后，经</w:t>
            </w:r>
            <w:r>
              <w:rPr>
                <w:color w:val="auto"/>
                <w:sz w:val="24"/>
                <w:bCs/>
                <w:rFonts w:hint="eastAsia" w:eastAsiaTheme="minorEastAsia"/>
              </w:rPr>
              <w:t>15</w:t>
            </w:r>
            <w:r>
              <w:rPr>
                <w:color w:val="auto"/>
                <w:sz w:val="24"/>
                <w:bCs/>
                <w:rFonts w:eastAsiaTheme="minorEastAsia"/>
              </w:rPr>
              <w:t>m高</w:t>
            </w:r>
            <w:r>
              <w:rPr>
                <w:color w:val="auto"/>
                <w:sz w:val="24"/>
              </w:rPr>
              <w:t>沥青搅拌排气筒</w:t>
            </w:r>
            <w:r>
              <w:rPr>
                <w:color w:val="auto"/>
                <w:sz w:val="24"/>
                <w:kern w:val="0"/>
                <w:rFonts w:hint="eastAsia"/>
              </w:rPr>
              <w:t>（DA003）</w:t>
            </w:r>
            <w:r>
              <w:rPr>
                <w:color w:val="auto"/>
                <w:sz w:val="24"/>
                <w:bCs/>
                <w:rFonts w:eastAsiaTheme="minorEastAsia"/>
              </w:rPr>
              <w:t>排放；</w:t>
            </w:r>
            <w:r>
              <w:rPr>
                <w:color w:val="auto"/>
                <w:sz w:val="24"/>
              </w:rPr>
              <w:t>厂界</w:t>
            </w:r>
            <w:r>
              <w:rPr>
                <w:color w:val="auto"/>
                <w:sz w:val="24"/>
                <w:rFonts w:hint="eastAsia"/>
              </w:rPr>
              <w:t>污染物</w:t>
            </w:r>
            <w:r>
              <w:rPr>
                <w:color w:val="auto"/>
                <w:sz w:val="24"/>
              </w:rPr>
              <w:t>排放浓度满足《大气污染物综合排放标准》(GB16297-1996)中表2无组织排放浓度限值，</w:t>
            </w:r>
            <w:r>
              <w:rPr>
                <w:color w:val="auto"/>
                <w:sz w:val="24"/>
                <w:bCs/>
              </w:rPr>
              <w:t>符合《环境空气细颗粒物污染综合防治技术政策》中三、防治工业污染要求。</w:t>
            </w:r>
          </w:p>
          <w:p w14:paraId="24799F78">
            <w:pPr>
              <w:autoSpaceDE w:val="0"/>
              <w:autoSpaceDN w:val="0"/>
              <w:adjustRightInd w:val="0"/>
              <w:snapToGrid w:val="0"/>
              <w:spacing w:line="360" w:lineRule="auto"/>
              <w:ind w:firstLine="480" w:firstLineChars="200"/>
              <w:rPr>
                <w:color w:val="auto"/>
                <w:sz w:val="24"/>
                <w:bCs/>
              </w:rPr>
            </w:pPr>
            <w:r>
              <w:rPr>
                <w:color w:val="auto"/>
                <w:sz w:val="24"/>
              </w:rPr>
              <w:t>（2）</w:t>
            </w:r>
            <w:r>
              <w:rPr>
                <w:color w:val="auto"/>
                <w:sz w:val="24"/>
                <w:bCs/>
              </w:rPr>
              <w:t>五、防治扬尘污染要求：（二十二）扬尘污染源应以道路扬尘、施工扬尘、粉状物料贮存场扬尘、城市裸土起尘等为防治重点。应参照《防治城市扬尘污染技术规范》，开展城市扬尘综合整治，减少城市裸地面积，采取植树种草等措施提高绿化率，或适当采用地面硬化措施，遏止扬尘污染。（二十三）对各种施工工地、各种粉状物料贮存场、各种港口装卸码头等，应采取设置围挡墙、防尘网和喷洒抑尘剂等有效的防尘、抑尘措施，防止颗粒物逸散；设置车辆清洗装置，保持上路行驶车辆的清洁；鼓励各类土建工程使用预搅拌的商品混凝土。（二十四）实行粉状物料及渣土车辆密闭运输，加强监管，防止遗撒。及时进行道路清扫、冲洗、洒水作业，减少道路扬尘。规范园林绿化设计和施工管理，防止园林绿地土壤向道路流失。</w:t>
            </w:r>
          </w:p>
          <w:p w14:paraId="16C5C4AC">
            <w:pPr>
              <w:autoSpaceDE w:val="0"/>
              <w:autoSpaceDN w:val="0"/>
              <w:adjustRightInd w:val="0"/>
              <w:snapToGrid w:val="0"/>
              <w:spacing w:line="360" w:lineRule="auto"/>
              <w:ind w:firstLine="480" w:firstLineChars="200"/>
              <w:rPr>
                <w:color w:val="auto"/>
                <w:bCs/>
              </w:rPr>
            </w:pPr>
            <w:r>
              <w:rPr>
                <w:color w:val="auto"/>
                <w:sz w:val="24"/>
              </w:rPr>
              <w:t>符合性分析：</w:t>
            </w:r>
            <w:r>
              <w:rPr>
                <w:color w:val="auto"/>
                <w:sz w:val="24"/>
                <w:bCs/>
                <w:rFonts w:hint="eastAsia"/>
              </w:rPr>
              <w:t>施工期土方表面压实、定期喷水、覆盖等措施；运输车按规定配置防洒落装备，装载不宜过满，保证运输过程中不散落；并规划好运输车辆的运行路线与时间，避免在繁华区、交通集中区和居民住宅等敏感区行驶；运输车辆加蓬盖，且出装、卸场地前先冲洗干净，减少车轮、底盘等携带泥土散落路面；对运输过程中散落在路面上的泥土要及时清扫，以减少运行过程中的扬尘</w:t>
            </w:r>
            <w:r>
              <w:rPr>
                <w:color w:val="auto"/>
                <w:sz w:val="24"/>
                <w:bCs/>
              </w:rPr>
              <w:t>。</w:t>
            </w:r>
            <w:r>
              <w:rPr>
                <w:color w:val="auto"/>
                <w:sz w:val="24"/>
                <w:bCs/>
                <w:rFonts w:hint="eastAsia"/>
              </w:rPr>
              <w:t>厂区</w:t>
            </w:r>
            <w:r>
              <w:rPr>
                <w:color w:val="auto"/>
                <w:sz w:val="24"/>
                <w:bCs/>
              </w:rPr>
              <w:t>设置防风抑尘网、洒水喷淋、铲装集堆过程洒水喷淋，可减少扬尘</w:t>
            </w:r>
            <w:r>
              <w:rPr>
                <w:color w:val="auto"/>
                <w:sz w:val="24"/>
              </w:rPr>
              <w:t>。</w:t>
            </w:r>
            <w:r>
              <w:rPr>
                <w:color w:val="auto"/>
                <w:sz w:val="24"/>
                <w:bCs/>
              </w:rPr>
              <w:t>符合《环境空气细颗粒物污染综合防治技术政策》中五、防治扬尘污染要求。</w:t>
            </w:r>
          </w:p>
          <w:p w14:paraId="207FA8AC">
            <w:pPr>
              <w:autoSpaceDE w:val="0"/>
              <w:autoSpaceDN w:val="0"/>
              <w:adjustRightInd w:val="0"/>
              <w:snapToGrid w:val="0"/>
              <w:spacing w:line="360" w:lineRule="auto"/>
              <w:ind w:firstLine="480" w:firstLineChars="200"/>
              <w:rPr>
                <w:color w:val="auto"/>
              </w:rPr>
            </w:pPr>
            <w:r>
              <w:rPr>
                <w:color w:val="auto"/>
                <w:sz w:val="24"/>
              </w:rPr>
              <w:t>（3）</w:t>
            </w:r>
            <w:r>
              <w:rPr>
                <w:color w:val="auto"/>
                <w:sz w:val="24"/>
                <w:bCs/>
              </w:rPr>
              <w:t>六、防治生活污染要求</w:t>
            </w:r>
            <w:r>
              <w:rPr>
                <w:color w:val="auto"/>
                <w:sz w:val="24"/>
              </w:rPr>
              <w:t>：（二十五）生活污染来源复杂、分布广泛，治理工作应调动社会各界的积极性，鼓励公众参与。应在全社会倡导形成节俭、绿色生活方式，摒弃奢侈、浪费、炫耀的消费习惯。倡导绿色消费，通过消费者选择和市场竞争，促使企业生产环境友好型消费品。（二十六）治理饮食业、干洗业、小型燃煤燃油锅炉等生活污染源，严格控制油烟、挥发性有机物、烟尘等污染物排放。推广使用具备溶剂回收功能的封闭式干洗机。应有效控制城市露天烧烤。生活垃圾和城市园林绿化废物应及时清运，进行无害化处理，防止露天焚烧。（二十八）在城市郊区和农村地区，推广使用清洁能源和高效节能锅炉，有条件的地区宜发展集中供暖或地热等采暖方式，以替代小型燃煤、燃油取暖炉，减轻面源污染。（二十九）开展环境文化建设，形成有益于环境保护的公序良俗，倡导良好生活习惯。倡导有益于健康的饮食习惯和低油烟、低污染、低能耗的烹调方式。提倡以无烟方式进行祭扫等礼仪活动，减少燃放烟花爆竹。</w:t>
            </w:r>
          </w:p>
          <w:p w14:paraId="453421DA">
            <w:pPr>
              <w:autoSpaceDE w:val="0"/>
              <w:autoSpaceDN w:val="0"/>
              <w:adjustRightInd w:val="0"/>
              <w:snapToGrid w:val="0"/>
              <w:jc w:val="left"/>
              <w:spacing w:line="360" w:lineRule="auto"/>
              <w:ind w:firstLine="480" w:firstLineChars="200"/>
              <w:rPr>
                <w:color w:val="auto"/>
                <w:sz w:val="24"/>
                <w:bCs/>
              </w:rPr>
            </w:pPr>
            <w:r>
              <w:rPr>
                <w:color w:val="auto"/>
                <w:sz w:val="24"/>
              </w:rPr>
              <w:t>符合性分析：本项目为沥青混凝土加工项目，不建设食堂及宿舍，</w:t>
            </w:r>
            <w:r>
              <w:rPr>
                <w:color w:val="auto"/>
                <w:sz w:val="24"/>
                <w:lang w:val="en-US" w:eastAsia="zh-CN"/>
                <w:szCs w:val="24"/>
                <w:rFonts w:hint="eastAsia"/>
              </w:rPr>
              <w:t>办公室使用电暖气</w:t>
            </w:r>
            <w:r>
              <w:rPr>
                <w:color w:val="auto"/>
                <w:sz w:val="24"/>
              </w:rPr>
              <w:t>，</w:t>
            </w:r>
            <w:r>
              <w:rPr>
                <w:color w:val="auto"/>
                <w:sz w:val="24"/>
                <w:bCs/>
              </w:rPr>
              <w:t>符合《环境空气细颗粒物污染综合防治技术政策》中六、防治生活污染要求。</w:t>
            </w:r>
          </w:p>
          <w:p w14:paraId="3199DE89">
            <w:pPr>
              <w:autoSpaceDE w:val="0"/>
              <w:autoSpaceDN w:val="0"/>
              <w:adjustRightInd w:val="0"/>
              <w:snapToGrid w:val="0"/>
              <w:jc w:val="left"/>
              <w:spacing w:line="360" w:lineRule="auto"/>
              <w:ind w:firstLine="482" w:firstLineChars="200"/>
              <w:rPr>
                <w:b w:val="1"/>
                <w:color w:val="auto"/>
                <w:sz w:val="24"/>
                <w:bCs/>
                <w:kern w:val="0"/>
                <w:szCs w:val="21"/>
              </w:rPr>
            </w:pPr>
            <w:r>
              <w:rPr>
                <w:b w:val="1"/>
                <w:color w:val="auto"/>
                <w:sz w:val="24"/>
                <w:kern w:val="0"/>
                <w:szCs w:val="21"/>
              </w:rPr>
              <w:t>3、</w:t>
            </w:r>
            <w:r>
              <w:rPr>
                <w:b w:val="1"/>
                <w:color w:val="auto"/>
                <w:sz w:val="24"/>
                <w:bCs/>
                <w:kern w:val="0"/>
                <w:szCs w:val="21"/>
              </w:rPr>
              <w:t>与《黑龙江省大气污染防治条例》的符合性分析</w:t>
            </w:r>
          </w:p>
          <w:p w14:paraId="20E3B90E">
            <w:pPr>
              <w:autoSpaceDE w:val="0"/>
              <w:autoSpaceDN w:val="0"/>
              <w:jc w:val="center"/>
              <w:contextualSpacing/>
              <w:rPr>
                <w:b w:val="1"/>
                <w:color w:val="auto"/>
                <w:sz w:val="24"/>
              </w:rPr>
            </w:pPr>
            <w:r>
              <w:rPr>
                <w:b w:val="1"/>
                <w:color w:val="auto"/>
                <w:sz w:val="24"/>
              </w:rPr>
              <w:t>表1-</w:t>
            </w:r>
            <w:r>
              <w:rPr>
                <w:b w:val="1"/>
                <w:color w:val="auto"/>
                <w:sz w:val="24"/>
                <w:rFonts w:hint="eastAsia"/>
              </w:rPr>
              <w:t>3</w:t>
            </w:r>
            <w:r>
              <w:rPr>
                <w:b w:val="1"/>
                <w:color w:val="auto"/>
                <w:sz w:val="24"/>
              </w:rPr>
              <w:t xml:space="preserve"> 与黑龙江省大气污染防治条例符合性分析</w:t>
            </w:r>
          </w:p>
          <w:tbl>
            <w:tblPr>
              <w:tblStyle w:val="27"/>
              <w:tblW w:w="6537" w:type="dxa"/>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434.000000"/>
              <w:gridCol w:w="3261.000000"/>
              <w:gridCol w:w="2409.000000"/>
              <w:gridCol w:w="433.000000"/>
            </w:tblGrid>
            <w:tr w14:paraId="7A325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4" w:hRule="atLeast"/>
                <w:jc w:val="center"/>
              </w:trPr>
              <w:tc>
                <w:tcPr>
                  <w:tcW w:w="434" w:type="dxa"/>
                  <w:vAlign w:val="center"/>
                  <w:tcBorders>
                    <w:right w:val="single" w:color="auto" w:sz="2" w:space="0"/>
                  </w:tcBorders>
                </w:tcPr>
                <w:p w14:paraId="78FBA452">
                  <w:pPr>
                    <w:autoSpaceDE w:val="0"/>
                    <w:autoSpaceDN w:val="0"/>
                    <w:jc w:val="center"/>
                    <w:rPr>
                      <w:color w:val="auto"/>
                      <w:szCs w:val="21"/>
                    </w:rPr>
                  </w:pPr>
                  <w:r>
                    <w:rPr>
                      <w:color w:val="auto"/>
                      <w:szCs w:val="21"/>
                    </w:rPr>
                    <w:t>序号</w:t>
                  </w:r>
                </w:p>
              </w:tc>
              <w:tc>
                <w:tcPr>
                  <w:tcW w:w="3261" w:type="dxa"/>
                  <w:vAlign w:val="center"/>
                  <w:tcBorders>
                    <w:left w:val="single" w:color="auto" w:sz="2" w:space="0"/>
                  </w:tcBorders>
                </w:tcPr>
                <w:p w14:paraId="06975221">
                  <w:pPr>
                    <w:autoSpaceDE w:val="0"/>
                    <w:autoSpaceDN w:val="0"/>
                    <w:jc w:val="center"/>
                    <w:rPr>
                      <w:color w:val="auto"/>
                      <w:szCs w:val="21"/>
                    </w:rPr>
                  </w:pPr>
                  <w:r>
                    <w:rPr>
                      <w:color w:val="auto"/>
                      <w:szCs w:val="21"/>
                    </w:rPr>
                    <w:t>黑龙江省大气污染防治条例</w:t>
                  </w:r>
                </w:p>
              </w:tc>
              <w:tc>
                <w:tcPr>
                  <w:tcW w:w="2409" w:type="dxa"/>
                  <w:vAlign w:val="center"/>
                  <w:tcBorders>
                    <w:right w:val="single" w:color="auto" w:sz="2" w:space="0"/>
                  </w:tcBorders>
                </w:tcPr>
                <w:p w14:paraId="3C312A0E">
                  <w:pPr>
                    <w:autoSpaceDE w:val="0"/>
                    <w:autoSpaceDN w:val="0"/>
                    <w:jc w:val="center"/>
                    <w:rPr>
                      <w:color w:val="auto"/>
                      <w:szCs w:val="21"/>
                    </w:rPr>
                  </w:pPr>
                  <w:r>
                    <w:rPr>
                      <w:color w:val="auto"/>
                      <w:szCs w:val="21"/>
                    </w:rPr>
                    <w:t>本项目</w:t>
                  </w:r>
                </w:p>
              </w:tc>
              <w:tc>
                <w:tcPr>
                  <w:tcW w:w="433" w:type="dxa"/>
                  <w:vAlign w:val="center"/>
                  <w:tcBorders>
                    <w:left w:val="single" w:color="auto" w:sz="2" w:space="0"/>
                  </w:tcBorders>
                </w:tcPr>
                <w:p w14:paraId="25BAF2E7">
                  <w:pPr>
                    <w:autoSpaceDE w:val="0"/>
                    <w:autoSpaceDN w:val="0"/>
                    <w:jc w:val="center"/>
                    <w:rPr>
                      <w:color w:val="auto"/>
                      <w:szCs w:val="21"/>
                    </w:rPr>
                  </w:pPr>
                  <w:r>
                    <w:rPr>
                      <w:color w:val="auto"/>
                      <w:szCs w:val="21"/>
                    </w:rPr>
                    <w:t>符合性</w:t>
                  </w:r>
                </w:p>
              </w:tc>
            </w:tr>
            <w:tr w14:paraId="49540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07" w:hRule="atLeast"/>
                <w:jc w:val="center"/>
              </w:trPr>
              <w:tc>
                <w:tcPr>
                  <w:tcW w:w="434" w:type="dxa"/>
                  <w:vAlign w:val="center"/>
                  <w:tcBorders>
                    <w:right w:val="single" w:color="auto" w:sz="2" w:space="0"/>
                  </w:tcBorders>
                </w:tcPr>
                <w:p w14:paraId="25A887AE">
                  <w:pPr>
                    <w:autoSpaceDE w:val="0"/>
                    <w:autoSpaceDN w:val="0"/>
                    <w:jc w:val="center"/>
                    <w:rPr>
                      <w:color w:val="auto"/>
                      <w:szCs w:val="21"/>
                    </w:rPr>
                  </w:pPr>
                  <w:r>
                    <w:rPr>
                      <w:color w:val="auto"/>
                      <w:szCs w:val="21"/>
                      <w:rFonts w:hint="eastAsia"/>
                    </w:rPr>
                    <w:t>1</w:t>
                  </w:r>
                </w:p>
              </w:tc>
              <w:tc>
                <w:tcPr>
                  <w:tcW w:w="3261" w:type="dxa"/>
                  <w:vAlign w:val="center"/>
                  <w:tcBorders>
                    <w:left w:val="single" w:color="auto" w:sz="2" w:space="0"/>
                  </w:tcBorders>
                </w:tcPr>
                <w:p w14:paraId="392ABE04">
                  <w:pPr>
                    <w:widowControl w:val="1"/>
                    <w:shd w:val="clear" w:color="auto" w:fill="FFFFFF"/>
                    <w:spacing w:line="258" w:lineRule="atLeast"/>
                    <w:rPr>
                      <w:color w:val="auto"/>
                      <w:szCs w:val="21"/>
                    </w:rPr>
                  </w:pPr>
                  <w:r>
                    <w:rPr>
                      <w:color w:val="auto"/>
                      <w:szCs w:val="21"/>
                    </w:rPr>
                    <w:t>建设单位应当将防治扬尘污染的费用列入工程造价，并在施工承包合同中明确施工单位的扬尘污染防治责任。房屋建筑、市政基础设施建设等施工单位应当制定、实施包括重污染天气应对措施在内的施工扬尘污染防治实施方案，并遵守下列规定：</w:t>
                  </w:r>
                </w:p>
                <w:p w14:paraId="1161ED6D">
                  <w:pPr>
                    <w:widowControl w:val="1"/>
                    <w:shd w:val="clear" w:color="auto" w:fill="FFFFFF"/>
                    <w:spacing w:line="258" w:lineRule="atLeast"/>
                    <w:rPr>
                      <w:color w:val="auto"/>
                      <w:szCs w:val="21"/>
                    </w:rPr>
                  </w:pPr>
                  <w:r>
                    <w:rPr>
                      <w:color w:val="auto"/>
                      <w:szCs w:val="21"/>
                    </w:rPr>
                    <w:t>（一）在施工工地设置硬质围挡，并负责维护；（二）在施工工地公示扬尘污染防治措施、负责人、扬尘监督管理主管部门等信息；（三）在施工工地出口设置车辆冲洗设施，车辆不得带泥上路，施工工地通道以及出入口周边的道路不得存放建筑垃圾；（四）施工工地出入口、主要通道、加工区等采取硬化处理措施；（五）对施工工地内堆存的建筑土方、工程渣土、建筑垃圾，采取密闭式防尘网遮盖；（六）在施工工地建筑结构脚手架外侧设置有效抑尘的密闭式防尘网；（七）采取封闭方式及时清运建筑垃圾；（八）有效防尘、降尘的其他措施。</w:t>
                  </w:r>
                </w:p>
              </w:tc>
              <w:tc>
                <w:tcPr>
                  <w:tcW w:w="2409" w:type="dxa"/>
                  <w:vAlign w:val="center"/>
                  <w:tcBorders>
                    <w:right w:val="single" w:color="auto" w:sz="2" w:space="0"/>
                  </w:tcBorders>
                </w:tcPr>
                <w:p w14:paraId="30A1FCD5">
                  <w:pPr>
                    <w:autoSpaceDE w:val="0"/>
                    <w:autoSpaceDN w:val="0"/>
                    <w:rPr>
                      <w:b w:val="1"/>
                      <w:color w:val="auto"/>
                      <w:bCs/>
                      <w:szCs w:val="21"/>
                    </w:rPr>
                  </w:pPr>
                  <w:r>
                    <w:rPr>
                      <w:color w:val="auto"/>
                      <w:bCs/>
                      <w:szCs w:val="21"/>
                      <w:rFonts w:hint="eastAsia"/>
                    </w:rPr>
                    <w:t>施工废水沉淀后用于场地洒水抑尘。生活污水排入防渗旱厕，定期清掏，外运堆肥，不外排。</w:t>
                  </w:r>
                </w:p>
                <w:p w14:paraId="6AC4E32F">
                  <w:pPr>
                    <w:autoSpaceDE w:val="0"/>
                    <w:autoSpaceDN w:val="0"/>
                    <w:rPr>
                      <w:color w:val="auto"/>
                      <w:bCs/>
                      <w:szCs w:val="21"/>
                    </w:rPr>
                  </w:pPr>
                  <w:r>
                    <w:rPr>
                      <w:color w:val="auto"/>
                      <w:bCs/>
                      <w:szCs w:val="21"/>
                      <w:rFonts w:hint="eastAsia"/>
                    </w:rPr>
                    <w:t>开挖过程中，洒水降尘；施工期土方表面压实、定期喷水、覆盖等措施；运输车按规定配置防洒落装备，装载不宜过满，保证运输过程中不散落；并规划好运输车辆的运行路线与时间，尽量避免在繁华区、交通集中区和居民住宅等敏感区行驶；运输车辆加蓬盖，且出装、卸场地前先冲洗干净，减少车轮、底盘等携带泥土散落路面；对运输过程中散落在路面上的泥土要及时清扫，以减少运行过程中的扬尘。合理安排高噪声设备远离敏感目标作业，同时夜间不施工。汽车晚间运输用灯光示警，禁鸣喇叭。选用低噪声机械设备，对产生噪声的施工设备加强维护和维修工作，亦对噪声有良好作用。施工残土、建筑垃圾为主要固体废物，及时清运，并按市政部门指定地点堆放。运输车辆加盖遮挡，防止产生二次扬尘。生活垃圾统一收集后由市政统一处理，</w:t>
                  </w:r>
                  <w:r>
                    <w:rPr>
                      <w:color w:val="auto"/>
                      <w:bCs/>
                      <w:szCs w:val="21"/>
                    </w:rPr>
                    <w:t>不会对周围环境造成影响。因此，本项目施工期对周边环境无明显影响。</w:t>
                  </w:r>
                </w:p>
              </w:tc>
              <w:tc>
                <w:tcPr>
                  <w:tcW w:w="433" w:type="dxa"/>
                  <w:vAlign w:val="center"/>
                  <w:tcBorders>
                    <w:left w:val="single" w:color="auto" w:sz="2" w:space="0"/>
                  </w:tcBorders>
                </w:tcPr>
                <w:p w14:paraId="016DB71C">
                  <w:pPr>
                    <w:jc w:val="center"/>
                    <w:contextualSpacing/>
                    <w:rPr>
                      <w:color w:val="auto"/>
                      <w:bCs/>
                      <w:szCs w:val="21"/>
                    </w:rPr>
                  </w:pPr>
                  <w:r>
                    <w:rPr>
                      <w:color w:val="auto"/>
                      <w:bCs/>
                      <w:szCs w:val="21"/>
                    </w:rPr>
                    <w:t>符合</w:t>
                  </w:r>
                </w:p>
              </w:tc>
            </w:tr>
            <w:tr w14:paraId="15989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07" w:hRule="atLeast"/>
                <w:jc w:val="center"/>
              </w:trPr>
              <w:tc>
                <w:tcPr>
                  <w:tcW w:w="434" w:type="dxa"/>
                  <w:vAlign w:val="center"/>
                  <w:tcBorders>
                    <w:right w:val="single" w:color="auto" w:sz="2" w:space="0"/>
                  </w:tcBorders>
                </w:tcPr>
                <w:p w14:paraId="7B7DB441">
                  <w:pPr>
                    <w:autoSpaceDE w:val="0"/>
                    <w:autoSpaceDN w:val="0"/>
                    <w:jc w:val="center"/>
                    <w:rPr>
                      <w:color w:val="auto"/>
                      <w:szCs w:val="21"/>
                    </w:rPr>
                  </w:pPr>
                  <w:r>
                    <w:rPr>
                      <w:color w:val="auto"/>
                      <w:szCs w:val="21"/>
                      <w:rFonts w:hint="eastAsia"/>
                    </w:rPr>
                    <w:t>2</w:t>
                  </w:r>
                </w:p>
              </w:tc>
              <w:tc>
                <w:tcPr>
                  <w:tcW w:w="3261" w:type="dxa"/>
                  <w:vAlign w:val="center"/>
                  <w:tcBorders>
                    <w:left w:val="single" w:color="auto" w:sz="2" w:space="0"/>
                  </w:tcBorders>
                </w:tcPr>
                <w:p w14:paraId="533A965B">
                  <w:pPr>
                    <w:autoSpaceDE w:val="0"/>
                    <w:autoSpaceDN w:val="0"/>
                    <w:rPr>
                      <w:color w:val="auto"/>
                      <w:szCs w:val="21"/>
                    </w:rPr>
                  </w:pPr>
                  <w:r>
                    <w:rPr>
                      <w:color w:val="auto"/>
                      <w:szCs w:val="21"/>
                    </w:rPr>
                    <w:t>暂时不能开工的建设用地，建设单位应当对裸露地面进行覆盖；超过三个月的，应当进行绿化、铺装或者遮盖。</w:t>
                  </w:r>
                </w:p>
              </w:tc>
              <w:tc>
                <w:tcPr>
                  <w:tcW w:w="2409" w:type="dxa"/>
                  <w:vAlign w:val="center"/>
                  <w:tcBorders>
                    <w:right w:val="single" w:color="auto" w:sz="2" w:space="0"/>
                  </w:tcBorders>
                </w:tcPr>
                <w:p w14:paraId="0B3FED25">
                  <w:pPr>
                    <w:autoSpaceDE w:val="0"/>
                    <w:autoSpaceDN w:val="0"/>
                    <w:rPr>
                      <w:color w:val="auto"/>
                      <w:szCs w:val="21"/>
                    </w:rPr>
                  </w:pPr>
                  <w:r>
                    <w:rPr>
                      <w:color w:val="auto"/>
                      <w:bCs/>
                      <w:szCs w:val="21"/>
                    </w:rPr>
                    <w:t>本项目开工建设前</w:t>
                  </w:r>
                  <w:r>
                    <w:rPr>
                      <w:color w:val="auto"/>
                      <w:szCs w:val="21"/>
                    </w:rPr>
                    <w:t>对裸露地面进行覆盖</w:t>
                  </w:r>
                  <w:r>
                    <w:rPr>
                      <w:color w:val="auto"/>
                      <w:bCs/>
                      <w:szCs w:val="21"/>
                    </w:rPr>
                    <w:t>。</w:t>
                  </w:r>
                </w:p>
              </w:tc>
              <w:tc>
                <w:tcPr>
                  <w:tcW w:w="433" w:type="dxa"/>
                  <w:vAlign w:val="center"/>
                  <w:tcBorders>
                    <w:left w:val="single" w:color="auto" w:sz="2" w:space="0"/>
                  </w:tcBorders>
                </w:tcPr>
                <w:p w14:paraId="257C3A33">
                  <w:pPr>
                    <w:jc w:val="center"/>
                    <w:contextualSpacing/>
                    <w:rPr>
                      <w:color w:val="auto"/>
                      <w:bCs/>
                      <w:szCs w:val="21"/>
                    </w:rPr>
                  </w:pPr>
                  <w:r>
                    <w:rPr>
                      <w:color w:val="auto"/>
                      <w:bCs/>
                      <w:szCs w:val="21"/>
                    </w:rPr>
                    <w:t>符合</w:t>
                  </w:r>
                </w:p>
              </w:tc>
            </w:tr>
            <w:tr w14:paraId="66371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07" w:hRule="atLeast"/>
                <w:jc w:val="center"/>
              </w:trPr>
              <w:tc>
                <w:tcPr>
                  <w:tcW w:w="434" w:type="dxa"/>
                  <w:vAlign w:val="center"/>
                  <w:tcBorders>
                    <w:right w:val="single" w:color="auto" w:sz="2" w:space="0"/>
                  </w:tcBorders>
                </w:tcPr>
                <w:p w14:paraId="52D10925">
                  <w:pPr>
                    <w:autoSpaceDE w:val="0"/>
                    <w:autoSpaceDN w:val="0"/>
                    <w:jc w:val="center"/>
                    <w:rPr>
                      <w:color w:val="auto"/>
                      <w:szCs w:val="21"/>
                    </w:rPr>
                  </w:pPr>
                  <w:r>
                    <w:rPr>
                      <w:color w:val="auto"/>
                      <w:szCs w:val="21"/>
                      <w:rFonts w:hint="eastAsia"/>
                    </w:rPr>
                    <w:t>3</w:t>
                  </w:r>
                </w:p>
              </w:tc>
              <w:tc>
                <w:tcPr>
                  <w:tcW w:w="3261" w:type="dxa"/>
                  <w:vAlign w:val="center"/>
                  <w:tcBorders>
                    <w:left w:val="single" w:color="auto" w:sz="2" w:space="0"/>
                  </w:tcBorders>
                </w:tcPr>
                <w:p w14:paraId="513CC6F5">
                  <w:pPr>
                    <w:autoSpaceDE w:val="0"/>
                    <w:autoSpaceDN w:val="0"/>
                    <w:rPr>
                      <w:color w:val="auto"/>
                      <w:szCs w:val="21"/>
                    </w:rPr>
                  </w:pPr>
                  <w:r>
                    <w:rPr>
                      <w:color w:val="auto"/>
                      <w:szCs w:val="21"/>
                    </w:rPr>
                    <w:t>矿山企业应当按照设计和开发利用方案作业，设置废石、废渣、泥土等专门存放地，并采取围挡、硬化施工道路、洒水降尘、设置防风抑尘网或者防尘布等防尘、降尘措施。开采后应当及时进行</w:t>
                  </w:r>
                  <w:r>
                    <w:rPr>
                      <w:color w:val="auto"/>
                    </w:rPr>
                    <w:fldChar w:fldCharType="begin"/>
                  </w:r>
                  <w:r>
                    <w:rPr>
                      <w:color w:val="auto"/>
                    </w:rPr>
                    <w:instrText xml:space="preserve"> HYPERLINK "http://www.chndaqi.com/news/field?fid=42" \t "_blank" \o "生态修复" </w:instrText>
                  </w:r>
                  <w:r>
                    <w:rPr>
                      <w:color w:val="auto"/>
                    </w:rPr>
                    <w:fldChar w:fldCharType="separate"/>
                  </w:r>
                  <w:r>
                    <w:rPr>
                      <w:rStyle w:val="32"/>
                      <w:u w:val="none"/>
                      <w:color w:val="auto"/>
                      <w:szCs w:val="21"/>
                    </w:rPr>
                    <w:t>生态修复</w:t>
                  </w:r>
                  <w:r>
                    <w:rPr>
                      <w:rStyle w:val="32"/>
                      <w:u w:val="none"/>
                      <w:color w:val="auto"/>
                      <w:szCs w:val="21"/>
                    </w:rPr>
                    <w:fldChar w:fldCharType="end"/>
                  </w:r>
                  <w:r>
                    <w:rPr>
                      <w:color w:val="auto"/>
                      <w:szCs w:val="21"/>
                    </w:rPr>
                    <w:t>，防治扬尘污染。</w:t>
                  </w:r>
                </w:p>
              </w:tc>
              <w:tc>
                <w:tcPr>
                  <w:tcW w:w="2409" w:type="dxa"/>
                  <w:vAlign w:val="center"/>
                  <w:tcBorders>
                    <w:right w:val="single" w:color="auto" w:sz="2" w:space="0"/>
                  </w:tcBorders>
                </w:tcPr>
                <w:p w14:paraId="66282DB2">
                  <w:pPr>
                    <w:autoSpaceDE w:val="0"/>
                    <w:autoSpaceDN w:val="0"/>
                    <w:rPr>
                      <w:color w:val="auto"/>
                      <w:szCs w:val="21"/>
                    </w:rPr>
                  </w:pPr>
                  <w:r>
                    <w:rPr>
                      <w:color w:val="auto"/>
                      <w:kern w:val="0"/>
                      <w:szCs w:val="21"/>
                    </w:rPr>
                    <w:t>本项目为沥青混凝土加工项目，非</w:t>
                  </w:r>
                  <w:r>
                    <w:rPr>
                      <w:color w:val="auto"/>
                      <w:szCs w:val="21"/>
                    </w:rPr>
                    <w:t>矿山企业</w:t>
                  </w:r>
                  <w:r>
                    <w:rPr>
                      <w:color w:val="auto"/>
                      <w:kern w:val="0"/>
                      <w:szCs w:val="21"/>
                    </w:rPr>
                    <w:t>。</w:t>
                  </w:r>
                </w:p>
              </w:tc>
              <w:tc>
                <w:tcPr>
                  <w:tcW w:w="433" w:type="dxa"/>
                  <w:vAlign w:val="center"/>
                  <w:tcBorders>
                    <w:left w:val="single" w:color="auto" w:sz="2" w:space="0"/>
                  </w:tcBorders>
                </w:tcPr>
                <w:p w14:paraId="139EA3AF">
                  <w:pPr>
                    <w:autoSpaceDE w:val="0"/>
                    <w:autoSpaceDN w:val="0"/>
                    <w:jc w:val="center"/>
                    <w:rPr>
                      <w:color w:val="auto"/>
                      <w:szCs w:val="21"/>
                    </w:rPr>
                  </w:pPr>
                  <w:r>
                    <w:rPr>
                      <w:color w:val="auto"/>
                      <w:szCs w:val="21"/>
                    </w:rPr>
                    <w:t>符合</w:t>
                  </w:r>
                </w:p>
              </w:tc>
            </w:tr>
          </w:tbl>
          <w:p w14:paraId="50A6B8D5">
            <w:pPr>
              <w:autoSpaceDE w:val="0"/>
              <w:autoSpaceDN w:val="0"/>
              <w:adjustRightInd w:val="0"/>
              <w:snapToGrid w:val="0"/>
              <w:jc w:val="left"/>
              <w:spacing w:line="360" w:lineRule="auto"/>
              <w:ind w:firstLine="482" w:firstLineChars="200"/>
              <w:rPr>
                <w:b w:val="1"/>
                <w:color w:val="auto"/>
                <w:sz w:val="24"/>
              </w:rPr>
            </w:pPr>
            <w:r>
              <w:rPr>
                <w:b w:val="1"/>
                <w:color w:val="auto"/>
                <w:sz w:val="24"/>
                <w:kern w:val="0"/>
                <w:szCs w:val="21"/>
                <w:rFonts w:hint="eastAsia"/>
              </w:rPr>
              <w:t>4、</w:t>
            </w:r>
            <w:r>
              <w:rPr>
                <w:b w:val="1"/>
                <w:color w:val="auto"/>
                <w:sz w:val="24"/>
                <w:rFonts w:hint="eastAsia"/>
              </w:rPr>
              <w:t>与</w:t>
            </w:r>
            <w:r>
              <w:rPr>
                <w:b w:val="1"/>
                <w:color w:val="auto"/>
                <w:sz w:val="24"/>
                <w:bCs/>
                <w:rFonts w:hint="eastAsia"/>
              </w:rPr>
              <w:t>《地下水管理条例》（中华人民共和国国务院令 第748号）符合性分析</w:t>
            </w:r>
          </w:p>
          <w:p w14:paraId="45719B13">
            <w:pPr>
              <w:jc w:val="center"/>
              <w:rPr>
                <w:b w:val="1"/>
                <w:color w:val="auto"/>
                <w:sz w:val="24"/>
                <w:bCs/>
              </w:rPr>
            </w:pPr>
            <w:r>
              <w:rPr>
                <w:b w:val="1"/>
                <w:color w:val="auto"/>
                <w:sz w:val="24"/>
                <w:bCs/>
                <w:rFonts w:hAnsi="宋体"/>
              </w:rPr>
              <w:t>表</w:t>
            </w:r>
            <w:r>
              <w:rPr>
                <w:b w:val="1"/>
                <w:color w:val="auto"/>
                <w:sz w:val="24"/>
                <w:bCs/>
              </w:rPr>
              <w:t>1-</w:t>
            </w:r>
            <w:r>
              <w:rPr>
                <w:b w:val="1"/>
                <w:color w:val="auto"/>
                <w:sz w:val="24"/>
                <w:bCs/>
                <w:rFonts w:hint="eastAsia"/>
              </w:rPr>
              <w:t>4</w:t>
            </w:r>
            <w:r>
              <w:rPr>
                <w:b w:val="1"/>
                <w:color w:val="auto"/>
                <w:sz w:val="24"/>
                <w:bCs/>
              </w:rPr>
              <w:t xml:space="preserve"> </w:t>
            </w:r>
            <w:r>
              <w:rPr>
                <w:b w:val="1"/>
                <w:color w:val="auto"/>
                <w:sz w:val="24"/>
                <w:bCs/>
                <w:rFonts w:hAnsi="宋体"/>
              </w:rPr>
              <w:t>与</w:t>
            </w:r>
            <w:r>
              <w:rPr>
                <w:b w:val="1"/>
                <w:color w:val="auto"/>
                <w:sz w:val="24"/>
                <w:bCs/>
                <w:rFonts w:hAnsi="宋体" w:hint="eastAsia"/>
              </w:rPr>
              <w:t>《地下水管理条例》</w:t>
            </w:r>
            <w:r>
              <w:rPr>
                <w:b w:val="1"/>
                <w:color w:val="auto"/>
                <w:sz w:val="24"/>
                <w:bCs/>
                <w:rFonts w:hAnsi="宋体"/>
              </w:rPr>
              <w:t>符合性一览表</w:t>
            </w:r>
          </w:p>
          <w:tbl>
            <w:tblPr>
              <w:tblStyle w:val="27"/>
              <w:tblW w:w="6618" w:type="dxa"/>
              <w:jc w:val="center"/>
              <w:tblLayout w:type="fixed"/>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
            <w:tblGrid>
              <w:gridCol w:w="471.000000"/>
              <w:gridCol w:w="19.000000"/>
              <w:gridCol w:w="3098.000000"/>
              <w:gridCol w:w="24.000000"/>
              <w:gridCol w:w="2386.000000"/>
              <w:gridCol w:w="23.000000"/>
              <w:gridCol w:w="550.000000"/>
              <w:gridCol w:w="47.000000"/>
            </w:tblGrid>
            <w:tr w14:paraId="4DD3A3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gridAfter w:val="1"/>
                <w:wAfter w:w="32" w:type="pct"/>
                <w:trHeight w:val="86" w:hRule="atLeast"/>
                <w:tblHeader/>
                <w:jc w:val="center"/>
              </w:trPr>
              <w:tc>
                <w:tcPr>
                  <w:tcW w:w="356" w:type="pct"/>
                  <w:vAlign w:val="center"/>
                </w:tcPr>
                <w:p w14:paraId="2FBEE0E7">
                  <w:pPr>
                    <w:pStyle w:val="96"/>
                    <w:spacing w:line="0" w:lineRule="atLeast"/>
                    <w:rPr>
                      <w:color w:val="auto"/>
                      <w:rFonts w:eastAsiaTheme="minorEastAsia"/>
                    </w:rPr>
                  </w:pPr>
                  <w:r>
                    <w:rPr>
                      <w:color w:val="auto"/>
                      <w:rFonts w:hAnsiTheme="minorEastAsia" w:eastAsiaTheme="minorEastAsia"/>
                    </w:rPr>
                    <w:t>序号</w:t>
                  </w:r>
                </w:p>
              </w:tc>
              <w:tc>
                <w:tcPr>
                  <w:tcW w:w="2355" w:type="pct"/>
                  <w:gridSpan w:val="2"/>
                  <w:vAlign w:val="center"/>
                </w:tcPr>
                <w:p w14:paraId="1D897BC0">
                  <w:pPr>
                    <w:pStyle w:val="96"/>
                    <w:spacing w:line="0" w:lineRule="atLeast"/>
                    <w:rPr>
                      <w:color w:val="auto"/>
                      <w:rFonts w:eastAsiaTheme="minorEastAsia"/>
                    </w:rPr>
                  </w:pPr>
                  <w:r>
                    <w:rPr>
                      <w:color w:val="auto"/>
                      <w:rFonts w:hAnsiTheme="minorEastAsia" w:eastAsiaTheme="minorEastAsia"/>
                    </w:rPr>
                    <w:t>《地下水管理条例》（中华人民共和国国务院令</w:t>
                  </w:r>
                  <w:r>
                    <w:rPr>
                      <w:color w:val="auto"/>
                      <w:rFonts w:eastAsiaTheme="minorEastAsia"/>
                    </w:rPr>
                    <w:t xml:space="preserve"> </w:t>
                  </w:r>
                  <w:r>
                    <w:rPr>
                      <w:color w:val="auto"/>
                      <w:rFonts w:hAnsiTheme="minorEastAsia" w:eastAsiaTheme="minorEastAsia"/>
                    </w:rPr>
                    <w:t>第</w:t>
                  </w:r>
                  <w:r>
                    <w:rPr>
                      <w:color w:val="auto"/>
                      <w:rFonts w:eastAsiaTheme="minorEastAsia"/>
                    </w:rPr>
                    <w:t>748</w:t>
                  </w:r>
                  <w:r>
                    <w:rPr>
                      <w:color w:val="auto"/>
                      <w:rFonts w:hAnsiTheme="minorEastAsia" w:eastAsiaTheme="minorEastAsia"/>
                    </w:rPr>
                    <w:t>号）</w:t>
                  </w:r>
                </w:p>
              </w:tc>
              <w:tc>
                <w:tcPr>
                  <w:tcW w:w="1821" w:type="pct"/>
                  <w:gridSpan w:val="2"/>
                  <w:vAlign w:val="center"/>
                </w:tcPr>
                <w:p w14:paraId="415F9E0F">
                  <w:pPr>
                    <w:pStyle w:val="96"/>
                    <w:spacing w:line="0" w:lineRule="atLeast"/>
                    <w:rPr>
                      <w:color w:val="auto"/>
                      <w:rFonts w:eastAsiaTheme="minorEastAsia"/>
                    </w:rPr>
                  </w:pPr>
                  <w:r>
                    <w:rPr>
                      <w:color w:val="auto"/>
                      <w:rFonts w:hAnsiTheme="minorEastAsia" w:eastAsiaTheme="minorEastAsia"/>
                    </w:rPr>
                    <w:t>本项目</w:t>
                  </w:r>
                </w:p>
              </w:tc>
              <w:tc>
                <w:tcPr>
                  <w:tcW w:w="433" w:type="pct"/>
                  <w:gridSpan w:val="2"/>
                  <w:vAlign w:val="center"/>
                </w:tcPr>
                <w:p w14:paraId="7182FBD0">
                  <w:pPr>
                    <w:pStyle w:val="96"/>
                    <w:spacing w:line="0" w:lineRule="atLeast"/>
                    <w:rPr>
                      <w:color w:val="auto"/>
                      <w:rFonts w:eastAsiaTheme="minorEastAsia"/>
                    </w:rPr>
                  </w:pPr>
                  <w:r>
                    <w:rPr>
                      <w:color w:val="auto"/>
                      <w:kern w:val="0"/>
                      <w:szCs w:val="21"/>
                      <w:rFonts w:hAnsiTheme="minorEastAsia" w:eastAsiaTheme="minorEastAsia"/>
                    </w:rPr>
                    <w:t>符合性</w:t>
                  </w:r>
                </w:p>
              </w:tc>
            </w:tr>
            <w:tr w14:paraId="455EB2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gridAfter w:val="1"/>
                <w:wAfter w:w="32" w:type="pct"/>
                <w:trHeight w:val="677" w:hRule="atLeast"/>
                <w:jc w:val="center"/>
              </w:trPr>
              <w:tc>
                <w:tcPr>
                  <w:tcW w:w="356" w:type="pct"/>
                  <w:vAlign w:val="center"/>
                </w:tcPr>
                <w:p w14:paraId="724EB06C">
                  <w:pPr>
                    <w:pStyle w:val="96"/>
                    <w:spacing w:line="0" w:lineRule="atLeast"/>
                    <w:rPr>
                      <w:color w:val="auto"/>
                      <w:rFonts w:eastAsiaTheme="minorEastAsia"/>
                    </w:rPr>
                  </w:pPr>
                  <w:r>
                    <w:rPr>
                      <w:color w:val="auto"/>
                      <w:rFonts w:eastAsiaTheme="minorEastAsia"/>
                    </w:rPr>
                    <w:t>1</w:t>
                  </w:r>
                </w:p>
              </w:tc>
              <w:tc>
                <w:tcPr>
                  <w:tcW w:w="2355" w:type="pct"/>
                  <w:gridSpan w:val="2"/>
                  <w:vAlign w:val="center"/>
                </w:tcPr>
                <w:p w14:paraId="1DC9C687">
                  <w:pPr>
                    <w:pStyle w:val="96"/>
                    <w:spacing w:line="0" w:lineRule="atLeast"/>
                    <w:rPr>
                      <w:color w:val="auto"/>
                      <w:szCs w:val="21"/>
                      <w:rFonts w:eastAsiaTheme="minorEastAsia"/>
                    </w:rPr>
                  </w:pPr>
                  <w:r>
                    <w:rPr>
                      <w:color w:val="auto"/>
                      <w:szCs w:val="21"/>
                      <w:rFonts w:hAnsiTheme="minorEastAsia" w:eastAsiaTheme="minorEastAsia"/>
                    </w:rPr>
                    <w:t>利用地下水的单位和个人应当加强地下水取水工程管理，节约、保护地下水，防止地下水污染。</w:t>
                  </w:r>
                </w:p>
              </w:tc>
              <w:tc>
                <w:tcPr>
                  <w:tcW w:w="1821" w:type="pct"/>
                  <w:gridSpan w:val="2"/>
                  <w:vAlign w:val="center"/>
                </w:tcPr>
                <w:p w14:paraId="2144C3F9">
                  <w:pPr>
                    <w:pStyle w:val="96"/>
                    <w:spacing w:line="0" w:lineRule="atLeast"/>
                    <w:rPr>
                      <w:color w:val="auto"/>
                      <w:rFonts w:eastAsiaTheme="minorEastAsia"/>
                    </w:rPr>
                  </w:pPr>
                  <w:r>
                    <w:rPr>
                      <w:color w:val="auto"/>
                      <w:szCs w:val="21"/>
                      <w:rFonts w:hAnsiTheme="minorEastAsia" w:eastAsiaTheme="minorEastAsia"/>
                    </w:rPr>
                    <w:t>本项目利用地下水，</w:t>
                  </w:r>
                  <w:r>
                    <w:rPr>
                      <w:color w:val="auto"/>
                      <w:szCs w:val="21"/>
                      <w:rFonts w:hint="eastAsia" w:hAnsiTheme="minorEastAsia" w:eastAsiaTheme="minorEastAsia"/>
                    </w:rPr>
                    <w:t>用水主要为生活用水和降尘用水，生活污水排入防渗旱厕，定期清掏，外运堆肥，不外排。无生产废水。</w:t>
                  </w:r>
                </w:p>
              </w:tc>
              <w:tc>
                <w:tcPr>
                  <w:tcW w:w="433" w:type="pct"/>
                  <w:gridSpan w:val="2"/>
                  <w:vAlign w:val="center"/>
                </w:tcPr>
                <w:p w14:paraId="1C840F21">
                  <w:pPr>
                    <w:pStyle w:val="96"/>
                    <w:spacing w:line="0" w:lineRule="atLeast"/>
                    <w:rPr>
                      <w:color w:val="auto"/>
                      <w:rFonts w:eastAsiaTheme="minorEastAsia"/>
                    </w:rPr>
                  </w:pPr>
                  <w:r>
                    <w:rPr>
                      <w:color w:val="auto"/>
                      <w:rFonts w:hAnsiTheme="minorEastAsia" w:eastAsiaTheme="minorEastAsia"/>
                    </w:rPr>
                    <w:t>符合</w:t>
                  </w:r>
                </w:p>
              </w:tc>
            </w:tr>
            <w:tr w14:paraId="423E5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gridAfter w:val="1"/>
                <w:wAfter w:w="32" w:type="pct"/>
                <w:trHeight w:val="677" w:hRule="atLeast"/>
                <w:jc w:val="center"/>
              </w:trPr>
              <w:tc>
                <w:tcPr>
                  <w:tcW w:w="356" w:type="pct"/>
                  <w:vAlign w:val="center"/>
                </w:tcPr>
                <w:p w14:paraId="0291018C">
                  <w:pPr>
                    <w:pStyle w:val="96"/>
                    <w:spacing w:line="0" w:lineRule="atLeast"/>
                    <w:rPr>
                      <w:color w:val="auto"/>
                      <w:rFonts w:eastAsiaTheme="minorEastAsia"/>
                    </w:rPr>
                  </w:pPr>
                  <w:r>
                    <w:rPr>
                      <w:color w:val="auto"/>
                      <w:rFonts w:eastAsiaTheme="minorEastAsia"/>
                    </w:rPr>
                    <w:t>2</w:t>
                  </w:r>
                </w:p>
              </w:tc>
              <w:tc>
                <w:tcPr>
                  <w:tcW w:w="2355" w:type="pct"/>
                  <w:gridSpan w:val="2"/>
                  <w:vAlign w:val="center"/>
                </w:tcPr>
                <w:p w14:paraId="624B8CE9">
                  <w:pPr>
                    <w:pStyle w:val="22"/>
                    <w:jc w:val="center"/>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建设单位和个人应当采取措施防止地下工程建设对地下水补给、径流、排泄等造成重大不利影响。</w:t>
                  </w:r>
                </w:p>
              </w:tc>
              <w:tc>
                <w:tcPr>
                  <w:tcW w:w="1821" w:type="pct"/>
                  <w:gridSpan w:val="2"/>
                  <w:vAlign w:val="center"/>
                </w:tcPr>
                <w:p w14:paraId="1E5A9DAD">
                  <w:pPr>
                    <w:pStyle w:val="96"/>
                    <w:spacing w:line="0" w:lineRule="atLeast"/>
                    <w:rPr>
                      <w:color w:val="auto"/>
                      <w:szCs w:val="21"/>
                      <w:rFonts w:eastAsiaTheme="minorEastAsia"/>
                    </w:rPr>
                  </w:pPr>
                  <w:r>
                    <w:rPr>
                      <w:color w:val="auto"/>
                      <w:szCs w:val="21"/>
                      <w:rFonts w:hAnsiTheme="minorEastAsia" w:eastAsiaTheme="minorEastAsia"/>
                    </w:rPr>
                    <w:t>项目运营对地下水构成污染的可能环节设置防渗，不存在地下水污染途径</w:t>
                  </w:r>
                  <w:r>
                    <w:rPr>
                      <w:color w:val="auto"/>
                      <w:szCs w:val="21"/>
                      <w:rFonts w:hint="eastAsia" w:hAnsiTheme="minorEastAsia" w:eastAsiaTheme="minorEastAsia"/>
                    </w:rPr>
                    <w:t>。</w:t>
                  </w:r>
                </w:p>
              </w:tc>
              <w:tc>
                <w:tcPr>
                  <w:tcW w:w="433" w:type="pct"/>
                  <w:gridSpan w:val="2"/>
                  <w:vAlign w:val="center"/>
                </w:tcPr>
                <w:p w14:paraId="5452D5FF">
                  <w:pPr>
                    <w:pStyle w:val="96"/>
                    <w:spacing w:line="0" w:lineRule="atLeast"/>
                    <w:rPr>
                      <w:color w:val="auto"/>
                      <w:rFonts w:eastAsiaTheme="minorEastAsia"/>
                    </w:rPr>
                  </w:pPr>
                  <w:r>
                    <w:rPr>
                      <w:color w:val="auto"/>
                      <w:rFonts w:hAnsiTheme="minorEastAsia" w:eastAsiaTheme="minorEastAsia"/>
                    </w:rPr>
                    <w:t>符合</w:t>
                  </w:r>
                </w:p>
              </w:tc>
            </w:tr>
            <w:tr w14:paraId="3BE3F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1731" w:hRule="atLeast"/>
                <w:jc w:val="center"/>
              </w:trPr>
              <w:tc>
                <w:tcPr>
                  <w:tcW w:w="370" w:type="pct"/>
                  <w:gridSpan w:val="2"/>
                  <w:vAlign w:val="center"/>
                </w:tcPr>
                <w:p w14:paraId="3267113D">
                  <w:pPr>
                    <w:pStyle w:val="96"/>
                    <w:spacing w:line="0" w:lineRule="atLeast"/>
                    <w:rPr>
                      <w:color w:val="auto"/>
                      <w:rFonts w:eastAsiaTheme="minorEastAsia"/>
                    </w:rPr>
                  </w:pPr>
                  <w:r>
                    <w:rPr>
                      <w:color w:val="auto"/>
                      <w:rFonts w:hint="eastAsia" w:eastAsiaTheme="minorEastAsia"/>
                    </w:rPr>
                    <w:t>3</w:t>
                  </w:r>
                </w:p>
              </w:tc>
              <w:tc>
                <w:tcPr>
                  <w:tcW w:w="2358" w:type="pct"/>
                  <w:gridSpan w:val="2"/>
                  <w:vAlign w:val="center"/>
                </w:tcPr>
                <w:p w14:paraId="2190ECCB">
                  <w:pPr>
                    <w:pStyle w:val="22"/>
                    <w:jc w:val="center"/>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使用先进节约用水技术、工艺和设备，采取循环用水、综合利用及废水处理回用等措施，实施技术改造，降低用水消耗</w:t>
                  </w:r>
                </w:p>
                <w:p w14:paraId="277178AB">
                  <w:pPr>
                    <w:pStyle w:val="22"/>
                    <w:jc w:val="center"/>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（一）列入淘汰落后的、耗水量高的工艺、设备和产品名录的；</w:t>
                  </w:r>
                </w:p>
                <w:p w14:paraId="4522D8D5">
                  <w:pPr>
                    <w:widowControl w:val="1"/>
                    <w:jc w:val="center"/>
                    <w:shd w:val="clear" w:color="auto" w:fill="FFFFFF"/>
                    <w:spacing w:line="0" w:lineRule="atLeast"/>
                    <w:rPr>
                      <w:color w:val="auto"/>
                      <w:szCs w:val="21"/>
                      <w:rFonts w:eastAsiaTheme="minorEastAsia"/>
                    </w:rPr>
                  </w:pPr>
                  <w:r>
                    <w:rPr>
                      <w:color w:val="auto"/>
                      <w:szCs w:val="21"/>
                      <w:rFonts w:hAnsiTheme="minorEastAsia" w:eastAsiaTheme="minorEastAsia"/>
                    </w:rPr>
                    <w:t>（二）列入限期禁止采用的严重污染水环境的工艺名录和限期禁止生产、销售、进口、使用的严重污染水环境的设备名录的。</w:t>
                  </w:r>
                </w:p>
              </w:tc>
              <w:tc>
                <w:tcPr>
                  <w:tcW w:w="1820" w:type="pct"/>
                  <w:gridSpan w:val="2"/>
                  <w:vAlign w:val="center"/>
                </w:tcPr>
                <w:p w14:paraId="7D2926D7">
                  <w:pPr>
                    <w:pStyle w:val="96"/>
                    <w:spacing w:line="0" w:lineRule="atLeast"/>
                    <w:rPr>
                      <w:color w:val="auto"/>
                      <w:rFonts w:eastAsiaTheme="minorEastAsia"/>
                    </w:rPr>
                  </w:pPr>
                  <w:r>
                    <w:rPr>
                      <w:color w:val="auto"/>
                      <w:szCs w:val="21"/>
                      <w:rFonts w:hAnsiTheme="minorEastAsia" w:eastAsiaTheme="minorEastAsia"/>
                    </w:rPr>
                    <w:t>本项目生产工艺及设备不属于列入淘汰落后的、耗水量高的工艺、设备和产品名录的；不属于列入限期禁止采用的严重污染水环境的工艺名录和限期禁止生产、销售、进口、使用的严重污染水环境的设备名录的</w:t>
                  </w:r>
                  <w:r>
                    <w:rPr>
                      <w:color w:val="auto"/>
                      <w:szCs w:val="21"/>
                      <w:rFonts w:hint="eastAsia" w:hAnsiTheme="minorEastAsia" w:eastAsiaTheme="minorEastAsia"/>
                    </w:rPr>
                    <w:t>。</w:t>
                  </w:r>
                </w:p>
              </w:tc>
              <w:tc>
                <w:tcPr>
                  <w:tcW w:w="451" w:type="pct"/>
                  <w:gridSpan w:val="2"/>
                  <w:vAlign w:val="center"/>
                </w:tcPr>
                <w:p w14:paraId="7BFE4D5A">
                  <w:pPr>
                    <w:pStyle w:val="96"/>
                    <w:spacing w:line="0" w:lineRule="atLeast"/>
                    <w:rPr>
                      <w:color w:val="auto"/>
                      <w:rFonts w:eastAsiaTheme="minorEastAsia"/>
                    </w:rPr>
                  </w:pPr>
                  <w:r>
                    <w:rPr>
                      <w:color w:val="auto"/>
                      <w:rFonts w:hAnsiTheme="minorEastAsia" w:eastAsiaTheme="minorEastAsia"/>
                    </w:rPr>
                    <w:t>符合</w:t>
                  </w:r>
                </w:p>
              </w:tc>
            </w:tr>
            <w:tr w14:paraId="1DEB54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378" w:hRule="atLeast"/>
                <w:jc w:val="center"/>
              </w:trPr>
              <w:tc>
                <w:tcPr>
                  <w:tcW w:w="370" w:type="pct"/>
                  <w:gridSpan w:val="2"/>
                  <w:vAlign w:val="center"/>
                </w:tcPr>
                <w:p w14:paraId="33FDF133">
                  <w:pPr>
                    <w:pStyle w:val="96"/>
                    <w:spacing w:line="0" w:lineRule="atLeast"/>
                    <w:rPr>
                      <w:color w:val="auto"/>
                      <w:rFonts w:eastAsiaTheme="minorEastAsia"/>
                    </w:rPr>
                  </w:pPr>
                  <w:r>
                    <w:rPr>
                      <w:color w:val="auto"/>
                      <w:rFonts w:eastAsiaTheme="minorEastAsia"/>
                    </w:rPr>
                    <w:t>4</w:t>
                  </w:r>
                </w:p>
              </w:tc>
              <w:tc>
                <w:tcPr>
                  <w:tcW w:w="2358" w:type="pct"/>
                  <w:gridSpan w:val="2"/>
                  <w:vAlign w:val="center"/>
                </w:tcPr>
                <w:p w14:paraId="2D496E5E">
                  <w:pPr>
                    <w:pStyle w:val="22"/>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禁止下列污染或者可能污染地下水的行为：</w:t>
                  </w:r>
                </w:p>
                <w:p w14:paraId="28E77762">
                  <w:pPr>
                    <w:pStyle w:val="22"/>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（一）利用渗井、渗坑、裂隙、溶洞以及私设暗管等逃避监管的方式排放水污染物；</w:t>
                  </w:r>
                </w:p>
                <w:p w14:paraId="42CDC2FE">
                  <w:pPr>
                    <w:pStyle w:val="22"/>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（二）利用岩层孔隙、裂隙、溶洞、废弃矿坑等贮存石化原料及产品、农药、危险废物、城镇污水处理设施产生的污泥和处理后的污泥或者其他有毒有害物质；</w:t>
                  </w:r>
                </w:p>
                <w:p w14:paraId="5B90922F">
                  <w:pPr>
                    <w:pStyle w:val="22"/>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（三）利用无防渗漏措施的沟渠、坑塘等输送或者贮存含有毒污染物的废水、含病原体的污水和其他废弃物；</w:t>
                  </w:r>
                </w:p>
                <w:p w14:paraId="7B3CFA9E">
                  <w:pPr>
                    <w:pStyle w:val="22"/>
                    <w:shd w:val="clear" w:color="auto" w:fill="FFFFFF"/>
                    <w:spacing w:after="0" w:afterAutospacing="0" w:before="0" w:beforeAutospacing="0" w:line="0" w:lineRule="atLeast"/>
                    <w:rPr>
                      <w:color w:val="auto"/>
                      <w:sz w:val="21"/>
                      <w:kern w:val="2"/>
                      <w:szCs w:val="21"/>
                      <w:rFonts w:ascii="Times New Roman" w:hAnsi="Times New Roman" w:eastAsiaTheme="minorEastAsia"/>
                    </w:rPr>
                  </w:pPr>
                  <w:r>
                    <w:rPr>
                      <w:color w:val="auto"/>
                      <w:sz w:val="21"/>
                      <w:kern w:val="2"/>
                      <w:szCs w:val="21"/>
                      <w:rFonts w:ascii="Times New Roman" w:hAnsiTheme="minorEastAsia" w:eastAsiaTheme="minorEastAsia"/>
                    </w:rPr>
                    <w:t>（四）法律、法规禁止的其他污染或者可能污染地下水的行为。</w:t>
                  </w:r>
                </w:p>
              </w:tc>
              <w:tc>
                <w:tcPr>
                  <w:tcW w:w="1820" w:type="pct"/>
                  <w:gridSpan w:val="2"/>
                  <w:vAlign w:val="center"/>
                </w:tcPr>
                <w:p w14:paraId="099B1A2A">
                  <w:pPr>
                    <w:pStyle w:val="96"/>
                    <w:spacing w:line="0" w:lineRule="atLeast"/>
                    <w:rPr>
                      <w:color w:val="auto"/>
                      <w:szCs w:val="21"/>
                      <w:rFonts w:eastAsiaTheme="minorEastAsia"/>
                    </w:rPr>
                  </w:pPr>
                  <w:r>
                    <w:rPr>
                      <w:color w:val="auto"/>
                      <w:bCs/>
                      <w:szCs w:val="21"/>
                      <w:rFonts w:hAnsiTheme="minorEastAsia" w:eastAsiaTheme="minorEastAsia"/>
                    </w:rPr>
                    <w:t>本项目</w:t>
                  </w:r>
                  <w:r>
                    <w:rPr>
                      <w:color w:val="auto"/>
                      <w:bCs/>
                      <w:szCs w:val="21"/>
                      <w:rFonts w:hint="eastAsia" w:hAnsiTheme="minorEastAsia" w:eastAsiaTheme="minorEastAsia"/>
                    </w:rPr>
                    <w:t>无生产废水产生；生活污水排入防渗旱厕，定期清掏，外运堆肥，不外排。生活污水</w:t>
                  </w:r>
                  <w:r>
                    <w:rPr>
                      <w:color w:val="auto"/>
                      <w:bCs/>
                      <w:szCs w:val="21"/>
                      <w:rFonts w:hAnsiTheme="minorEastAsia" w:eastAsiaTheme="minorEastAsia"/>
                    </w:rPr>
                    <w:t>不排放至</w:t>
                  </w:r>
                  <w:r>
                    <w:rPr>
                      <w:color w:val="auto"/>
                      <w:szCs w:val="21"/>
                      <w:rFonts w:hAnsiTheme="minorEastAsia" w:eastAsiaTheme="minorEastAsia"/>
                    </w:rPr>
                    <w:t>渗井、渗坑、裂隙、溶洞；无污染地下水等行为</w:t>
                  </w:r>
                  <w:r>
                    <w:rPr>
                      <w:color w:val="auto"/>
                      <w:szCs w:val="21"/>
                      <w:rFonts w:hint="eastAsia" w:hAnsiTheme="minorEastAsia" w:eastAsiaTheme="minorEastAsia"/>
                    </w:rPr>
                    <w:t>。</w:t>
                  </w:r>
                </w:p>
              </w:tc>
              <w:tc>
                <w:tcPr>
                  <w:tcW w:w="451" w:type="pct"/>
                  <w:gridSpan w:val="2"/>
                  <w:vAlign w:val="center"/>
                </w:tcPr>
                <w:p w14:paraId="1FCE53DB">
                  <w:pPr>
                    <w:pStyle w:val="96"/>
                    <w:spacing w:line="0" w:lineRule="atLeast"/>
                    <w:rPr>
                      <w:color w:val="auto"/>
                      <w:rFonts w:eastAsiaTheme="minorEastAsia"/>
                    </w:rPr>
                  </w:pPr>
                  <w:r>
                    <w:rPr>
                      <w:color w:val="auto"/>
                      <w:rFonts w:hAnsiTheme="minorEastAsia" w:eastAsiaTheme="minorEastAsia"/>
                    </w:rPr>
                    <w:t>符合</w:t>
                  </w:r>
                </w:p>
              </w:tc>
            </w:tr>
          </w:tbl>
          <w:p w14:paraId="06493FA8">
            <w:pPr>
              <w:autoSpaceDE w:val="0"/>
              <w:autoSpaceDN w:val="0"/>
              <w:adjustRightInd w:val="0"/>
              <w:snapToGrid w:val="0"/>
              <w:jc w:val="left"/>
              <w:spacing w:line="360" w:lineRule="auto"/>
              <w:ind w:firstLine="482" w:firstLineChars="200"/>
              <w:rPr>
                <w:b w:val="1"/>
                <w:color w:val="auto"/>
                <w:sz w:val="24"/>
                <w:bCs/>
              </w:rPr>
            </w:pPr>
            <w:r>
              <w:rPr>
                <w:b w:val="1"/>
                <w:color w:val="auto"/>
                <w:sz w:val="24"/>
                <w:rFonts w:hint="eastAsia"/>
              </w:rPr>
              <w:t>5、</w:t>
            </w:r>
            <w:r>
              <w:rPr>
                <w:b w:val="1"/>
                <w:color w:val="auto"/>
                <w:sz w:val="24"/>
                <w:bCs/>
              </w:rPr>
              <w:t>与</w:t>
            </w:r>
            <w:r>
              <w:rPr>
                <w:b w:val="1"/>
                <w:color w:val="auto"/>
                <w:sz w:val="24"/>
                <w:bCs/>
                <w:rFonts w:hint="eastAsia"/>
              </w:rPr>
              <w:t>《高污染燃料目录》（国环规大气〔2017〕2号）符合性</w:t>
            </w:r>
            <w:r>
              <w:rPr>
                <w:b w:val="1"/>
                <w:color w:val="auto"/>
                <w:sz w:val="24"/>
                <w:bCs/>
              </w:rPr>
              <w:t>分析</w:t>
            </w:r>
          </w:p>
          <w:p w14:paraId="541762A8">
            <w:pPr>
              <w:autoSpaceDE w:val="0"/>
              <w:autoSpaceDN w:val="0"/>
              <w:adjustRightInd w:val="0"/>
              <w:snapToGrid w:val="0"/>
              <w:jc w:val="left"/>
              <w:spacing w:line="360" w:lineRule="auto"/>
              <w:ind w:firstLine="480" w:firstLineChars="200"/>
              <w:rPr>
                <w:color w:val="auto"/>
                <w:sz w:val="24"/>
                <w:bCs/>
              </w:rPr>
            </w:pPr>
            <w:r>
              <w:rPr>
                <w:color w:val="auto"/>
                <w:sz w:val="24"/>
                <w:bCs/>
                <w:rFonts w:hint="eastAsia"/>
              </w:rPr>
              <w:t>文件指出禁燃区不得使用高污染燃料，</w:t>
            </w:r>
            <w:r>
              <w:rPr>
                <w:color w:val="auto"/>
                <w:sz w:val="24"/>
                <w:bCs/>
                <w:kern w:val="0"/>
                <w:szCs w:val="21"/>
                <w:rFonts w:hint="eastAsia"/>
              </w:rPr>
              <w:t>根据哈尔滨市人民政府关于划定高污染燃料禁燃区及有关事项的通告，本项目不属于禁燃区，根据《高污染燃料目录》（国环规大气〔2017〕2号），本项目使用燃料</w:t>
            </w:r>
            <w:r>
              <w:rPr>
                <w:color w:val="auto"/>
                <w:sz w:val="24"/>
                <w:lang w:val="en-US" w:eastAsia="zh-CN"/>
                <w:bCs/>
                <w:kern w:val="0"/>
                <w:szCs w:val="21"/>
                <w:rFonts w:hint="eastAsia"/>
              </w:rPr>
              <w:t>气</w:t>
            </w:r>
            <w:r>
              <w:rPr>
                <w:color w:val="auto"/>
                <w:sz w:val="24"/>
                <w:bCs/>
                <w:kern w:val="0"/>
                <w:szCs w:val="21"/>
                <w:rFonts w:hint="eastAsia"/>
              </w:rPr>
              <w:t>不属于</w:t>
            </w:r>
            <w:r>
              <w:rPr>
                <w:color w:val="auto"/>
                <w:sz w:val="24"/>
                <w:bCs/>
                <w:kern w:val="0"/>
                <w:szCs w:val="21"/>
              </w:rPr>
              <w:t>石油焦、油页岩、原油、重油、渣油、煤焦油</w:t>
            </w:r>
            <w:r>
              <w:rPr>
                <w:color w:val="auto"/>
                <w:sz w:val="24"/>
                <w:bCs/>
                <w:kern w:val="0"/>
                <w:szCs w:val="21"/>
                <w:rFonts w:hint="eastAsia"/>
              </w:rPr>
              <w:t>，不属于高污染燃料，故符合</w:t>
            </w:r>
            <w:r>
              <w:rPr>
                <w:color w:val="auto"/>
                <w:sz w:val="24"/>
                <w:bCs/>
                <w:rFonts w:hint="eastAsia"/>
              </w:rPr>
              <w:t>《高污染燃料目录》（国环规大气〔2017〕2号）要求。</w:t>
            </w:r>
          </w:p>
          <w:p w14:paraId="0A552DA5">
            <w:pPr>
              <w:autoSpaceDE w:val="0"/>
              <w:autoSpaceDN w:val="0"/>
              <w:adjustRightInd w:val="0"/>
              <w:snapToGrid w:val="0"/>
              <w:jc w:val="left"/>
              <w:spacing w:line="360" w:lineRule="auto"/>
              <w:ind w:firstLine="482" w:firstLineChars="200"/>
              <w:rPr>
                <w:b w:val="1"/>
                <w:color w:val="auto"/>
                <w:sz w:val="24"/>
                <w:kern w:val="0"/>
                <w:szCs w:val="21"/>
              </w:rPr>
            </w:pPr>
            <w:r>
              <w:rPr>
                <w:b w:val="1"/>
                <w:color w:val="auto"/>
                <w:sz w:val="24"/>
                <w:lang w:val="en-US" w:eastAsia="zh-CN"/>
                <w:rFonts w:hint="eastAsia"/>
              </w:rPr>
              <w:t>6</w:t>
            </w:r>
            <w:r>
              <w:rPr>
                <w:b w:val="1"/>
                <w:color w:val="auto"/>
                <w:sz w:val="24"/>
                <w:rFonts w:hint="eastAsia"/>
              </w:rPr>
              <w:t>、</w:t>
            </w:r>
            <w:r>
              <w:rPr>
                <w:b w:val="1"/>
                <w:color w:val="auto"/>
                <w:sz w:val="24"/>
                <w:kern w:val="0"/>
                <w:szCs w:val="21"/>
                <w:rFonts w:hint="eastAsia"/>
              </w:rPr>
              <w:t>与《黑龙江省“十四五”生态环境保护规划》符合性分析</w:t>
            </w:r>
          </w:p>
          <w:p w14:paraId="6A5ABD3C">
            <w:pPr>
              <w:autoSpaceDE w:val="0"/>
              <w:autoSpaceDN w:val="0"/>
              <w:adjustRightInd w:val="0"/>
              <w:snapToGrid w:val="0"/>
              <w:spacing w:line="360" w:lineRule="auto"/>
              <w:ind w:firstLine="480" w:firstLineChars="200"/>
              <w:rPr>
                <w:color w:val="auto"/>
                <w:sz w:val="24"/>
              </w:rPr>
            </w:pPr>
            <w:r>
              <w:rPr>
                <w:color w:val="auto"/>
                <w:sz w:val="24"/>
              </w:rPr>
              <w:t>《规划》提出：</w:t>
            </w:r>
            <w:r>
              <w:rPr>
                <w:color w:val="auto"/>
                <w:sz w:val="24"/>
                <w:rFonts w:hint="eastAsia"/>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城市裸露地面、粉粒类物料堆放以及大型煤炭和矿石码头、干散货码头物料堆场，全面完成抑尘设施建设和物料输送系统封闭改造，鼓励有条件的码头堆场实施全封闭改造。</w:t>
            </w:r>
          </w:p>
          <w:p w14:paraId="7E771BCA">
            <w:pPr>
              <w:jc w:val="left"/>
              <w:contextualSpacing/>
              <w:spacing w:line="360" w:lineRule="auto"/>
              <w:ind w:firstLine="480" w:firstLineChars="200"/>
              <w:rPr>
                <w:color w:val="auto"/>
                <w:sz w:val="24"/>
              </w:rPr>
            </w:pPr>
            <w:r>
              <w:rPr>
                <w:color w:val="auto"/>
                <w:sz w:val="24"/>
                <w:bCs/>
                <w:rFonts w:eastAsiaTheme="minorEastAsia"/>
              </w:rPr>
              <w:t>本项目矿粉采用封闭式罐车运入厂区，碎石运输车辆全部采用苫布覆盖，运输过程做到不超载，不滴、撒、漏，厂区地面洒水降尘；原料的输送、计量及投料均为封闭式。搅拌站整体封闭；厂区</w:t>
            </w:r>
            <w:r>
              <w:rPr>
                <w:color w:val="auto"/>
                <w:sz w:val="24"/>
                <w:bCs/>
                <w:rFonts w:hint="eastAsia" w:eastAsiaTheme="minorEastAsia"/>
              </w:rPr>
              <w:t>西侧</w:t>
            </w:r>
            <w:r>
              <w:rPr>
                <w:color w:val="auto"/>
                <w:sz w:val="24"/>
                <w:bCs/>
                <w:rFonts w:eastAsiaTheme="minorEastAsia"/>
              </w:rPr>
              <w:t>设置防风抑尘网，北、东</w:t>
            </w:r>
            <w:r>
              <w:rPr>
                <w:color w:val="auto"/>
                <w:sz w:val="24"/>
                <w:bCs/>
                <w:rFonts w:hint="eastAsia" w:eastAsiaTheme="minorEastAsia"/>
              </w:rPr>
              <w:t>、南侧为建筑物屏障，</w:t>
            </w:r>
            <w:r>
              <w:rPr>
                <w:color w:val="auto"/>
                <w:sz w:val="24"/>
                <w:bCs/>
                <w:rFonts w:eastAsiaTheme="minorEastAsia"/>
              </w:rPr>
              <w:t>堆场</w:t>
            </w:r>
            <w:r>
              <w:rPr>
                <w:color w:val="auto"/>
                <w:sz w:val="24"/>
                <w:kern w:val="0"/>
                <w:rFonts w:hint="eastAsia"/>
              </w:rPr>
              <w:t>每天洒水抑尘2次，</w:t>
            </w:r>
            <w:r>
              <w:rPr>
                <w:color w:val="auto"/>
                <w:sz w:val="24"/>
                <w:bCs/>
                <w:rFonts w:eastAsiaTheme="minorEastAsia"/>
              </w:rPr>
              <w:t>铲装集堆过程洒水喷淋，在矿粉筒仓顶部通过集气管道连接至除尘系统</w:t>
            </w:r>
            <w:r>
              <w:rPr>
                <w:color w:val="auto"/>
                <w:sz w:val="24"/>
              </w:rPr>
              <w:t>。综上，本项目采取污染防治措施符合</w:t>
            </w:r>
            <w:r>
              <w:rPr>
                <w:color w:val="auto"/>
                <w:sz w:val="24"/>
                <w:rFonts w:hint="eastAsia"/>
              </w:rPr>
              <w:t>《黑龙江省“十四五”生态环境保护规划》要求。</w:t>
            </w:r>
          </w:p>
          <w:p w14:paraId="4C7540BB">
            <w:pPr>
              <w:autoSpaceDE w:val="0"/>
              <w:autoSpaceDN w:val="0"/>
              <w:adjustRightInd w:val="0"/>
              <w:snapToGrid w:val="0"/>
              <w:spacing w:line="360" w:lineRule="auto"/>
              <w:ind w:firstLine="472" w:firstLineChars="196"/>
              <w:rPr>
                <w:color w:val="auto"/>
                <w:sz w:val="24"/>
              </w:rPr>
            </w:pPr>
            <w:r>
              <w:rPr>
                <w:b w:val="1"/>
                <w:color w:val="auto"/>
                <w:sz w:val="24"/>
                <w:kern w:val="0"/>
                <w:szCs w:val="21"/>
                <w:rFonts w:hint="eastAsia"/>
              </w:rPr>
              <w:t>9</w:t>
            </w:r>
            <w:r>
              <w:rPr>
                <w:b w:val="1"/>
                <w:color w:val="auto"/>
                <w:sz w:val="24"/>
                <w:kern w:val="0"/>
                <w:szCs w:val="21"/>
              </w:rPr>
              <w:t>、</w:t>
            </w:r>
            <w:r>
              <w:rPr>
                <w:b w:val="1"/>
                <w:color w:val="auto"/>
                <w:sz w:val="24"/>
                <w:rFonts w:ascii="Calibri" w:hAnsi="Calibri" w:cs="宋体"/>
              </w:rPr>
              <w:t>与《</w:t>
            </w:r>
            <w:r>
              <w:rPr>
                <w:b w:val="1"/>
                <w:color w:val="auto"/>
                <w:sz w:val="24"/>
                <w:rFonts w:hint="eastAsia"/>
              </w:rPr>
              <w:t>黑龙江省空气质量持续改善行动计划实施方案</w:t>
            </w:r>
            <w:r>
              <w:rPr>
                <w:b w:val="1"/>
                <w:color w:val="auto"/>
                <w:sz w:val="24"/>
                <w:rFonts w:ascii="Calibri" w:hAnsi="Calibri" w:cs="宋体"/>
              </w:rPr>
              <w:t>》符合性分析</w:t>
            </w:r>
          </w:p>
          <w:p w14:paraId="5D6D2640">
            <w:pPr>
              <w:spacing w:line="360" w:lineRule="auto"/>
              <w:ind w:firstLine="480" w:firstLineChars="200"/>
              <w:rPr>
                <w:color w:val="auto"/>
                <w:sz w:val="24"/>
              </w:rPr>
            </w:pPr>
            <w:r>
              <w:rPr>
                <w:color w:val="auto"/>
                <w:sz w:val="24"/>
                <w:rFonts w:hint="eastAsia"/>
              </w:rPr>
              <w:t>根据黑龙江省空气质量持续改善行动计划实施方案中：五、持续加强面源污染治理、（十九）深化扬尘污染综合治理。全面推行绿色施工，严格执行“六个百分之百”，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w:t>
            </w:r>
          </w:p>
          <w:p w14:paraId="211043BA">
            <w:pPr>
              <w:jc w:val="left"/>
              <w:contextualSpacing/>
              <w:spacing w:line="360" w:lineRule="auto"/>
              <w:ind w:firstLine="480" w:firstLineChars="200"/>
              <w:rPr>
                <w:color w:val="auto"/>
                <w:sz w:val="24"/>
              </w:rPr>
            </w:pPr>
            <w:r>
              <w:rPr>
                <w:color w:val="auto"/>
                <w:sz w:val="24"/>
                <w:bCs/>
                <w:rFonts w:eastAsiaTheme="minorEastAsia"/>
              </w:rPr>
              <w:t>本项目矿粉采用封闭式罐车运入厂区，碎石运输车辆全部采用苫布覆盖，运输过程做到不超载，不滴、撒、漏，厂区地面洒水降尘；原料的输送、计量及投料均为封闭式。搅拌站整体封闭；厂区设置防风抑尘网</w:t>
            </w:r>
            <w:r>
              <w:rPr>
                <w:color w:val="auto"/>
                <w:sz w:val="24"/>
                <w:bCs/>
                <w:rFonts w:hint="eastAsia" w:eastAsiaTheme="minorEastAsia"/>
              </w:rPr>
              <w:t>，</w:t>
            </w:r>
            <w:r>
              <w:rPr>
                <w:color w:val="auto"/>
                <w:sz w:val="24"/>
                <w:bCs/>
                <w:rFonts w:eastAsiaTheme="minorEastAsia"/>
              </w:rPr>
              <w:t>堆场</w:t>
            </w:r>
            <w:r>
              <w:rPr>
                <w:color w:val="auto"/>
                <w:sz w:val="24"/>
                <w:kern w:val="0"/>
                <w:rFonts w:hint="eastAsia"/>
              </w:rPr>
              <w:t>每天洒水抑尘2次，</w:t>
            </w:r>
            <w:r>
              <w:rPr>
                <w:color w:val="auto"/>
                <w:sz w:val="24"/>
                <w:bCs/>
                <w:rFonts w:eastAsiaTheme="minorEastAsia"/>
              </w:rPr>
              <w:t>铲装集堆过程洒水喷淋，在矿粉筒仓顶部通过集气管道连接至除尘系统</w:t>
            </w:r>
            <w:r>
              <w:rPr>
                <w:color w:val="auto"/>
                <w:sz w:val="24"/>
              </w:rPr>
              <w:t>。综上，本项目采取污染防治措施符合</w:t>
            </w:r>
            <w:r>
              <w:rPr>
                <w:color w:val="auto"/>
                <w:sz w:val="24"/>
                <w:rFonts w:hint="eastAsia"/>
              </w:rPr>
              <w:t>《黑龙江省空气质量持续改善行动计划实施方案》要求。</w:t>
            </w:r>
          </w:p>
          <w:p w14:paraId="61EFE683">
            <w:pPr>
              <w:autoSpaceDE w:val="0"/>
              <w:autoSpaceDN w:val="0"/>
              <w:adjustRightInd w:val="0"/>
              <w:snapToGrid w:val="0"/>
              <w:jc w:val="left"/>
              <w:spacing w:line="360" w:lineRule="auto"/>
              <w:ind w:firstLine="482" w:firstLineChars="200"/>
              <w:rPr>
                <w:b w:val="1"/>
                <w:color w:val="auto"/>
                <w:sz w:val="24"/>
                <w:kern w:val="0"/>
                <w:szCs w:val="21"/>
              </w:rPr>
            </w:pPr>
            <w:r>
              <w:rPr>
                <w:b w:val="1"/>
                <w:color w:val="auto"/>
                <w:sz w:val="24"/>
                <w:kern w:val="0"/>
                <w:szCs w:val="21"/>
                <w:rFonts w:hint="eastAsia"/>
              </w:rPr>
              <w:t>10</w:t>
            </w:r>
            <w:r>
              <w:rPr>
                <w:b w:val="1"/>
                <w:color w:val="auto"/>
                <w:sz w:val="24"/>
                <w:kern w:val="0"/>
                <w:szCs w:val="21"/>
              </w:rPr>
              <w:t>、</w:t>
            </w:r>
            <w:r>
              <w:rPr>
                <w:b w:val="1"/>
                <w:color w:val="auto"/>
                <w:sz w:val="24"/>
                <w:bCs/>
                <w:kern w:val="0"/>
                <w:szCs w:val="21"/>
              </w:rPr>
              <w:t>产业政策符合性分析</w:t>
            </w:r>
          </w:p>
          <w:p w14:paraId="3EB53BD8">
            <w:pPr>
              <w:autoSpaceDE w:val="0"/>
              <w:autoSpaceDN w:val="0"/>
              <w:adjustRightInd w:val="0"/>
              <w:snapToGrid w:val="0"/>
              <w:jc w:val="left"/>
              <w:spacing w:line="360" w:lineRule="auto"/>
              <w:ind w:firstLine="480" w:firstLineChars="200"/>
              <w:rPr>
                <w:color w:val="auto"/>
                <w:sz w:val="24"/>
              </w:rPr>
            </w:pPr>
            <w:r>
              <w:rPr>
                <w:color w:val="auto"/>
                <w:sz w:val="24"/>
              </w:rPr>
              <w:t>本项目不属于《产业结构调整指导目录（20</w:t>
            </w:r>
            <w:r>
              <w:rPr>
                <w:color w:val="auto"/>
                <w:sz w:val="24"/>
                <w:rFonts w:hint="eastAsia"/>
              </w:rPr>
              <w:t>24</w:t>
            </w:r>
            <w:r>
              <w:rPr>
                <w:color w:val="auto"/>
                <w:sz w:val="24"/>
              </w:rPr>
              <w:t>年本）》中限制类和淘汰类项目，属于允许类，符合国家产业政策。</w:t>
            </w:r>
          </w:p>
          <w:p w14:paraId="2781680C">
            <w:pPr>
              <w:autoSpaceDE w:val="0"/>
              <w:autoSpaceDN w:val="0"/>
              <w:adjustRightInd w:val="0"/>
              <w:snapToGrid w:val="0"/>
              <w:jc w:val="left"/>
              <w:spacing w:line="360" w:lineRule="auto"/>
              <w:ind w:firstLine="482" w:firstLineChars="200"/>
              <w:rPr>
                <w:b w:val="1"/>
                <w:color w:val="auto"/>
                <w:sz w:val="24"/>
                <w:kern w:val="0"/>
                <w:szCs w:val="21"/>
              </w:rPr>
            </w:pPr>
            <w:r>
              <w:rPr>
                <w:b w:val="1"/>
                <w:color w:val="auto"/>
                <w:sz w:val="24"/>
                <w:kern w:val="0"/>
                <w:szCs w:val="21"/>
                <w:rFonts w:hint="eastAsia"/>
              </w:rPr>
              <w:t>11</w:t>
            </w:r>
            <w:r>
              <w:rPr>
                <w:b w:val="1"/>
                <w:color w:val="auto"/>
                <w:sz w:val="24"/>
                <w:kern w:val="0"/>
                <w:szCs w:val="21"/>
              </w:rPr>
              <w:t>、选址合理性分析</w:t>
            </w:r>
          </w:p>
          <w:p w14:paraId="0A97E7A2">
            <w:pPr>
              <w:autoSpaceDE w:val="0"/>
              <w:autoSpaceDN w:val="0"/>
              <w:jc w:val="left"/>
              <w:contextualSpacing/>
              <w:spacing w:line="360" w:lineRule="auto"/>
              <w:ind w:firstLine="470" w:firstLineChars="196"/>
              <w:rPr>
                <w:color w:val="auto"/>
                <w:sz w:val="24"/>
                <w:kern w:val="0"/>
                <w:rFonts w:ascii="宋体" w:hAnsi="宋体"/>
              </w:rPr>
            </w:pPr>
            <w:r>
              <w:rPr>
                <w:color w:val="auto"/>
                <w:sz w:val="24"/>
                <w:kern w:val="0"/>
                <w:szCs w:val="21"/>
              </w:rPr>
              <w:t>（1）本项目位于</w:t>
            </w:r>
            <w:r>
              <w:rPr>
                <w:color w:val="auto"/>
                <w:sz w:val="24"/>
              </w:rPr>
              <w:t>黑龙江省</w:t>
            </w:r>
            <w:r>
              <w:rPr>
                <w:color w:val="auto"/>
                <w:sz w:val="24"/>
                <w:lang w:val="en-US" w:eastAsia="zh-CN"/>
                <w:szCs w:val="24"/>
                <w:rFonts w:hint="eastAsia"/>
              </w:rPr>
              <w:t>伊春市伊美区伊东林场</w:t>
            </w:r>
            <w:r>
              <w:rPr>
                <w:color w:val="auto"/>
                <w:sz w:val="24"/>
                <w:bCs/>
              </w:rPr>
              <w:t>，</w:t>
            </w:r>
            <w:r>
              <w:rPr>
                <w:color w:val="auto"/>
                <w:sz w:val="24"/>
                <w:kern w:val="0"/>
                <w:rFonts w:ascii="宋体" w:hAnsi="宋体" w:hint="eastAsia"/>
              </w:rPr>
              <w:t>项目用地为</w:t>
            </w:r>
            <w:r>
              <w:rPr>
                <w:color w:val="auto"/>
                <w:sz w:val="24"/>
                <w:lang w:val="en-US" w:eastAsia="zh-CN"/>
                <w:rFonts w:hint="eastAsia"/>
              </w:rPr>
              <w:t>临时</w:t>
            </w:r>
            <w:r>
              <w:rPr>
                <w:color w:val="auto"/>
                <w:sz w:val="24"/>
                <w:rFonts w:hint="eastAsia"/>
              </w:rPr>
              <w:t>用地</w:t>
            </w:r>
            <w:r>
              <w:rPr>
                <w:color w:val="auto"/>
                <w:sz w:val="24"/>
                <w:kern w:val="0"/>
                <w:rFonts w:ascii="宋体" w:hAnsi="宋体" w:hint="eastAsia"/>
              </w:rPr>
              <w:t>（具体见</w:t>
            </w:r>
            <w:r>
              <w:rPr>
                <w:color w:val="auto"/>
                <w:sz w:val="24"/>
                <w:kern w:val="0"/>
                <w:rFonts w:ascii="宋体" w:hAnsi="宋体" w:hint="eastAsia"/>
              </w:rPr>
              <w:t>附件</w:t>
            </w:r>
            <w:r>
              <w:rPr>
                <w:color w:val="auto"/>
                <w:sz w:val="24"/>
                <w:kern w:val="0"/>
              </w:rPr>
              <w:t>2</w:t>
            </w:r>
            <w:r>
              <w:rPr>
                <w:color w:val="auto"/>
                <w:sz w:val="24"/>
                <w:kern w:val="0"/>
                <w:rFonts w:ascii="宋体" w:hAnsi="宋体" w:hint="eastAsia"/>
              </w:rPr>
              <w:t>），</w:t>
            </w:r>
            <w:r>
              <w:rPr>
                <w:color w:val="auto"/>
                <w:sz w:val="24"/>
                <w:kern w:val="0"/>
                <w:rFonts w:ascii="宋体" w:hAnsi="宋体" w:cs="宋体" w:hint="eastAsia"/>
              </w:rPr>
              <w:t>所在区域范围内无自然保护区、风景名胜区、生态保护红线等环境敏感区，项目选址不属于生活饮用水源地保护区、温泉疗养区、基本农田保护区等其他需要特殊保护区域，</w:t>
            </w:r>
            <w:r>
              <w:rPr>
                <w:color w:val="auto"/>
                <w:sz w:val="24"/>
                <w:kern w:val="0"/>
                <w:rFonts w:ascii="宋体" w:hAnsi="宋体" w:hint="eastAsia"/>
              </w:rPr>
              <w:t>符合当地土地利用规划。</w:t>
            </w:r>
          </w:p>
          <w:p w14:paraId="42EDE330">
            <w:pPr>
              <w:contextualSpacing/>
              <w:spacing w:line="360" w:lineRule="auto"/>
              <w:ind w:firstLine="480" w:firstLineChars="200"/>
              <w:rPr>
                <w:color w:val="auto"/>
                <w:sz w:val="24"/>
                <w:bCs/>
                <w:kern w:val="0"/>
                <w:szCs w:val="21"/>
              </w:rPr>
            </w:pPr>
            <w:r>
              <w:rPr>
                <w:color w:val="auto"/>
                <w:sz w:val="24"/>
                <w:bCs/>
                <w:kern w:val="0"/>
                <w:szCs w:val="21"/>
              </w:rPr>
              <w:t>（2）项目运营过程中</w:t>
            </w:r>
            <w:r>
              <w:rPr>
                <w:color w:val="auto"/>
                <w:sz w:val="24"/>
                <w:bCs/>
                <w:rFonts w:hint="eastAsia" w:hAnsiTheme="minorEastAsia" w:eastAsiaTheme="minorEastAsia"/>
              </w:rPr>
              <w:t>无生产废水排放，固体废物妥善处置，</w:t>
            </w:r>
            <w:r>
              <w:rPr>
                <w:color w:val="auto"/>
                <w:sz w:val="24"/>
                <w:bCs/>
                <w:kern w:val="0"/>
                <w:szCs w:val="21"/>
                <w:rFonts w:hAnsiTheme="minorEastAsia" w:eastAsiaTheme="minorEastAsia"/>
              </w:rPr>
              <w:t>对周围环境影响不大。</w:t>
            </w:r>
            <w:r>
              <w:rPr>
                <w:color w:val="auto"/>
                <w:sz w:val="24"/>
                <w:bCs/>
                <w:kern w:val="0"/>
                <w:szCs w:val="21"/>
              </w:rPr>
              <w:t>运营过程中产生的设备噪声、</w:t>
            </w:r>
            <w:r>
              <w:rPr>
                <w:color w:val="auto"/>
                <w:sz w:val="24"/>
                <w:bCs/>
                <w:kern w:val="0"/>
                <w:szCs w:val="21"/>
                <w:rFonts w:hint="eastAsia"/>
              </w:rPr>
              <w:t>废气</w:t>
            </w:r>
            <w:r>
              <w:rPr>
                <w:color w:val="auto"/>
                <w:sz w:val="24"/>
                <w:bCs/>
                <w:kern w:val="0"/>
                <w:szCs w:val="21"/>
              </w:rPr>
              <w:t>等对周围环境将产生一定影响</w:t>
            </w:r>
            <w:r>
              <w:rPr>
                <w:color w:val="auto"/>
                <w:sz w:val="24"/>
                <w:bCs/>
                <w:kern w:val="0"/>
                <w:szCs w:val="21"/>
                <w:rFonts w:hint="eastAsia"/>
              </w:rPr>
              <w:t>。</w:t>
            </w:r>
          </w:p>
          <w:p w14:paraId="2903CC89">
            <w:pPr>
              <w:jc w:val="left"/>
              <w:contextualSpacing/>
              <w:spacing w:line="360" w:lineRule="auto"/>
              <w:ind w:firstLine="480" w:firstLineChars="200"/>
              <w:rPr>
                <w:color w:val="auto"/>
                <w:sz w:val="24"/>
                <w:bCs/>
                <w:rFonts w:eastAsiaTheme="minorEastAsia"/>
              </w:rPr>
            </w:pPr>
            <w:r>
              <w:rPr>
                <w:color w:val="auto"/>
                <w:sz w:val="24"/>
                <w:bCs/>
                <w:rFonts w:eastAsiaTheme="minorEastAsia"/>
              </w:rPr>
              <w:t>本项目矿粉采用封闭式罐车运入厂区，碎石运输车辆全部采用苫布覆盖，运输过程做到不超载，不滴、撒、漏，厂区地面洒水降尘；原料的输送、计量及投料均为封闭式。搅拌站整体封闭；厂区设置防风抑尘网</w:t>
            </w:r>
            <w:r>
              <w:rPr>
                <w:color w:val="auto"/>
                <w:sz w:val="24"/>
                <w:bCs/>
                <w:rFonts w:hint="eastAsia" w:eastAsiaTheme="minorEastAsia"/>
              </w:rPr>
              <w:t>，</w:t>
            </w:r>
            <w:r>
              <w:rPr>
                <w:color w:val="auto"/>
                <w:sz w:val="24"/>
                <w:bCs/>
                <w:rFonts w:eastAsiaTheme="minorEastAsia"/>
              </w:rPr>
              <w:t>堆场</w:t>
            </w:r>
            <w:r>
              <w:rPr>
                <w:color w:val="auto"/>
                <w:sz w:val="24"/>
                <w:kern w:val="0"/>
                <w:rFonts w:hint="eastAsia"/>
              </w:rPr>
              <w:t>每天洒水抑尘2次，</w:t>
            </w:r>
            <w:r>
              <w:rPr>
                <w:color w:val="auto"/>
                <w:sz w:val="24"/>
                <w:bCs/>
                <w:rFonts w:eastAsiaTheme="minorEastAsia"/>
              </w:rPr>
              <w:t>铲装集堆过程洒水喷淋；本项目碎石在上料时会产生粉尘，在冷料仓</w:t>
            </w:r>
            <w:r>
              <w:rPr>
                <w:color w:val="auto"/>
                <w:sz w:val="24"/>
                <w:bCs/>
                <w:rFonts w:hint="eastAsia" w:eastAsiaTheme="minorEastAsia"/>
              </w:rPr>
              <w:t>设置集气装置</w:t>
            </w:r>
            <w:r>
              <w:rPr>
                <w:color w:val="auto"/>
                <w:sz w:val="24"/>
                <w:bCs/>
                <w:rFonts w:eastAsiaTheme="minorEastAsia"/>
              </w:rPr>
              <w:t>（集气效率</w:t>
            </w:r>
            <w:r>
              <w:rPr>
                <w:color w:val="auto"/>
                <w:sz w:val="24"/>
                <w:bCs/>
                <w:rFonts w:hint="eastAsia" w:eastAsiaTheme="minorEastAsia"/>
              </w:rPr>
              <w:t>90%</w:t>
            </w:r>
            <w:r>
              <w:rPr>
                <w:color w:val="auto"/>
                <w:sz w:val="24"/>
                <w:bCs/>
                <w:rFonts w:eastAsiaTheme="minorEastAsia"/>
              </w:rPr>
              <w:t>），</w:t>
            </w:r>
            <w:r>
              <w:rPr>
                <w:color w:val="auto"/>
                <w:sz w:val="24"/>
                <w:bCs/>
                <w:rFonts w:hint="eastAsia" w:eastAsiaTheme="minorEastAsia"/>
              </w:rPr>
              <w:t>通过</w:t>
            </w:r>
            <w:r>
              <w:rPr>
                <w:color w:val="auto"/>
                <w:sz w:val="24"/>
                <w:bCs/>
                <w:rFonts w:eastAsiaTheme="minorEastAsia"/>
              </w:rPr>
              <w:t>管道连接至除尘系统（重力</w:t>
            </w:r>
            <w:r>
              <w:rPr>
                <w:color w:val="auto"/>
                <w:sz w:val="24"/>
                <w:bCs/>
                <w:rFonts w:hint="eastAsia" w:eastAsiaTheme="minorEastAsia"/>
              </w:rPr>
              <w:t>+布袋</w:t>
            </w:r>
            <w:r>
              <w:rPr>
                <w:color w:val="auto"/>
                <w:sz w:val="24"/>
                <w:bCs/>
                <w:rFonts w:eastAsiaTheme="minorEastAsia"/>
              </w:rPr>
              <w:t>），处理后经除尘系统烟囱（</w:t>
            </w:r>
            <w:r>
              <w:rPr>
                <w:color w:val="auto"/>
                <w:sz w:val="24"/>
                <w:bCs/>
                <w:rFonts w:hint="eastAsia" w:eastAsiaTheme="minorEastAsia"/>
              </w:rPr>
              <w:t>DA001</w:t>
            </w:r>
            <w:r>
              <w:rPr>
                <w:color w:val="auto"/>
                <w:sz w:val="24"/>
                <w:bCs/>
                <w:rFonts w:eastAsiaTheme="minorEastAsia"/>
              </w:rPr>
              <w:t>）排放，</w:t>
            </w:r>
            <w:r>
              <w:rPr>
                <w:color w:val="auto"/>
                <w:sz w:val="24"/>
                <w:rFonts w:eastAsiaTheme="minorEastAsia"/>
              </w:rPr>
              <w:t>除尘效率为99%；</w:t>
            </w:r>
            <w:r>
              <w:rPr>
                <w:color w:val="auto"/>
                <w:sz w:val="24"/>
                <w:bCs/>
                <w:rFonts w:eastAsiaTheme="minorEastAsia"/>
              </w:rPr>
              <w:t>本项目矿粉筒仓</w:t>
            </w:r>
            <w:r>
              <w:rPr>
                <w:color w:val="auto"/>
                <w:sz w:val="24"/>
                <w:bCs/>
                <w:rFonts w:hint="eastAsia" w:eastAsiaTheme="minorEastAsia"/>
              </w:rPr>
              <w:t>装卸</w:t>
            </w:r>
            <w:r>
              <w:rPr>
                <w:color w:val="auto"/>
                <w:sz w:val="24"/>
                <w:bCs/>
                <w:rFonts w:eastAsiaTheme="minorEastAsia"/>
              </w:rPr>
              <w:t>时会产生粉尘，在矿粉筒顶部通过集气管道连接至除尘系统（重力</w:t>
            </w:r>
            <w:r>
              <w:rPr>
                <w:color w:val="auto"/>
                <w:sz w:val="24"/>
                <w:bCs/>
                <w:rFonts w:hint="eastAsia" w:eastAsiaTheme="minorEastAsia"/>
              </w:rPr>
              <w:t>+布袋</w:t>
            </w:r>
            <w:r>
              <w:rPr>
                <w:color w:val="auto"/>
                <w:sz w:val="24"/>
                <w:bCs/>
                <w:rFonts w:eastAsiaTheme="minorEastAsia"/>
              </w:rPr>
              <w:t>），处理后经除尘系统烟囱（</w:t>
            </w:r>
            <w:r>
              <w:rPr>
                <w:color w:val="auto"/>
                <w:sz w:val="24"/>
                <w:bCs/>
                <w:rFonts w:hint="eastAsia" w:eastAsiaTheme="minorEastAsia"/>
              </w:rPr>
              <w:t>DA001</w:t>
            </w:r>
            <w:r>
              <w:rPr>
                <w:color w:val="auto"/>
                <w:sz w:val="24"/>
                <w:bCs/>
                <w:rFonts w:eastAsiaTheme="minorEastAsia"/>
              </w:rPr>
              <w:t>）排放，</w:t>
            </w:r>
            <w:r>
              <w:rPr>
                <w:color w:val="auto"/>
                <w:sz w:val="24"/>
                <w:rFonts w:eastAsiaTheme="minorEastAsia"/>
              </w:rPr>
              <w:t>除尘效率为99%；</w:t>
            </w:r>
            <w:r>
              <w:rPr>
                <w:color w:val="auto"/>
                <w:sz w:val="24"/>
                <w:bCs/>
                <w:rFonts w:hint="eastAsia" w:eastAsiaTheme="minorEastAsia"/>
              </w:rPr>
              <w:t>本项目碎石筛分、烘干废气、热料仓落料废气、</w:t>
            </w:r>
            <w:r>
              <w:rPr>
                <w:color w:val="auto"/>
                <w:sz w:val="24"/>
                <w:bCs/>
                <w:rFonts w:hint="eastAsia" w:eastAsiaTheme="minorEastAsia"/>
              </w:rPr>
              <w:t>28MW燃天然气燃烧器烟气</w:t>
            </w:r>
            <w:r>
              <w:rPr>
                <w:color w:val="auto"/>
                <w:sz w:val="24"/>
                <w:bCs/>
                <w:rFonts w:hint="eastAsia" w:eastAsiaTheme="minorEastAsia"/>
              </w:rPr>
              <w:t>经除尘系统（重力+布袋）处理后，由15m高除尘系统烟囱（DA001）排放，除尘效率为99%；本项目1台</w:t>
            </w:r>
            <w:r>
              <w:rPr>
                <w:color w:val="auto"/>
                <w:sz w:val="24"/>
                <w:lang w:val="en-US" w:eastAsia="zh-CN"/>
                <w:szCs w:val="24"/>
                <w:rFonts w:hint="eastAsia"/>
              </w:rPr>
              <w:t>1.5</w:t>
            </w:r>
            <w:r>
              <w:rPr>
                <w:color w:val="auto"/>
                <w:sz w:val="24"/>
                <w:szCs w:val="24"/>
                <w:rFonts w:hint="eastAsia"/>
              </w:rPr>
              <w:t>t/h</w:t>
            </w:r>
            <w:r>
              <w:rPr>
                <w:color w:val="auto"/>
                <w:sz w:val="24"/>
                <w:bCs/>
                <w:szCs w:val="24"/>
                <w:rFonts w:eastAsiaTheme="minorEastAsia"/>
              </w:rPr>
              <w:t>燃</w:t>
            </w:r>
            <w:r>
              <w:rPr>
                <w:color w:val="auto"/>
                <w:sz w:val="24"/>
                <w:lang w:val="en-US" w:eastAsia="zh-CN"/>
                <w:bCs/>
                <w:szCs w:val="24"/>
                <w:rFonts w:hint="eastAsia" w:eastAsiaTheme="minorEastAsia"/>
              </w:rPr>
              <w:t>气</w:t>
            </w:r>
            <w:r>
              <w:rPr>
                <w:color w:val="auto"/>
                <w:sz w:val="24"/>
                <w:bCs/>
                <w:rFonts w:hint="eastAsia" w:eastAsiaTheme="minorEastAsia"/>
              </w:rPr>
              <w:t>导热油炉用于加热沥青，导热油炉烟气经低氮燃烧处理后（除氮效率30%），由1根12m高排气筒（DA002）排放；本项目在沥青混凝土拌和沥青储罐处会产生</w:t>
            </w:r>
            <w:r>
              <w:rPr>
                <w:color w:val="auto"/>
                <w:sz w:val="24"/>
                <w:bCs/>
                <w:rFonts w:eastAsiaTheme="minorEastAsia"/>
              </w:rPr>
              <w:t>非甲烷总烃、</w:t>
            </w:r>
            <w:r>
              <w:rPr>
                <w:color w:val="auto"/>
                <w:sz w:val="24"/>
                <w:bCs/>
                <w:rFonts w:hint="eastAsia" w:eastAsiaTheme="minorEastAsia"/>
              </w:rPr>
              <w:t>沥青烟和苯并[a]芘，沥青在密闭储罐中储存过程中产生的烟气以及出料产生的烟气通过负压收集系统集中收集（收集效率95%，环保设施的最大总风量为40000m</w:t>
            </w:r>
            <w:r>
              <w:rPr>
                <w:vertAlign w:val="superscript"/>
                <w:color w:val="auto"/>
                <w:sz w:val="24"/>
                <w:bCs/>
                <w:rFonts w:hint="eastAsia" w:eastAsiaTheme="minorEastAsia"/>
              </w:rPr>
              <w:t>3</w:t>
            </w:r>
            <w:r>
              <w:rPr>
                <w:color w:val="auto"/>
                <w:sz w:val="24"/>
                <w:bCs/>
                <w:rFonts w:hint="eastAsia" w:eastAsiaTheme="minorEastAsia"/>
              </w:rPr>
              <w:t>/h），经</w:t>
            </w:r>
            <w:r>
              <w:rPr>
                <w:color w:val="auto"/>
                <w:sz w:val="24"/>
                <w:bCs/>
                <w:rFonts w:hint="eastAsia" w:eastAsiaTheme="minorEastAsia"/>
              </w:rPr>
              <w:t>气浮旋流塔+三维一体化废气处理设备（由电离子+光催化+高碘值碳吸附组成）（</w:t>
            </w:r>
            <w:r>
              <w:rPr>
                <w:color w:val="auto"/>
                <w:sz w:val="24"/>
                <w:bCs/>
                <w:rFonts w:hint="eastAsia" w:eastAsiaTheme="minorEastAsia"/>
              </w:rPr>
              <w:t>处理效率95%）处理后，经15m高沥青搅拌排气筒（DA003）排放。</w:t>
            </w:r>
          </w:p>
          <w:p w14:paraId="0E945667">
            <w:pPr>
              <w:contextualSpacing/>
              <w:spacing w:line="360" w:lineRule="auto"/>
              <w:ind w:firstLine="480" w:firstLineChars="200"/>
              <w:rPr>
                <w:color w:val="auto"/>
                <w:sz w:val="24"/>
                <w:bCs/>
              </w:rPr>
            </w:pPr>
            <w:r>
              <w:rPr>
                <w:color w:val="auto"/>
                <w:sz w:val="24"/>
                <w:bCs/>
                <w:rFonts w:eastAsiaTheme="minorEastAsia"/>
              </w:rPr>
              <w:t>针对运输交通噪声，禁止使用超过噪声限值的运输车辆，汽车运输机械设备安装消声器和禁用高音喇叭，机动车辆必须加强维修和保养，保持技术性能良好，减少运输车辆噪声的影响，合理安排运输车辆工作时间，将车速控制在20</w:t>
            </w:r>
            <w:r>
              <w:rPr>
                <w:color w:val="auto"/>
                <w:sz w:val="24"/>
                <w:bCs/>
                <w:rFonts w:hint="eastAsia" w:eastAsiaTheme="minorEastAsia"/>
              </w:rPr>
              <w:t>k</w:t>
            </w:r>
            <w:r>
              <w:rPr>
                <w:color w:val="auto"/>
                <w:sz w:val="24"/>
                <w:bCs/>
                <w:rFonts w:eastAsiaTheme="minorEastAsia"/>
              </w:rPr>
              <w:t>m/h以下，22：00-次日6：00禁止运输及生产作业。</w:t>
            </w:r>
          </w:p>
          <w:p w14:paraId="0C5E3CDF">
            <w:pPr>
              <w:autoSpaceDE w:val="0"/>
              <w:autoSpaceDN w:val="0"/>
              <w:adjustRightInd w:val="0"/>
              <w:snapToGrid w:val="0"/>
              <w:jc w:val="left"/>
              <w:spacing w:line="360" w:lineRule="auto"/>
              <w:ind w:firstLine="480" w:firstLineChars="200"/>
              <w:rPr>
                <w:color w:val="auto"/>
                <w:sz w:val="24"/>
                <w:bCs/>
                <w:kern w:val="0"/>
                <w:szCs w:val="21"/>
              </w:rPr>
            </w:pPr>
            <w:r>
              <w:rPr>
                <w:color w:val="auto"/>
                <w:sz w:val="24"/>
                <w:bCs/>
              </w:rPr>
              <w:t>本项目建设单位严格落实本环评提出的污染防治措施后可实现废气、噪声的达标排放，废水、固废的合理处置，不会对周边环境产生较大影响，对外环境的影响可以接受。综上所述，从环境保护角度而言，本项目选址合理。</w:t>
            </w:r>
          </w:p>
          <w:p w14:paraId="35BCB495">
            <w:pPr>
              <w:contextualSpacing/>
              <w:spacing w:line="360" w:lineRule="auto"/>
              <w:ind w:firstLine="480" w:firstLineChars="200"/>
              <w:rPr>
                <w:color w:val="auto"/>
                <w:sz w:val="24"/>
                <w:bCs/>
                <w:kern w:val="0"/>
                <w:szCs w:val="21"/>
              </w:rPr>
            </w:pPr>
            <w:r>
              <w:rPr>
                <w:color w:val="auto"/>
                <w:sz w:val="24"/>
                <w:bCs/>
                <w:kern w:val="0"/>
                <w:szCs w:val="21"/>
              </w:rPr>
              <w:t>（</w:t>
            </w:r>
            <w:r>
              <w:rPr>
                <w:color w:val="auto"/>
                <w:sz w:val="24"/>
                <w:bCs/>
                <w:kern w:val="0"/>
                <w:szCs w:val="21"/>
                <w:rFonts w:hint="eastAsia"/>
              </w:rPr>
              <w:t>3</w:t>
            </w:r>
            <w:r>
              <w:rPr>
                <w:color w:val="auto"/>
                <w:sz w:val="24"/>
                <w:bCs/>
                <w:kern w:val="0"/>
                <w:szCs w:val="21"/>
              </w:rPr>
              <w:t>）本项目</w:t>
            </w:r>
            <w:r>
              <w:rPr>
                <w:color w:val="auto"/>
                <w:sz w:val="24"/>
                <w:lang w:val="en-US" w:eastAsia="zh-CN"/>
                <w:bCs/>
                <w:kern w:val="0"/>
                <w:szCs w:val="21"/>
                <w:rFonts w:hint="eastAsia"/>
              </w:rPr>
              <w:t>西侧为黑土存放场，北侧、东侧和南侧为林地</w:t>
            </w:r>
            <w:r>
              <w:rPr>
                <w:color w:val="auto"/>
                <w:sz w:val="24"/>
                <w:bCs/>
                <w:kern w:val="0"/>
                <w:szCs w:val="21"/>
                <w:rFonts w:hint="eastAsia"/>
              </w:rPr>
              <w:t>。</w:t>
            </w:r>
            <w:r>
              <w:rPr>
                <w:color w:val="auto"/>
                <w:sz w:val="24"/>
                <w:bCs/>
                <w:kern w:val="0"/>
                <w:szCs w:val="21"/>
              </w:rPr>
              <w:t>本项目四周照片见</w:t>
            </w:r>
            <w:r>
              <w:rPr>
                <w:color w:val="auto"/>
                <w:sz w:val="24"/>
                <w:bCs/>
                <w:kern w:val="0"/>
                <w:szCs w:val="21"/>
              </w:rPr>
              <w:t>附图</w:t>
            </w:r>
            <w:r>
              <w:rPr>
                <w:color w:val="auto"/>
                <w:sz w:val="24"/>
                <w:bCs/>
                <w:kern w:val="0"/>
                <w:szCs w:val="21"/>
              </w:rPr>
              <w:t>。</w:t>
            </w:r>
          </w:p>
          <w:p w14:paraId="39E339EA">
            <w:pPr>
              <w:contextualSpacing/>
              <w:spacing w:line="360" w:lineRule="auto"/>
              <w:ind w:firstLine="480" w:firstLineChars="200"/>
              <w:rPr>
                <w:color w:val="auto"/>
                <w:sz w:val="24"/>
                <w:bCs/>
                <w:kern w:val="0"/>
                <w:szCs w:val="21"/>
              </w:rPr>
            </w:pPr>
            <w:r>
              <w:rPr>
                <w:color w:val="auto"/>
                <w:sz w:val="24"/>
                <w:bCs/>
                <w:kern w:val="0"/>
                <w:szCs w:val="21"/>
              </w:rPr>
              <w:t>在落实本报告提出的污染防治措施前提，确保各项污染物稳定达标排放，选址可行。</w:t>
            </w:r>
          </w:p>
          <w:p w14:paraId="21383419">
            <w:pPr>
              <w:contextualSpacing/>
              <w:spacing w:line="360" w:lineRule="auto"/>
              <w:rPr>
                <w:color w:val="auto"/>
                <w:sz w:val="24"/>
                <w:bCs/>
                <w:kern w:val="0"/>
                <w:szCs w:val="21"/>
              </w:rPr>
            </w:pPr>
          </w:p>
          <w:p w14:paraId="65513D03">
            <w:pPr>
              <w:contextualSpacing/>
              <w:spacing w:line="360" w:lineRule="auto"/>
              <w:rPr>
                <w:color w:val="auto"/>
                <w:sz w:val="24"/>
                <w:bCs/>
                <w:kern w:val="0"/>
                <w:szCs w:val="21"/>
              </w:rPr>
            </w:pPr>
          </w:p>
          <w:p w14:paraId="527E3262">
            <w:pPr>
              <w:contextualSpacing/>
              <w:spacing w:line="360" w:lineRule="auto"/>
              <w:rPr>
                <w:color w:val="auto"/>
                <w:sz w:val="24"/>
                <w:bCs/>
                <w:kern w:val="0"/>
                <w:szCs w:val="21"/>
              </w:rPr>
            </w:pPr>
          </w:p>
          <w:p w14:paraId="7FA50B9C">
            <w:pPr>
              <w:contextualSpacing/>
              <w:spacing w:line="360" w:lineRule="auto"/>
              <w:rPr>
                <w:color w:val="auto"/>
                <w:sz w:val="24"/>
                <w:bCs/>
                <w:kern w:val="0"/>
                <w:szCs w:val="21"/>
              </w:rPr>
            </w:pPr>
          </w:p>
        </w:tc>
      </w:tr>
    </w:tbl>
    <w:p w14:paraId="1AC06E88">
      <w:pPr>
        <w:outlineLvl w:val="0"/>
        <w:spacing w:line="360" w:lineRule="auto"/>
        <w:rPr>
          <w:color w:val="auto"/>
          <w:sz w:val="30"/>
          <w:rFonts w:eastAsia="黑体"/>
        </w:rPr>
        <w:sectPr>
          <w:footerReference r:id="rId8" w:type="default"/>
          <w:docGrid w:type="default" w:linePitch="312" w:charSpace="0"/>
          <w:pgSz w:w="11906" w:h="16838"/>
          <w:pgMar w:top="1701" w:right="1531" w:bottom="1701" w:left="1531" w:header="851" w:footer="1077" w:gutter="0"/>
          <w:pgNumType w:start="1"/>
          <w:pgBorders>
            <w:top w:val="none" w:sz="0" w:space="0"/>
            <w:left w:val="none" w:sz="0" w:space="0"/>
            <w:bottom w:val="none" w:sz="0" w:space="0"/>
            <w:right w:val="none" w:sz="0" w:space="0"/>
          </w:pgBorders>
          <w:pgBorders>
            <w:top w:val="none" w:sz="0" w:space="0"/>
            <w:left w:val="none" w:sz="0" w:space="0"/>
            <w:bottom w:val="none" w:sz="0" w:space="0"/>
            <w:right w:val="none" w:sz="0" w:space="0"/>
          </w:pgBorders>
          <w:pgNumType w:start="1"/>
          <w:cols w:space="720" w:num="1"/>
        </w:sectPr>
      </w:pPr>
    </w:p>
    <w:p w14:paraId="325A7A72">
      <w:pPr>
        <w:pStyle w:val="22"/>
        <w:jc w:val="center"/>
        <w:outlineLvl w:val="0"/>
        <w:rPr>
          <w:color w:val="auto"/>
          <w:sz w:val="30"/>
          <w:szCs w:val="30"/>
          <w:rFonts w:ascii="Times New Roman" w:hAnsi="Times New Roman" w:eastAsia="黑体"/>
        </w:rPr>
      </w:pPr>
      <w:bookmarkStart w:id="5" w:name="_Toc68775753"/>
      <w:r>
        <w:rPr>
          <w:color w:val="auto"/>
          <w:sz w:val="30"/>
          <w:szCs w:val="30"/>
          <w:rFonts w:ascii="Times New Roman" w:hAnsi="Times New Roman" w:eastAsia="黑体"/>
        </w:rPr>
        <w:t>二、建设项目工程分析</w:t>
      </w:r>
      <w:bookmarkEnd w:id="5"/>
    </w:p>
    <w:tbl>
      <w:tblPr>
        <w:tblStyle w:val="27"/>
        <w:tblW w:w="0" w:type="auto"/>
        <w:jc w:val="center"/>
        <w:tblLayout w:type="fixed"/>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
      <w:tblGrid>
        <w:gridCol w:w="450.000000"/>
        <w:gridCol w:w="8610.000000"/>
      </w:tblGrid>
      <w:tr w14:paraId="5EABA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977" w:hRule="atLeast"/>
          <w:jc w:val="center"/>
        </w:trPr>
        <w:tc>
          <w:tcPr>
            <w:tcW w:w="450" w:type="dxa"/>
            <w:vAlign w:val="center"/>
          </w:tcPr>
          <w:p w14:paraId="08A60247">
            <w:pPr>
              <w:pStyle w:val="22"/>
              <w:adjustRightInd w:val="0"/>
              <w:snapToGrid w:val="0"/>
              <w:jc w:val="center"/>
              <w:spacing w:after="0" w:afterAutospacing="0" w:before="0" w:beforeAutospacing="0"/>
              <w:rPr>
                <w:color w:val="auto"/>
                <w:szCs w:val="24"/>
                <w:rFonts w:ascii="Times New Roman" w:hAnsi="Times New Roman"/>
              </w:rPr>
            </w:pPr>
            <w:r>
              <w:rPr>
                <w:color w:val="auto"/>
                <w:szCs w:val="24"/>
                <w:rFonts w:ascii="Times New Roman" w:hAnsi="Times New Roman"/>
              </w:rPr>
              <w:t>建设内容</w:t>
            </w:r>
          </w:p>
        </w:tc>
        <w:tc>
          <w:tcPr>
            <w:tcW w:w="8610" w:type="dxa"/>
          </w:tcPr>
          <w:p w14:paraId="09770F22">
            <w:pPr>
              <w:jc w:val="left"/>
              <w:contextualSpacing/>
              <w:spacing w:line="360" w:lineRule="auto"/>
              <w:ind w:firstLine="482" w:firstLineChars="200"/>
              <w:rPr>
                <w:b w:val="1"/>
                <w:color w:val="auto"/>
                <w:sz w:val="24"/>
                <w:kern w:val="0"/>
              </w:rPr>
            </w:pPr>
            <w:r>
              <w:rPr>
                <w:b w:val="1"/>
                <w:color w:val="auto"/>
                <w:sz w:val="24"/>
                <w:kern w:val="0"/>
              </w:rPr>
              <w:t>1、工程概况及项目组成</w:t>
            </w:r>
          </w:p>
          <w:p w14:paraId="79B3948F">
            <w:pPr>
              <w:spacing w:line="360" w:lineRule="auto"/>
              <w:ind w:firstLine="480" w:firstLineChars="200"/>
              <w:rPr>
                <w:color w:val="auto"/>
                <w:sz w:val="24"/>
                <w:bCs/>
              </w:rPr>
            </w:pPr>
            <w:r>
              <w:rPr>
                <w:color w:val="auto"/>
                <w:sz w:val="24"/>
                <w:bCs/>
                <w:rFonts w:hint="eastAsia"/>
              </w:rPr>
              <w:t>本项目位于</w:t>
            </w:r>
            <w:r>
              <w:rPr>
                <w:color w:val="auto"/>
                <w:sz w:val="24"/>
              </w:rPr>
              <w:t>黑龙江省</w:t>
            </w:r>
            <w:r>
              <w:rPr>
                <w:color w:val="auto"/>
                <w:sz w:val="24"/>
                <w:lang w:val="en-US" w:eastAsia="zh-CN"/>
                <w:szCs w:val="24"/>
                <w:rFonts w:hint="eastAsia"/>
              </w:rPr>
              <w:t>伊春市伊美区伊东林场</w:t>
            </w:r>
            <w:r>
              <w:rPr>
                <w:color w:val="auto"/>
                <w:sz w:val="24"/>
              </w:rPr>
              <w:t>，</w:t>
            </w:r>
            <w:r>
              <w:rPr>
                <w:color w:val="auto"/>
                <w:sz w:val="24"/>
              </w:rPr>
              <w:t>本项目</w:t>
            </w:r>
            <w:r>
              <w:rPr>
                <w:color w:val="auto"/>
                <w:sz w:val="24"/>
                <w:lang w:val="en-US" w:eastAsia="zh-CN"/>
                <w:rFonts w:hint="eastAsia"/>
              </w:rPr>
              <w:t>临时使用伊春森工乌马河林业局有限责任公司土地</w:t>
            </w:r>
            <w:r>
              <w:rPr>
                <w:color w:val="auto"/>
                <w:sz w:val="24"/>
              </w:rPr>
              <w:t>，</w:t>
            </w:r>
            <w:r>
              <w:rPr>
                <w:color w:val="auto"/>
                <w:sz w:val="24"/>
              </w:rPr>
              <w:t>用地性质为</w:t>
            </w:r>
            <w:r>
              <w:rPr>
                <w:color w:val="auto"/>
                <w:sz w:val="24"/>
                <w:lang w:val="en-US" w:eastAsia="zh-CN"/>
                <w:rFonts w:hint="eastAsia"/>
              </w:rPr>
              <w:t>未利用地1.7075公顷，坑塘水面0.0592公顷</w:t>
            </w:r>
            <w:r>
              <w:rPr>
                <w:color w:val="auto"/>
                <w:sz w:val="24"/>
              </w:rPr>
              <w:t>。</w:t>
            </w:r>
          </w:p>
          <w:p w14:paraId="31442EA8">
            <w:pPr>
              <w:spacing w:line="360" w:lineRule="auto"/>
              <w:ind w:firstLine="480" w:firstLineChars="200"/>
              <w:rPr>
                <w:color w:val="auto"/>
              </w:rPr>
            </w:pPr>
            <w:r>
              <w:rPr>
                <w:color w:val="auto"/>
                <w:sz w:val="24"/>
                <w:bCs/>
              </w:rPr>
              <w:t>本项目设置一条沥青混凝土加工生产线，</w:t>
            </w:r>
            <w:r>
              <w:rPr>
                <w:color w:val="auto"/>
                <w:sz w:val="24"/>
                <w:bCs/>
                <w:kern w:val="0"/>
              </w:rPr>
              <w:t>1台</w:t>
            </w:r>
            <w:r>
              <w:rPr>
                <w:color w:val="auto"/>
                <w:sz w:val="24"/>
                <w:lang w:val="en-US" w:eastAsia="zh-CN"/>
                <w:szCs w:val="24"/>
                <w:rFonts w:ascii="Times New Roman" w:hAnsi="Times New Roman" w:cs="Times New Roman" w:hint="eastAsia" w:eastAsiaTheme="minorEastAsia"/>
              </w:rPr>
              <w:t>1.5</w:t>
            </w:r>
            <w:r>
              <w:rPr>
                <w:color w:val="auto"/>
                <w:sz w:val="24"/>
                <w:szCs w:val="24"/>
                <w:rFonts w:ascii="Times New Roman" w:hAnsi="Times New Roman" w:cs="Times New Roman" w:hint="eastAsia" w:eastAsiaTheme="minorEastAsia"/>
              </w:rPr>
              <w:t>t/h</w:t>
            </w:r>
            <w:r>
              <w:rPr>
                <w:color w:val="auto"/>
                <w:sz w:val="24"/>
                <w:szCs w:val="24"/>
                <w:rFonts w:ascii="Times New Roman" w:hAnsi="Times New Roman" w:cs="Times New Roman" w:eastAsiaTheme="minorEastAsia"/>
              </w:rPr>
              <w:t>燃</w:t>
            </w:r>
            <w:r>
              <w:rPr>
                <w:color w:val="auto"/>
                <w:sz w:val="24"/>
                <w:lang w:val="en-US" w:eastAsia="zh-CN"/>
                <w:szCs w:val="24"/>
                <w:rFonts w:cs="Times New Roman" w:hint="eastAsia" w:eastAsiaTheme="minorEastAsia"/>
              </w:rPr>
              <w:t>气</w:t>
            </w:r>
            <w:r>
              <w:rPr>
                <w:color w:val="auto"/>
                <w:sz w:val="24"/>
                <w:bCs/>
                <w:kern w:val="0"/>
              </w:rPr>
              <w:t>导热油炉，</w:t>
            </w:r>
            <w:r>
              <w:rPr>
                <w:color w:val="auto"/>
                <w:sz w:val="24"/>
                <w:bCs/>
                <w:rFonts w:hint="eastAsia"/>
              </w:rPr>
              <w:t>1</w:t>
            </w:r>
            <w:r>
              <w:rPr>
                <w:color w:val="auto"/>
                <w:sz w:val="24"/>
                <w:bCs/>
              </w:rPr>
              <w:t>间办公室、1间实验室、1间</w:t>
            </w:r>
            <w:r>
              <w:rPr>
                <w:color w:val="auto"/>
                <w:sz w:val="24"/>
                <w:bCs/>
                <w:rFonts w:hint="eastAsia"/>
              </w:rPr>
              <w:t>控制</w:t>
            </w:r>
            <w:r>
              <w:rPr>
                <w:color w:val="auto"/>
                <w:sz w:val="24"/>
                <w:bCs/>
              </w:rPr>
              <w:t>室、1间称房</w:t>
            </w:r>
            <w:r>
              <w:rPr>
                <w:color w:val="auto"/>
                <w:sz w:val="24"/>
                <w:bCs/>
                <w:rFonts w:hint="eastAsia"/>
              </w:rPr>
              <w:t>及</w:t>
            </w:r>
            <w:r>
              <w:rPr>
                <w:color w:val="auto"/>
                <w:sz w:val="24"/>
                <w:bCs/>
              </w:rPr>
              <w:t>门卫、原料堆场等，合计建筑面积</w:t>
            </w:r>
            <w:r>
              <w:rPr>
                <w:color w:val="auto"/>
                <w:sz w:val="24"/>
                <w:lang w:val="en-US" w:eastAsia="zh-CN"/>
                <w:bCs/>
                <w:rFonts w:hint="eastAsia"/>
              </w:rPr>
              <w:t>700</w:t>
            </w:r>
            <w:r>
              <w:rPr>
                <w:color w:val="auto"/>
                <w:sz w:val="24"/>
                <w:bCs/>
              </w:rPr>
              <w:t>m</w:t>
            </w:r>
            <w:r>
              <w:rPr>
                <w:vertAlign w:val="superscript"/>
                <w:color w:val="auto"/>
                <w:sz w:val="24"/>
                <w:bCs/>
              </w:rPr>
              <w:t>2</w:t>
            </w:r>
            <w:r>
              <w:rPr>
                <w:color w:val="auto"/>
                <w:sz w:val="24"/>
                <w:bCs/>
              </w:rPr>
              <w:t>，占地面积为</w:t>
            </w:r>
            <w:r>
              <w:rPr>
                <w:color w:val="auto"/>
                <w:sz w:val="24"/>
                <w:lang w:val="en-US" w:eastAsia="zh-CN"/>
                <w:bCs/>
                <w:rFonts w:hint="eastAsia"/>
              </w:rPr>
              <w:t>17667</w:t>
            </w:r>
            <w:r>
              <w:rPr>
                <w:color w:val="auto"/>
                <w:sz w:val="24"/>
                <w:bCs/>
                <w:rFonts w:hint="eastAsia"/>
              </w:rPr>
              <w:t>m</w:t>
            </w:r>
            <w:r>
              <w:rPr>
                <w:vertAlign w:val="superscript"/>
                <w:color w:val="auto"/>
                <w:sz w:val="24"/>
                <w:bCs/>
                <w:rFonts w:hint="eastAsia"/>
              </w:rPr>
              <w:t>2</w:t>
            </w:r>
            <w:r>
              <w:rPr>
                <w:color w:val="auto"/>
                <w:sz w:val="24"/>
                <w:bCs/>
              </w:rPr>
              <w:t>。</w:t>
            </w:r>
            <w:r>
              <w:rPr>
                <w:color w:val="auto"/>
                <w:sz w:val="24"/>
                <w:bCs/>
              </w:rPr>
              <w:t>年生产沥青混凝土</w:t>
            </w:r>
            <w:r>
              <w:rPr>
                <w:color w:val="auto"/>
                <w:sz w:val="24"/>
                <w:lang w:val="en-US" w:eastAsia="zh-CN"/>
                <w:kern w:val="0"/>
                <w:szCs w:val="24"/>
                <w:rFonts w:hint="eastAsia"/>
              </w:rPr>
              <w:t>332995</w:t>
            </w:r>
            <w:r>
              <w:rPr>
                <w:color w:val="auto"/>
                <w:sz w:val="24"/>
                <w:bCs/>
              </w:rPr>
              <w:t>t。具体工程组成见下表。</w:t>
            </w:r>
          </w:p>
          <w:p w14:paraId="6574B33F">
            <w:pPr>
              <w:pStyle w:val="59"/>
              <w:jc w:val="center"/>
              <w:contextualSpacing/>
              <w:spacing w:afterLines="0" w:beforeLines="0"/>
              <w:ind w:firstLine="0" w:firstLineChars="0"/>
              <w:rPr>
                <w:b w:val="1"/>
                <w:color w:val="auto"/>
              </w:rPr>
            </w:pPr>
            <w:r>
              <w:rPr>
                <w:b w:val="1"/>
                <w:color w:val="auto"/>
              </w:rPr>
              <w:t>表2-1 项目工程组成一览表</w:t>
            </w:r>
          </w:p>
          <w:tbl>
            <w:tblPr>
              <w:tblStyle w:val="27"/>
              <w:tblW w:w="5000"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723.000000"/>
              <w:gridCol w:w="811.000000"/>
              <w:gridCol w:w="6077.000000"/>
              <w:gridCol w:w="783.000000"/>
            </w:tblGrid>
            <w:tr w14:paraId="40386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1" w:hRule="atLeast"/>
                <w:jc w:val="center"/>
              </w:trPr>
              <w:tc>
                <w:tcPr>
                  <w:tcW w:w="914" w:type="pct"/>
                  <w:gridSpan w:val="2"/>
                  <w:vAlign w:val="center"/>
                </w:tcPr>
                <w:p w14:paraId="3FAAE179">
                  <w:pPr>
                    <w:jc w:val="center"/>
                    <w:contextualSpacing/>
                    <w:rPr>
                      <w:color w:val="auto"/>
                      <w:szCs w:val="21"/>
                    </w:rPr>
                  </w:pPr>
                  <w:r>
                    <w:rPr>
                      <w:color w:val="auto"/>
                      <w:szCs w:val="21"/>
                    </w:rPr>
                    <w:t>建设内容</w:t>
                  </w:r>
                </w:p>
              </w:tc>
              <w:tc>
                <w:tcPr>
                  <w:tcW w:w="3619" w:type="pct"/>
                  <w:vAlign w:val="center"/>
                </w:tcPr>
                <w:p w14:paraId="50431A2D">
                  <w:pPr>
                    <w:jc w:val="center"/>
                    <w:contextualSpacing/>
                    <w:rPr>
                      <w:color w:val="auto"/>
                      <w:szCs w:val="21"/>
                    </w:rPr>
                  </w:pPr>
                  <w:r>
                    <w:rPr>
                      <w:color w:val="auto"/>
                      <w:szCs w:val="21"/>
                    </w:rPr>
                    <w:t>建设规模及内容</w:t>
                  </w:r>
                </w:p>
              </w:tc>
              <w:tc>
                <w:tcPr>
                  <w:tcW w:w="466" w:type="pct"/>
                  <w:vAlign w:val="center"/>
                </w:tcPr>
                <w:p w14:paraId="46D7258E">
                  <w:pPr>
                    <w:jc w:val="center"/>
                    <w:contextualSpacing/>
                    <w:rPr>
                      <w:color w:val="auto"/>
                      <w:szCs w:val="21"/>
                    </w:rPr>
                  </w:pPr>
                  <w:r>
                    <w:rPr>
                      <w:color w:val="auto"/>
                      <w:szCs w:val="21"/>
                    </w:rPr>
                    <w:t>备注</w:t>
                  </w:r>
                </w:p>
              </w:tc>
            </w:tr>
            <w:tr w14:paraId="2E00B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569" w:hRule="atLeast"/>
                <w:jc w:val="center"/>
              </w:trPr>
              <w:tc>
                <w:tcPr>
                  <w:tcW w:w="431" w:type="pct"/>
                  <w:vAlign w:val="center"/>
                  <w:shd w:val="clear" w:color="auto" w:fill="auto"/>
                </w:tcPr>
                <w:p w14:paraId="3481381E">
                  <w:pPr>
                    <w:jc w:val="center"/>
                    <w:contextualSpacing/>
                    <w:rPr>
                      <w:color w:val="auto"/>
                      <w:szCs w:val="21"/>
                    </w:rPr>
                  </w:pPr>
                  <w:r>
                    <w:rPr>
                      <w:color w:val="auto"/>
                      <w:szCs w:val="21"/>
                    </w:rPr>
                    <w:t>主体工程</w:t>
                  </w:r>
                </w:p>
              </w:tc>
              <w:tc>
                <w:tcPr>
                  <w:tcW w:w="482" w:type="pct"/>
                  <w:vAlign w:val="center"/>
                  <w:shd w:val="clear" w:color="auto" w:fill="FFFFFF"/>
                </w:tcPr>
                <w:p w14:paraId="4340F387">
                  <w:pPr>
                    <w:jc w:val="center"/>
                    <w:contextualSpacing/>
                    <w:spacing w:line="0" w:lineRule="atLeast"/>
                    <w:rPr>
                      <w:color w:val="auto"/>
                      <w:szCs w:val="21"/>
                      <w:rFonts w:eastAsiaTheme="minorEastAsia"/>
                    </w:rPr>
                  </w:pPr>
                  <w:r>
                    <w:rPr>
                      <w:color w:val="auto"/>
                      <w:szCs w:val="21"/>
                      <w:rFonts w:eastAsiaTheme="minorEastAsia"/>
                    </w:rPr>
                    <w:t>生产区</w:t>
                  </w:r>
                </w:p>
              </w:tc>
              <w:tc>
                <w:tcPr>
                  <w:tcW w:w="3619" w:type="pct"/>
                  <w:vAlign w:val="center"/>
                  <w:shd w:val="clear" w:color="auto" w:fill="FFFFFF"/>
                </w:tcPr>
                <w:p w14:paraId="29911BD4">
                  <w:pPr>
                    <w:spacing w:line="0" w:lineRule="atLeast"/>
                    <w:rPr>
                      <w:color w:val="auto"/>
                      <w:lang w:eastAsia="zh-CN"/>
                      <w:szCs w:val="21"/>
                      <w:rFonts w:hint="eastAsia" w:eastAsiaTheme="minorEastAsia"/>
                    </w:rPr>
                  </w:pPr>
                  <w:r>
                    <w:rPr>
                      <w:color w:val="auto"/>
                      <w:szCs w:val="21"/>
                      <w:rFonts w:eastAsiaTheme="minorEastAsia"/>
                    </w:rPr>
                    <w:t>设置一条沥青混凝土生产线，搅拌站整体封闭，</w:t>
                  </w:r>
                  <w:r>
                    <w:rPr>
                      <w:color w:val="auto"/>
                      <w:bCs/>
                      <w:szCs w:val="21"/>
                      <w:rFonts w:hint="eastAsia"/>
                    </w:rPr>
                    <w:t>高度为23m，</w:t>
                  </w:r>
                  <w:r>
                    <w:rPr>
                      <w:color w:val="auto"/>
                      <w:szCs w:val="21"/>
                      <w:rFonts w:eastAsiaTheme="minorEastAsia"/>
                    </w:rPr>
                    <w:t>包括上料口、传送带、搅拌设施，设置一个</w:t>
                  </w:r>
                  <w:r>
                    <w:rPr>
                      <w:color w:val="auto"/>
                      <w:lang w:val="en-US" w:eastAsia="zh-CN"/>
                      <w:bCs/>
                      <w:szCs w:val="21"/>
                      <w:rFonts w:hint="eastAsia" w:eastAsiaTheme="minorEastAsia"/>
                    </w:rPr>
                    <w:t>烘干</w:t>
                  </w:r>
                  <w:r>
                    <w:rPr>
                      <w:color w:val="auto"/>
                      <w:bCs/>
                      <w:szCs w:val="21"/>
                      <w:rFonts w:eastAsiaTheme="minorEastAsia"/>
                    </w:rPr>
                    <w:t>筒，热量由1台燃燃烧器提供，</w:t>
                  </w:r>
                  <w:r>
                    <w:rPr>
                      <w:color w:val="auto"/>
                      <w:lang w:val="en-US" w:eastAsia="zh-CN"/>
                      <w:bCs/>
                      <w:szCs w:val="21"/>
                      <w:rFonts w:hint="eastAsia" w:eastAsiaTheme="minorEastAsia"/>
                    </w:rPr>
                    <w:t>燃料为</w:t>
                  </w:r>
                  <w:r>
                    <w:rPr>
                      <w:color w:val="auto"/>
                      <w:sz w:val="21"/>
                      <w:lang w:val="en-US" w:eastAsia="zh-CN"/>
                      <w:szCs w:val="21"/>
                      <w:rFonts w:hint="eastAsia"/>
                    </w:rPr>
                    <w:t>天然气，</w:t>
                  </w:r>
                  <w:r>
                    <w:rPr>
                      <w:color w:val="auto"/>
                      <w:bCs/>
                      <w:szCs w:val="21"/>
                      <w:rFonts w:eastAsiaTheme="minorEastAsia"/>
                    </w:rPr>
                    <w:t>用于加热碎石。</w:t>
                  </w:r>
                  <w:r>
                    <w:rPr>
                      <w:color w:val="auto"/>
                      <w:szCs w:val="21"/>
                      <w:rFonts w:eastAsiaTheme="minorEastAsia"/>
                    </w:rPr>
                    <w:t>沥青罐内的沥青通过1</w:t>
                  </w:r>
                  <w:r>
                    <w:rPr>
                      <w:color w:val="auto"/>
                      <w:szCs w:val="21"/>
                      <w:rFonts w:ascii="Times New Roman" w:hAnsi="Times New Roman" w:cs="Times New Roman" w:eastAsiaTheme="minorEastAsia"/>
                    </w:rPr>
                    <w:t>台</w:t>
                  </w:r>
                  <w:r>
                    <w:rPr>
                      <w:color w:val="auto"/>
                      <w:lang w:val="en-US" w:eastAsia="zh-CN"/>
                      <w:szCs w:val="21"/>
                      <w:rFonts w:ascii="Times New Roman" w:hAnsi="Times New Roman" w:cs="Times New Roman" w:hint="eastAsia" w:eastAsiaTheme="minorEastAsia"/>
                    </w:rPr>
                    <w:t>1.5</w:t>
                  </w:r>
                  <w:r>
                    <w:rPr>
                      <w:color w:val="auto"/>
                      <w:szCs w:val="21"/>
                      <w:rFonts w:ascii="Times New Roman" w:hAnsi="Times New Roman" w:cs="Times New Roman" w:hint="eastAsia" w:eastAsiaTheme="minorEastAsia"/>
                    </w:rPr>
                    <w:t>t/h</w:t>
                  </w:r>
                  <w:r>
                    <w:rPr>
                      <w:color w:val="auto"/>
                      <w:szCs w:val="21"/>
                      <w:rFonts w:ascii="Times New Roman" w:hAnsi="Times New Roman" w:cs="Times New Roman" w:eastAsiaTheme="minorEastAsia"/>
                    </w:rPr>
                    <w:t>燃</w:t>
                  </w:r>
                  <w:r>
                    <w:rPr>
                      <w:color w:val="auto"/>
                      <w:sz w:val="21"/>
                      <w:lang w:val="en-US" w:eastAsia="zh-CN"/>
                      <w:szCs w:val="21"/>
                      <w:rFonts w:hint="eastAsia"/>
                    </w:rPr>
                    <w:t>气</w:t>
                  </w:r>
                  <w:r>
                    <w:rPr>
                      <w:color w:val="auto"/>
                      <w:szCs w:val="21"/>
                      <w:rFonts w:eastAsiaTheme="minorEastAsia"/>
                    </w:rPr>
                    <w:t>导热油炉间接加热，使其维持在150℃到</w:t>
                  </w:r>
                  <w:r>
                    <w:rPr>
                      <w:color w:val="auto"/>
                      <w:szCs w:val="21"/>
                      <w:rFonts w:hint="eastAsia" w:eastAsiaTheme="minorEastAsia"/>
                    </w:rPr>
                    <w:t>160</w:t>
                  </w:r>
                  <w:r>
                    <w:rPr>
                      <w:color w:val="auto"/>
                      <w:szCs w:val="21"/>
                      <w:rFonts w:eastAsiaTheme="minorEastAsia"/>
                    </w:rPr>
                    <w:t>℃</w:t>
                  </w:r>
                  <w:r>
                    <w:rPr>
                      <w:color w:val="auto"/>
                      <w:lang w:eastAsia="zh-CN"/>
                      <w:szCs w:val="21"/>
                      <w:rFonts w:hint="eastAsia" w:eastAsiaTheme="minorEastAsia"/>
                    </w:rPr>
                    <w:t>。</w:t>
                  </w:r>
                </w:p>
                <w:p w14:paraId="444151EC">
                  <w:pPr>
                    <w:spacing w:line="0" w:lineRule="atLeast"/>
                    <w:rPr>
                      <w:color w:val="auto"/>
                      <w:szCs w:val="21"/>
                      <w:rFonts w:eastAsiaTheme="minorEastAsia"/>
                    </w:rPr>
                  </w:pPr>
                  <w:r>
                    <w:rPr>
                      <w:color w:val="auto"/>
                      <w:szCs w:val="21"/>
                      <w:rFonts w:eastAsiaTheme="minorEastAsia"/>
                    </w:rPr>
                    <w:t>成品混凝土利用专用罐车直接运往施工场地，不在本厂区贮存，</w:t>
                  </w:r>
                  <w:r>
                    <w:rPr>
                      <w:color w:val="auto"/>
                      <w:bCs/>
                      <w:szCs w:val="21"/>
                      <w:rFonts w:eastAsiaTheme="minorEastAsia"/>
                    </w:rPr>
                    <w:t>年生产沥青混凝土</w:t>
                  </w:r>
                  <w:r>
                    <w:rPr>
                      <w:color w:val="auto"/>
                      <w:lang w:val="en-US" w:eastAsia="zh-CN"/>
                      <w:kern w:val="0"/>
                      <w:szCs w:val="21"/>
                      <w:rFonts w:hint="eastAsia"/>
                    </w:rPr>
                    <w:t>33299</w:t>
                  </w:r>
                  <w:r>
                    <w:rPr>
                      <w:color w:val="auto"/>
                      <w:lang w:val="en-US" w:eastAsia="zh-CN"/>
                      <w:kern w:val="0"/>
                      <w:szCs w:val="21"/>
                      <w:rFonts w:hint="eastAsia"/>
                    </w:rPr>
                    <w:t>5</w:t>
                  </w:r>
                  <w:r>
                    <w:rPr>
                      <w:color w:val="auto"/>
                      <w:bCs/>
                      <w:szCs w:val="21"/>
                      <w:rFonts w:hint="eastAsia" w:eastAsiaTheme="minorEastAsia"/>
                    </w:rPr>
                    <w:t>t</w:t>
                  </w:r>
                </w:p>
              </w:tc>
              <w:tc>
                <w:tcPr>
                  <w:tcW w:w="466" w:type="pct"/>
                  <w:vMerge w:val="restart"/>
                  <w:vAlign w:val="center"/>
                </w:tcPr>
                <w:p w14:paraId="7D6E59AD">
                  <w:pPr>
                    <w:jc w:val="center"/>
                    <w:contextualSpacing/>
                    <w:rPr>
                      <w:color w:val="auto"/>
                      <w:szCs w:val="21"/>
                    </w:rPr>
                  </w:pPr>
                  <w:r>
                    <w:rPr>
                      <w:color w:val="auto"/>
                      <w:szCs w:val="21"/>
                    </w:rPr>
                    <w:t>新建</w:t>
                  </w:r>
                </w:p>
              </w:tc>
            </w:tr>
            <w:tr w14:paraId="49732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31" w:hRule="atLeast"/>
                <w:jc w:val="center"/>
              </w:trPr>
              <w:tc>
                <w:tcPr>
                  <w:tcW w:w="431" w:type="pct"/>
                  <w:vMerge w:val="restart"/>
                  <w:vAlign w:val="center"/>
                  <w:shd w:val="clear" w:color="auto" w:fill="auto"/>
                </w:tcPr>
                <w:p w14:paraId="4E90AC19">
                  <w:pPr>
                    <w:jc w:val="center"/>
                    <w:contextualSpacing/>
                    <w:rPr>
                      <w:color w:val="auto"/>
                      <w:szCs w:val="21"/>
                    </w:rPr>
                  </w:pPr>
                  <w:r>
                    <w:rPr>
                      <w:color w:val="auto"/>
                      <w:szCs w:val="21"/>
                    </w:rPr>
                    <w:t>储运工程</w:t>
                  </w:r>
                </w:p>
              </w:tc>
              <w:tc>
                <w:tcPr>
                  <w:tcW w:w="482" w:type="pct"/>
                  <w:vAlign w:val="center"/>
                  <w:shd w:val="clear" w:color="auto" w:fill="FFFFFF"/>
                </w:tcPr>
                <w:p w14:paraId="49340986">
                  <w:pPr>
                    <w:jc w:val="center"/>
                    <w:contextualSpacing/>
                    <w:rPr>
                      <w:color w:val="auto"/>
                      <w:szCs w:val="21"/>
                    </w:rPr>
                  </w:pPr>
                  <w:r>
                    <w:rPr>
                      <w:color w:val="auto"/>
                      <w:szCs w:val="21"/>
                    </w:rPr>
                    <w:t>碎石</w:t>
                  </w:r>
                </w:p>
                <w:p w14:paraId="75B0F272">
                  <w:pPr>
                    <w:jc w:val="center"/>
                    <w:contextualSpacing/>
                    <w:rPr>
                      <w:color w:val="auto"/>
                      <w:szCs w:val="21"/>
                    </w:rPr>
                  </w:pPr>
                  <w:r>
                    <w:rPr>
                      <w:color w:val="auto"/>
                      <w:szCs w:val="21"/>
                    </w:rPr>
                    <w:t>堆场</w:t>
                  </w:r>
                </w:p>
              </w:tc>
              <w:tc>
                <w:tcPr>
                  <w:tcW w:w="3619" w:type="pct"/>
                  <w:vAlign w:val="center"/>
                  <w:shd w:val="clear" w:color="auto" w:fill="FFFFFF"/>
                </w:tcPr>
                <w:p w14:paraId="55E2B5B1">
                  <w:pPr>
                    <w:pStyle w:val="6"/>
                    <w:snapToGrid w:val="0"/>
                    <w:spacing w:line="240" w:lineRule="auto"/>
                    <w:ind w:firstLine="0"/>
                    <w:rPr>
                      <w:color w:val="auto"/>
                      <w:szCs w:val="21"/>
                      <w:rFonts w:ascii="Times New Roman" w:hAnsi="Times New Roman"/>
                    </w:rPr>
                  </w:pPr>
                  <w:r>
                    <w:rPr>
                      <w:color w:val="auto"/>
                      <w:sz w:val="21"/>
                      <w:szCs w:val="21"/>
                      <w:rFonts w:ascii="Times New Roman" w:hAnsi="Times New Roman"/>
                    </w:rPr>
                    <w:t>堆场占地面积约为</w:t>
                  </w:r>
                  <w:r>
                    <w:rPr>
                      <w:color w:val="auto"/>
                      <w:sz w:val="21"/>
                      <w:szCs w:val="21"/>
                      <w:rFonts w:ascii="Times New Roman" w:hAnsi="Times New Roman" w:hint="eastAsia"/>
                    </w:rPr>
                    <w:t>1</w:t>
                  </w:r>
                  <w:r>
                    <w:rPr>
                      <w:color w:val="auto"/>
                      <w:sz w:val="21"/>
                      <w:lang w:val="en-US" w:eastAsia="zh-CN"/>
                      <w:szCs w:val="21"/>
                      <w:rFonts w:ascii="Times New Roman" w:hAnsi="Times New Roman" w:hint="eastAsia"/>
                    </w:rPr>
                    <w:t>1</w:t>
                  </w:r>
                  <w:r>
                    <w:rPr>
                      <w:color w:val="auto"/>
                      <w:sz w:val="21"/>
                      <w:szCs w:val="21"/>
                      <w:rFonts w:ascii="Times New Roman" w:hAnsi="Times New Roman"/>
                    </w:rPr>
                    <w:t>000m</w:t>
                  </w:r>
                  <w:r>
                    <w:rPr>
                      <w:vertAlign w:val="superscript"/>
                      <w:color w:val="auto"/>
                      <w:sz w:val="21"/>
                      <w:szCs w:val="21"/>
                      <w:rFonts w:ascii="Times New Roman" w:hAnsi="Times New Roman"/>
                    </w:rPr>
                    <w:t>2</w:t>
                  </w:r>
                  <w:r>
                    <w:rPr>
                      <w:color w:val="auto"/>
                      <w:sz w:val="21"/>
                      <w:szCs w:val="21"/>
                      <w:rFonts w:ascii="Times New Roman" w:hAnsi="Times New Roman"/>
                    </w:rPr>
                    <w:t>，用于暂存原料碎石，堆高5m，最大存储量为</w:t>
                  </w:r>
                  <w:r>
                    <w:rPr>
                      <w:color w:val="auto"/>
                      <w:sz w:val="21"/>
                      <w:szCs w:val="21"/>
                      <w:rFonts w:ascii="Times New Roman" w:hAnsi="Times New Roman" w:hint="eastAsia"/>
                    </w:rPr>
                    <w:t>18</w:t>
                  </w:r>
                  <w:r>
                    <w:rPr>
                      <w:color w:val="auto"/>
                      <w:sz w:val="21"/>
                      <w:szCs w:val="21"/>
                      <w:rFonts w:ascii="Times New Roman" w:hAnsi="Times New Roman"/>
                    </w:rPr>
                    <w:t>万t</w:t>
                  </w:r>
                </w:p>
              </w:tc>
              <w:tc>
                <w:tcPr>
                  <w:tcW w:w="466" w:type="pct"/>
                  <w:vMerge w:val="continue"/>
                  <w:vAlign w:val="center"/>
                </w:tcPr>
                <w:p w14:paraId="34CD5995">
                  <w:pPr>
                    <w:jc w:val="center"/>
                    <w:contextualSpacing/>
                    <w:rPr>
                      <w:color w:val="auto"/>
                      <w:szCs w:val="21"/>
                    </w:rPr>
                  </w:pPr>
                </w:p>
              </w:tc>
            </w:tr>
            <w:tr w14:paraId="06D4B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50" w:hRule="atLeast"/>
                <w:jc w:val="center"/>
              </w:trPr>
              <w:tc>
                <w:tcPr>
                  <w:tcW w:w="431" w:type="pct"/>
                  <w:vMerge w:val="continue"/>
                  <w:vAlign w:val="center"/>
                  <w:shd w:val="clear" w:color="auto" w:fill="auto"/>
                </w:tcPr>
                <w:p w14:paraId="211AE51C">
                  <w:pPr>
                    <w:jc w:val="center"/>
                    <w:contextualSpacing/>
                    <w:rPr>
                      <w:color w:val="auto"/>
                      <w:szCs w:val="21"/>
                    </w:rPr>
                  </w:pPr>
                </w:p>
              </w:tc>
              <w:tc>
                <w:tcPr>
                  <w:tcW w:w="482" w:type="pct"/>
                  <w:vAlign w:val="center"/>
                  <w:shd w:val="clear" w:color="auto" w:fill="FFFFFF"/>
                </w:tcPr>
                <w:p w14:paraId="7ABB0AAE">
                  <w:pPr>
                    <w:jc w:val="center"/>
                    <w:contextualSpacing/>
                    <w:spacing w:line="0" w:lineRule="atLeast"/>
                    <w:rPr>
                      <w:color w:val="auto"/>
                      <w:lang w:eastAsia="zh-CN"/>
                      <w:szCs w:val="21"/>
                      <w:rFonts w:hint="eastAsia" w:eastAsiaTheme="minorEastAsia"/>
                    </w:rPr>
                  </w:pPr>
                  <w:r>
                    <w:rPr>
                      <w:color w:val="auto"/>
                      <w:szCs w:val="21"/>
                      <w:rFonts w:eastAsiaTheme="minorEastAsia"/>
                    </w:rPr>
                    <w:t>危废</w:t>
                  </w:r>
                  <w:r>
                    <w:rPr>
                      <w:color w:val="auto"/>
                      <w:szCs w:val="21"/>
                      <w:rFonts w:hint="eastAsia" w:eastAsiaTheme="minorEastAsia"/>
                    </w:rPr>
                    <w:t>贮存</w:t>
                  </w:r>
                  <w:r>
                    <w:rPr>
                      <w:color w:val="auto"/>
                      <w:lang w:val="en-US" w:eastAsia="zh-CN"/>
                      <w:szCs w:val="21"/>
                      <w:rFonts w:hint="eastAsia" w:eastAsiaTheme="minorEastAsia"/>
                    </w:rPr>
                    <w:t>点</w:t>
                  </w:r>
                </w:p>
              </w:tc>
              <w:tc>
                <w:tcPr>
                  <w:tcW w:w="3619" w:type="pct"/>
                  <w:vAlign w:val="center"/>
                  <w:shd w:val="clear" w:color="auto" w:fill="FFFFFF"/>
                </w:tcPr>
                <w:p w14:paraId="286BA0AA">
                  <w:pPr>
                    <w:contextualSpacing/>
                    <w:spacing w:line="0" w:lineRule="atLeast"/>
                    <w:rPr>
                      <w:color w:val="auto"/>
                      <w:szCs w:val="21"/>
                      <w:rFonts w:eastAsiaTheme="minorEastAsia"/>
                    </w:rPr>
                  </w:pPr>
                  <w:r>
                    <w:rPr>
                      <w:color w:val="auto"/>
                      <w:szCs w:val="21"/>
                      <w:rFonts w:eastAsiaTheme="minorEastAsia"/>
                    </w:rPr>
                    <w:t>建筑面积为</w:t>
                  </w:r>
                  <w:r>
                    <w:rPr>
                      <w:color w:val="auto"/>
                      <w:szCs w:val="21"/>
                      <w:rFonts w:hint="eastAsia" w:eastAsiaTheme="minorEastAsia"/>
                    </w:rPr>
                    <w:t>15</w:t>
                  </w:r>
                  <w:r>
                    <w:rPr>
                      <w:color w:val="auto"/>
                      <w:szCs w:val="21"/>
                      <w:rFonts w:eastAsiaTheme="minorEastAsia"/>
                    </w:rPr>
                    <w:t>m</w:t>
                  </w:r>
                  <w:r>
                    <w:rPr>
                      <w:vertAlign w:val="superscript"/>
                      <w:color w:val="auto"/>
                      <w:szCs w:val="21"/>
                      <w:rFonts w:eastAsiaTheme="minorEastAsia"/>
                    </w:rPr>
                    <w:t>2</w:t>
                  </w:r>
                  <w:r>
                    <w:rPr>
                      <w:color w:val="auto"/>
                      <w:szCs w:val="21"/>
                      <w:rFonts w:eastAsiaTheme="minorEastAsia"/>
                    </w:rPr>
                    <w:t>，</w:t>
                  </w:r>
                  <w:r>
                    <w:rPr>
                      <w:color w:val="auto"/>
                      <w:bCs/>
                      <w:szCs w:val="21"/>
                      <w:rFonts w:hint="eastAsia"/>
                    </w:rPr>
                    <w:t>高度为3m，</w:t>
                  </w:r>
                  <w:r>
                    <w:rPr>
                      <w:color w:val="auto"/>
                      <w:szCs w:val="21"/>
                      <w:rFonts w:eastAsiaTheme="minorEastAsia"/>
                    </w:rPr>
                    <w:t>用于存放厂区产生的危险废物，地面防渗，危废暂存间防渗层为至少1米厚粘土层（渗透系数≤10</w:t>
                  </w:r>
                  <w:r>
                    <w:rPr>
                      <w:vertAlign w:val="superscript"/>
                      <w:color w:val="auto"/>
                      <w:szCs w:val="21"/>
                      <w:rFonts w:eastAsiaTheme="minorEastAsia"/>
                    </w:rPr>
                    <w:t>-7</w:t>
                  </w:r>
                  <w:r>
                    <w:rPr>
                      <w:color w:val="auto"/>
                      <w:bCs/>
                      <w:szCs w:val="21"/>
                      <w:rFonts w:eastAsiaTheme="minorEastAsia"/>
                    </w:rPr>
                    <w:t>cm/s</w:t>
                  </w:r>
                  <w:r>
                    <w:rPr>
                      <w:color w:val="auto"/>
                      <w:szCs w:val="21"/>
                      <w:rFonts w:eastAsiaTheme="minorEastAsia"/>
                    </w:rPr>
                    <w:t>），或2mm高密度聚乙烯，或至少2mm厚的其它人工材料，渗透系数≤1×10</w:t>
                  </w:r>
                  <w:r>
                    <w:rPr>
                      <w:vertAlign w:val="superscript"/>
                      <w:color w:val="auto"/>
                      <w:szCs w:val="21"/>
                      <w:rFonts w:eastAsiaTheme="minorEastAsia"/>
                    </w:rPr>
                    <w:t>-10</w:t>
                  </w:r>
                  <w:r>
                    <w:rPr>
                      <w:color w:val="auto"/>
                      <w:szCs w:val="21"/>
                      <w:rFonts w:eastAsiaTheme="minorEastAsia"/>
                    </w:rPr>
                    <w:t>cm/s，内部采取分区隔断，废导热油采用专用容器贮存，设置围堰</w:t>
                  </w:r>
                  <w:r>
                    <w:rPr>
                      <w:color w:val="auto"/>
                      <w:szCs w:val="21"/>
                      <w:rFonts w:hint="eastAsia" w:eastAsiaTheme="minorEastAsia"/>
                    </w:rPr>
                    <w:t>；</w:t>
                  </w:r>
                  <w:r>
                    <w:rPr>
                      <w:color w:val="auto"/>
                      <w:szCs w:val="21"/>
                      <w:rFonts w:eastAsiaTheme="minorEastAsia"/>
                    </w:rPr>
                    <w:t>贮存的危险废物直接接触地面的，还应进行基础防渗，张贴危废标识。贮存</w:t>
                  </w:r>
                  <w:r>
                    <w:rPr>
                      <w:color w:val="auto"/>
                      <w:lang w:val="en-US" w:eastAsia="zh-CN"/>
                      <w:szCs w:val="21"/>
                      <w:rFonts w:hint="eastAsia" w:eastAsiaTheme="minorEastAsia"/>
                    </w:rPr>
                    <w:t>点</w:t>
                  </w:r>
                  <w:r>
                    <w:rPr>
                      <w:color w:val="auto"/>
                      <w:szCs w:val="21"/>
                      <w:rFonts w:eastAsiaTheme="minorEastAsia"/>
                    </w:rPr>
                    <w:t>设置应符合《危险废物贮存污染控制标准》（</w:t>
                  </w:r>
                  <w:r>
                    <w:rPr>
                      <w:color w:val="auto"/>
                      <w:szCs w:val="21"/>
                      <w:rFonts w:hint="eastAsia" w:eastAsiaTheme="minorEastAsia"/>
                    </w:rPr>
                    <w:t>GB18597-2023</w:t>
                  </w:r>
                  <w:r>
                    <w:rPr>
                      <w:color w:val="auto"/>
                      <w:szCs w:val="21"/>
                      <w:rFonts w:eastAsiaTheme="minorEastAsia"/>
                    </w:rPr>
                    <w:t>）相关要求。</w:t>
                  </w:r>
                </w:p>
              </w:tc>
              <w:tc>
                <w:tcPr>
                  <w:tcW w:w="466" w:type="pct"/>
                  <w:vMerge w:val="continue"/>
                  <w:vAlign w:val="center"/>
                </w:tcPr>
                <w:p w14:paraId="196036EB">
                  <w:pPr>
                    <w:jc w:val="center"/>
                    <w:contextualSpacing/>
                    <w:rPr>
                      <w:color w:val="auto"/>
                      <w:szCs w:val="21"/>
                    </w:rPr>
                  </w:pPr>
                </w:p>
              </w:tc>
            </w:tr>
            <w:tr w14:paraId="38DE7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50" w:hRule="atLeast"/>
                <w:jc w:val="center"/>
              </w:trPr>
              <w:tc>
                <w:tcPr>
                  <w:tcW w:w="431" w:type="pct"/>
                  <w:vMerge w:val="continue"/>
                  <w:vAlign w:val="center"/>
                  <w:shd w:val="clear" w:color="auto" w:fill="auto"/>
                </w:tcPr>
                <w:p w14:paraId="23145238">
                  <w:pPr>
                    <w:jc w:val="center"/>
                    <w:contextualSpacing/>
                    <w:rPr>
                      <w:color w:val="auto"/>
                      <w:szCs w:val="21"/>
                    </w:rPr>
                  </w:pPr>
                </w:p>
              </w:tc>
              <w:tc>
                <w:tcPr>
                  <w:tcW w:w="482" w:type="pct"/>
                  <w:vAlign w:val="center"/>
                  <w:shd w:val="clear" w:color="auto" w:fill="FFFFFF"/>
                </w:tcPr>
                <w:p w14:paraId="0C809F5E">
                  <w:pPr>
                    <w:jc w:val="center"/>
                    <w:contextualSpacing/>
                    <w:spacing w:line="0" w:lineRule="atLeast"/>
                    <w:rPr>
                      <w:color w:val="auto"/>
                      <w:lang w:val="en-US" w:eastAsia="zh-CN"/>
                      <w:szCs w:val="21"/>
                      <w:rFonts w:hint="default" w:eastAsiaTheme="minorEastAsia"/>
                    </w:rPr>
                  </w:pPr>
                  <w:r>
                    <w:rPr>
                      <w:color w:val="auto"/>
                      <w:lang w:val="en-US" w:eastAsia="zh-CN"/>
                      <w:szCs w:val="21"/>
                      <w:rFonts w:hint="eastAsia" w:eastAsiaTheme="minorEastAsia"/>
                    </w:rPr>
                    <w:t>沥青罐、矿粉仓</w:t>
                  </w:r>
                </w:p>
              </w:tc>
              <w:tc>
                <w:tcPr>
                  <w:tcW w:w="3619" w:type="pct"/>
                  <w:vAlign w:val="center"/>
                  <w:shd w:val="clear" w:color="auto" w:fill="FFFFFF"/>
                </w:tcPr>
                <w:p w14:paraId="28C32E1E">
                  <w:pPr>
                    <w:contextualSpacing/>
                    <w:spacing w:line="0" w:lineRule="atLeast"/>
                    <w:ind w:hanging="105" w:hangingChars="50" w:left="105"/>
                    <w:rPr>
                      <w:color w:val="auto"/>
                      <w:lang w:eastAsia="zh-CN"/>
                      <w:szCs w:val="21"/>
                      <w:rFonts w:hint="eastAsia" w:eastAsiaTheme="minorEastAsia"/>
                    </w:rPr>
                  </w:pPr>
                  <w:r>
                    <w:rPr>
                      <w:color w:val="auto"/>
                      <w:szCs w:val="21"/>
                      <w:rFonts w:eastAsiaTheme="minorEastAsia"/>
                    </w:rPr>
                    <w:t>沥青混凝土生产线配备</w:t>
                  </w:r>
                  <w:r>
                    <w:rPr>
                      <w:color w:val="auto"/>
                      <w:lang w:val="en-US" w:eastAsia="zh-CN"/>
                      <w:szCs w:val="21"/>
                      <w:rFonts w:hint="eastAsia" w:eastAsiaTheme="minorEastAsia"/>
                    </w:rPr>
                    <w:t>6</w:t>
                  </w:r>
                  <w:r>
                    <w:rPr>
                      <w:color w:val="auto"/>
                      <w:szCs w:val="21"/>
                      <w:rFonts w:eastAsiaTheme="minorEastAsia"/>
                    </w:rPr>
                    <w:t>个沥青罐（长1</w:t>
                  </w:r>
                  <w:r>
                    <w:rPr>
                      <w:color w:val="auto"/>
                      <w:szCs w:val="21"/>
                      <w:rFonts w:hint="eastAsia" w:eastAsiaTheme="minorEastAsia"/>
                    </w:rPr>
                    <w:t>1</w:t>
                  </w:r>
                  <w:r>
                    <w:rPr>
                      <w:color w:val="auto"/>
                      <w:szCs w:val="21"/>
                      <w:rFonts w:eastAsiaTheme="minorEastAsia"/>
                    </w:rPr>
                    <w:t>m直径3</w:t>
                  </w:r>
                  <w:r>
                    <w:rPr>
                      <w:color w:val="auto"/>
                      <w:szCs w:val="21"/>
                      <w:rFonts w:hint="eastAsia" w:eastAsiaTheme="minorEastAsia"/>
                    </w:rPr>
                    <w:t>.1</w:t>
                  </w:r>
                  <w:r>
                    <w:rPr>
                      <w:color w:val="auto"/>
                      <w:szCs w:val="21"/>
                      <w:rFonts w:eastAsiaTheme="minorEastAsia"/>
                    </w:rPr>
                    <w:t>m），储存量均为50吨，配备1个矿粉筒仓（高</w:t>
                  </w:r>
                  <w:r>
                    <w:rPr>
                      <w:color w:val="auto"/>
                      <w:szCs w:val="21"/>
                      <w:rFonts w:hint="eastAsia" w:eastAsiaTheme="minorEastAsia"/>
                    </w:rPr>
                    <w:t>20</w:t>
                  </w:r>
                  <w:r>
                    <w:rPr>
                      <w:color w:val="auto"/>
                      <w:szCs w:val="21"/>
                      <w:rFonts w:eastAsiaTheme="minorEastAsia"/>
                    </w:rPr>
                    <w:t>m直径</w:t>
                  </w:r>
                  <w:r>
                    <w:rPr>
                      <w:color w:val="auto"/>
                      <w:szCs w:val="21"/>
                      <w:rFonts w:hint="eastAsia" w:eastAsiaTheme="minorEastAsia"/>
                    </w:rPr>
                    <w:t>3.8</w:t>
                  </w:r>
                  <w:r>
                    <w:rPr>
                      <w:color w:val="auto"/>
                      <w:szCs w:val="21"/>
                      <w:rFonts w:eastAsiaTheme="minorEastAsia"/>
                    </w:rPr>
                    <w:t>m），储存量为</w:t>
                  </w:r>
                  <w:r>
                    <w:rPr>
                      <w:color w:val="auto"/>
                      <w:szCs w:val="21"/>
                      <w:rFonts w:hint="eastAsia" w:eastAsiaTheme="minorEastAsia"/>
                    </w:rPr>
                    <w:t>70</w:t>
                  </w:r>
                  <w:r>
                    <w:rPr>
                      <w:color w:val="auto"/>
                      <w:szCs w:val="21"/>
                      <w:rFonts w:eastAsiaTheme="minorEastAsia"/>
                    </w:rPr>
                    <w:t>吨</w:t>
                  </w:r>
                </w:p>
              </w:tc>
              <w:tc>
                <w:tcPr>
                  <w:tcW w:w="466" w:type="pct"/>
                  <w:vMerge w:val="continue"/>
                  <w:vAlign w:val="center"/>
                </w:tcPr>
                <w:p w14:paraId="0FAD4110">
                  <w:pPr>
                    <w:jc w:val="center"/>
                    <w:contextualSpacing/>
                    <w:rPr>
                      <w:color w:val="auto"/>
                      <w:szCs w:val="21"/>
                    </w:rPr>
                  </w:pPr>
                </w:p>
              </w:tc>
            </w:tr>
            <w:tr w14:paraId="282D6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50" w:hRule="atLeast"/>
                <w:jc w:val="center"/>
              </w:trPr>
              <w:tc>
                <w:tcPr>
                  <w:tcW w:w="431" w:type="pct"/>
                  <w:vMerge w:val="continue"/>
                  <w:vAlign w:val="center"/>
                  <w:shd w:val="clear" w:color="auto" w:fill="auto"/>
                </w:tcPr>
                <w:p w14:paraId="0E1063F9">
                  <w:pPr>
                    <w:jc w:val="center"/>
                    <w:contextualSpacing/>
                    <w:rPr>
                      <w:color w:val="auto"/>
                      <w:szCs w:val="21"/>
                    </w:rPr>
                  </w:pPr>
                </w:p>
              </w:tc>
              <w:tc>
                <w:tcPr>
                  <w:tcW w:w="482" w:type="pct"/>
                  <w:vAlign w:val="center"/>
                  <w:shd w:val="clear" w:color="auto" w:fill="FFFFFF"/>
                </w:tcPr>
                <w:p w14:paraId="013E5F47">
                  <w:pPr>
                    <w:jc w:val="center"/>
                    <w:contextualSpacing/>
                    <w:spacing w:line="0" w:lineRule="atLeast"/>
                    <w:rPr>
                      <w:color w:val="auto"/>
                      <w:szCs w:val="21"/>
                      <w:rFonts w:eastAsiaTheme="minorEastAsia"/>
                    </w:rPr>
                  </w:pPr>
                  <w:r>
                    <w:rPr>
                      <w:color w:val="auto"/>
                      <w:szCs w:val="21"/>
                      <w:rFonts w:hint="eastAsia" w:eastAsiaTheme="minorEastAsia"/>
                    </w:rPr>
                    <w:t>天然气</w:t>
                  </w:r>
                  <w:r>
                    <w:rPr>
                      <w:color w:val="auto"/>
                      <w:szCs w:val="21"/>
                      <w:rFonts w:eastAsiaTheme="minorEastAsia"/>
                    </w:rPr>
                    <w:t>罐车</w:t>
                  </w:r>
                </w:p>
              </w:tc>
              <w:tc>
                <w:tcPr>
                  <w:tcW w:w="3619" w:type="pct"/>
                  <w:vAlign w:val="center"/>
                  <w:shd w:val="clear" w:color="auto" w:fill="FFFFFF"/>
                </w:tcPr>
                <w:p w14:paraId="091A9AF7">
                  <w:pPr>
                    <w:contextualSpacing/>
                    <w:spacing w:line="0" w:lineRule="atLeast"/>
                    <w:ind w:hanging="105" w:hangingChars="50" w:left="105"/>
                    <w:rPr>
                      <w:color w:val="auto"/>
                      <w:szCs w:val="21"/>
                      <w:rFonts w:eastAsiaTheme="minorEastAsia"/>
                    </w:rPr>
                  </w:pPr>
                  <w:r>
                    <w:rPr>
                      <w:color w:val="auto"/>
                      <w:szCs w:val="21"/>
                      <w:rFonts w:eastAsiaTheme="minorEastAsia"/>
                    </w:rPr>
                    <w:t>共</w:t>
                  </w:r>
                  <w:r>
                    <w:rPr>
                      <w:color w:val="auto"/>
                      <w:szCs w:val="21"/>
                      <w:rFonts w:hint="eastAsia" w:eastAsiaTheme="minorEastAsia"/>
                    </w:rPr>
                    <w:t>2辆</w:t>
                  </w:r>
                  <w:r>
                    <w:rPr>
                      <w:color w:val="auto"/>
                      <w:szCs w:val="21"/>
                      <w:rFonts w:eastAsiaTheme="minorEastAsia"/>
                    </w:rPr>
                    <w:t>，每个罐车有</w:t>
                  </w:r>
                  <w:r>
                    <w:rPr>
                      <w:color w:val="auto"/>
                      <w:szCs w:val="21"/>
                      <w:rFonts w:hint="eastAsia" w:eastAsiaTheme="minorEastAsia"/>
                    </w:rPr>
                    <w:t>6个天然气气瓶，每辆罐车天然气</w:t>
                  </w:r>
                  <w:r>
                    <w:rPr>
                      <w:color w:val="auto"/>
                      <w:szCs w:val="21"/>
                      <w:rFonts w:eastAsiaTheme="minorEastAsia"/>
                    </w:rPr>
                    <w:t>储存量均为</w:t>
                  </w:r>
                  <w:r>
                    <w:rPr>
                      <w:color w:val="auto"/>
                      <w:szCs w:val="21"/>
                      <w:rFonts w:hint="eastAsia" w:eastAsiaTheme="minorEastAsia"/>
                    </w:rPr>
                    <w:t>4.43</w:t>
                  </w:r>
                  <w:r>
                    <w:rPr>
                      <w:color w:val="auto"/>
                      <w:szCs w:val="21"/>
                      <w:rFonts w:eastAsiaTheme="minorEastAsia"/>
                    </w:rPr>
                    <w:t>吨，共</w:t>
                  </w:r>
                  <w:r>
                    <w:rPr>
                      <w:color w:val="auto"/>
                      <w:szCs w:val="21"/>
                      <w:rFonts w:hint="eastAsia" w:eastAsiaTheme="minorEastAsia"/>
                    </w:rPr>
                    <w:t>8.86吨，</w:t>
                  </w:r>
                  <w:r>
                    <w:rPr>
                      <w:color w:val="auto"/>
                      <w:szCs w:val="21"/>
                      <w:rFonts w:eastAsiaTheme="minorEastAsia"/>
                    </w:rPr>
                    <w:t>用于存储</w:t>
                  </w:r>
                  <w:r>
                    <w:rPr>
                      <w:color w:val="auto"/>
                      <w:szCs w:val="21"/>
                      <w:rFonts w:hint="eastAsia" w:eastAsiaTheme="minorEastAsia"/>
                    </w:rPr>
                    <w:t>天然气</w:t>
                  </w:r>
                  <w:r>
                    <w:rPr>
                      <w:color w:val="auto"/>
                      <w:szCs w:val="21"/>
                      <w:rFonts w:eastAsiaTheme="minorEastAsia"/>
                    </w:rPr>
                    <w:t>，</w:t>
                  </w:r>
                  <w:r>
                    <w:rPr>
                      <w:color w:val="auto"/>
                      <w:szCs w:val="21"/>
                      <w:rFonts w:hint="eastAsia" w:eastAsiaTheme="minorEastAsia"/>
                    </w:rPr>
                    <w:t>天然气气瓶</w:t>
                  </w:r>
                  <w:r>
                    <w:rPr>
                      <w:color w:val="auto"/>
                      <w:szCs w:val="21"/>
                      <w:rFonts w:eastAsiaTheme="minorEastAsia"/>
                    </w:rPr>
                    <w:t>长1</w:t>
                  </w:r>
                  <w:r>
                    <w:rPr>
                      <w:color w:val="auto"/>
                      <w:szCs w:val="21"/>
                      <w:rFonts w:hint="eastAsia" w:eastAsiaTheme="minorEastAsia"/>
                    </w:rPr>
                    <w:t>3</w:t>
                  </w:r>
                  <w:r>
                    <w:rPr>
                      <w:color w:val="auto"/>
                      <w:szCs w:val="21"/>
                      <w:rFonts w:eastAsiaTheme="minorEastAsia"/>
                    </w:rPr>
                    <w:t>m直径</w:t>
                  </w:r>
                  <w:r>
                    <w:rPr>
                      <w:color w:val="auto"/>
                      <w:szCs w:val="21"/>
                      <w:rFonts w:hint="eastAsia" w:eastAsiaTheme="minorEastAsia"/>
                    </w:rPr>
                    <w:t>0.64</w:t>
                  </w:r>
                  <w:r>
                    <w:rPr>
                      <w:color w:val="auto"/>
                      <w:szCs w:val="21"/>
                      <w:rFonts w:eastAsiaTheme="minorEastAsia"/>
                    </w:rPr>
                    <w:t>m</w:t>
                  </w:r>
                </w:p>
              </w:tc>
              <w:tc>
                <w:tcPr>
                  <w:tcW w:w="466" w:type="pct"/>
                  <w:vMerge w:val="continue"/>
                  <w:vAlign w:val="center"/>
                </w:tcPr>
                <w:p w14:paraId="5778B2BC">
                  <w:pPr>
                    <w:jc w:val="center"/>
                    <w:contextualSpacing/>
                    <w:rPr>
                      <w:color w:val="auto"/>
                      <w:szCs w:val="21"/>
                    </w:rPr>
                  </w:pPr>
                </w:p>
              </w:tc>
            </w:tr>
            <w:tr w14:paraId="4884D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50" w:hRule="atLeast"/>
                <w:jc w:val="center"/>
              </w:trPr>
              <w:tc>
                <w:tcPr>
                  <w:tcW w:w="431" w:type="pct"/>
                  <w:vMerge w:val="continue"/>
                  <w:vAlign w:val="center"/>
                  <w:shd w:val="clear" w:color="auto" w:fill="auto"/>
                </w:tcPr>
                <w:p w14:paraId="227CF46F">
                  <w:pPr>
                    <w:jc w:val="center"/>
                    <w:contextualSpacing/>
                    <w:rPr>
                      <w:color w:val="auto"/>
                      <w:szCs w:val="21"/>
                    </w:rPr>
                  </w:pPr>
                </w:p>
              </w:tc>
              <w:tc>
                <w:tcPr>
                  <w:tcW w:w="482" w:type="pct"/>
                  <w:vAlign w:val="center"/>
                  <w:shd w:val="clear" w:color="auto" w:fill="FFFFFF"/>
                </w:tcPr>
                <w:p w14:paraId="48DA269A">
                  <w:pPr>
                    <w:jc w:val="center"/>
                    <w:contextualSpacing/>
                    <w:spacing w:line="0" w:lineRule="atLeast"/>
                    <w:rPr>
                      <w:color w:val="auto"/>
                      <w:szCs w:val="21"/>
                      <w:rFonts w:eastAsiaTheme="minorEastAsia"/>
                    </w:rPr>
                  </w:pPr>
                  <w:r>
                    <w:rPr>
                      <w:color w:val="auto"/>
                      <w:kern w:val="0"/>
                      <w:szCs w:val="21"/>
                      <w:rFonts w:hint="eastAsia" w:eastAsiaTheme="minorEastAsia"/>
                    </w:rPr>
                    <w:t>初期雨水池</w:t>
                  </w:r>
                </w:p>
              </w:tc>
              <w:tc>
                <w:tcPr>
                  <w:tcW w:w="3619" w:type="pct"/>
                  <w:vAlign w:val="center"/>
                  <w:shd w:val="clear" w:color="auto" w:fill="FFFFFF"/>
                </w:tcPr>
                <w:p w14:paraId="79170F93">
                  <w:pPr>
                    <w:contextualSpacing/>
                    <w:spacing w:line="0" w:lineRule="atLeast"/>
                    <w:ind w:hanging="105" w:hangingChars="50" w:left="105"/>
                    <w:rPr>
                      <w:color w:val="auto"/>
                      <w:szCs w:val="21"/>
                      <w:rFonts w:eastAsiaTheme="minorEastAsia"/>
                    </w:rPr>
                  </w:pPr>
                  <w:r>
                    <w:rPr>
                      <w:color w:val="auto"/>
                      <w:kern w:val="0"/>
                      <w:szCs w:val="21"/>
                      <w:rFonts w:hint="eastAsia" w:eastAsiaTheme="minorEastAsia"/>
                    </w:rPr>
                    <w:t>沥青搅拌站生产装置区域设置1座35m</w:t>
                  </w:r>
                  <w:r>
                    <w:rPr>
                      <w:vertAlign w:val="superscript"/>
                      <w:color w:val="auto"/>
                      <w:kern w:val="0"/>
                      <w:szCs w:val="21"/>
                      <w:rFonts w:hint="eastAsia" w:eastAsiaTheme="minorEastAsia"/>
                    </w:rPr>
                    <w:t>3</w:t>
                  </w:r>
                  <w:r>
                    <w:rPr>
                      <w:color w:val="auto"/>
                      <w:kern w:val="0"/>
                      <w:szCs w:val="21"/>
                      <w:rFonts w:hint="eastAsia" w:eastAsiaTheme="minorEastAsia"/>
                    </w:rPr>
                    <w:t>初期雨水池，</w:t>
                  </w:r>
                  <w:r>
                    <w:rPr>
                      <w:color w:val="auto"/>
                      <w:szCs w:val="21"/>
                      <w:rFonts w:hAnsiTheme="minorEastAsia" w:eastAsiaTheme="minorEastAsia"/>
                    </w:rPr>
                    <w:t>初期雨水经厂区四周排水沟汇入</w:t>
                  </w:r>
                  <w:r>
                    <w:rPr>
                      <w:color w:val="auto"/>
                      <w:szCs w:val="21"/>
                      <w:rFonts w:hint="eastAsia" w:hAnsiTheme="minorEastAsia" w:eastAsiaTheme="minorEastAsia"/>
                    </w:rPr>
                    <w:t>厂区</w:t>
                  </w:r>
                  <w:r>
                    <w:rPr>
                      <w:color w:val="auto"/>
                      <w:kern w:val="0"/>
                      <w:szCs w:val="21"/>
                      <w:rFonts w:hint="eastAsia" w:eastAsiaTheme="minorEastAsia"/>
                    </w:rPr>
                    <w:t>初期雨水池隔油沉淀处理后</w:t>
                  </w:r>
                  <w:r>
                    <w:rPr>
                      <w:color w:val="auto"/>
                      <w:szCs w:val="21"/>
                      <w:rFonts w:hAnsiTheme="minorEastAsia" w:eastAsiaTheme="minorEastAsia"/>
                    </w:rPr>
                    <w:t>，用于</w:t>
                  </w:r>
                  <w:r>
                    <w:rPr>
                      <w:color w:val="auto"/>
                      <w:szCs w:val="21"/>
                      <w:rFonts w:hint="eastAsia" w:hAnsiTheme="minorEastAsia" w:eastAsiaTheme="minorEastAsia"/>
                    </w:rPr>
                    <w:t>洒水</w:t>
                  </w:r>
                  <w:r>
                    <w:rPr>
                      <w:color w:val="auto"/>
                      <w:szCs w:val="21"/>
                      <w:rFonts w:hAnsiTheme="minorEastAsia" w:eastAsiaTheme="minorEastAsia"/>
                    </w:rPr>
                    <w:t>降尘，不外排。</w:t>
                  </w:r>
                </w:p>
              </w:tc>
              <w:tc>
                <w:tcPr>
                  <w:tcW w:w="466" w:type="pct"/>
                  <w:vAlign w:val="center"/>
                </w:tcPr>
                <w:p w14:paraId="7C76685D">
                  <w:pPr>
                    <w:jc w:val="center"/>
                    <w:contextualSpacing/>
                    <w:rPr>
                      <w:color w:val="auto"/>
                      <w:szCs w:val="21"/>
                    </w:rPr>
                  </w:pPr>
                </w:p>
              </w:tc>
            </w:tr>
            <w:tr w14:paraId="5E623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8" w:hRule="atLeast"/>
                <w:jc w:val="center"/>
              </w:trPr>
              <w:tc>
                <w:tcPr>
                  <w:tcW w:w="431" w:type="pct"/>
                  <w:vMerge w:val="restart"/>
                  <w:vAlign w:val="center"/>
                  <w:shd w:val="clear" w:color="auto" w:fill="auto"/>
                </w:tcPr>
                <w:p w14:paraId="686895AB">
                  <w:pPr>
                    <w:jc w:val="center"/>
                    <w:contextualSpacing/>
                    <w:rPr>
                      <w:color w:val="auto"/>
                      <w:szCs w:val="21"/>
                    </w:rPr>
                  </w:pPr>
                  <w:r>
                    <w:rPr>
                      <w:color w:val="auto"/>
                      <w:szCs w:val="21"/>
                    </w:rPr>
                    <w:t>辅助工程</w:t>
                  </w:r>
                </w:p>
              </w:tc>
              <w:tc>
                <w:tcPr>
                  <w:tcW w:w="482" w:type="pct"/>
                  <w:vAlign w:val="center"/>
                  <w:shd w:val="clear" w:color="auto" w:fill="FFFFFF"/>
                </w:tcPr>
                <w:p w14:paraId="0E4C0F9C">
                  <w:pPr>
                    <w:jc w:val="center"/>
                    <w:contextualSpacing/>
                    <w:rPr>
                      <w:color w:val="auto"/>
                      <w:lang w:eastAsia="zh-CN"/>
                      <w:szCs w:val="21"/>
                      <w:rFonts w:eastAsia="宋体" w:hint="eastAsia"/>
                    </w:rPr>
                  </w:pPr>
                  <w:r>
                    <w:rPr>
                      <w:color w:val="auto"/>
                      <w:szCs w:val="21"/>
                    </w:rPr>
                    <w:t>办公</w:t>
                  </w:r>
                  <w:r>
                    <w:rPr>
                      <w:color w:val="auto"/>
                      <w:lang w:val="en-US" w:eastAsia="zh-CN"/>
                      <w:szCs w:val="21"/>
                      <w:rFonts w:hint="eastAsia"/>
                    </w:rPr>
                    <w:t>区</w:t>
                  </w:r>
                </w:p>
              </w:tc>
              <w:tc>
                <w:tcPr>
                  <w:tcW w:w="3619" w:type="pct"/>
                  <w:vAlign w:val="center"/>
                  <w:shd w:val="clear" w:color="auto" w:fill="FFFFFF"/>
                </w:tcPr>
                <w:p w14:paraId="30D18144">
                  <w:pPr>
                    <w:jc w:val="left"/>
                    <w:contextualSpacing/>
                    <w:rPr>
                      <w:color w:val="auto"/>
                      <w:lang w:eastAsia="zh-CN"/>
                      <w:kern w:val="0"/>
                      <w:szCs w:val="21"/>
                      <w:rFonts w:eastAsia="宋体" w:hint="eastAsia"/>
                    </w:rPr>
                  </w:pPr>
                  <w:r>
                    <w:rPr>
                      <w:color w:val="auto"/>
                      <w:lang w:val="en-US" w:eastAsia="zh-CN"/>
                      <w:kern w:val="0"/>
                      <w:szCs w:val="21"/>
                      <w:rFonts w:hint="eastAsia"/>
                    </w:rPr>
                    <w:t>含办公室、控制室、食堂、会议室、实验室</w:t>
                  </w:r>
                  <w:r>
                    <w:rPr>
                      <w:color w:val="auto"/>
                      <w:kern w:val="0"/>
                      <w:szCs w:val="21"/>
                    </w:rPr>
                    <w:t>，建筑面积为</w:t>
                  </w:r>
                  <w:r>
                    <w:rPr>
                      <w:color w:val="auto"/>
                      <w:lang w:val="en-US" w:eastAsia="zh-CN"/>
                      <w:kern w:val="0"/>
                      <w:szCs w:val="21"/>
                      <w:rFonts w:hint="eastAsia"/>
                    </w:rPr>
                    <w:t>4</w:t>
                  </w:r>
                  <w:r>
                    <w:rPr>
                      <w:color w:val="auto"/>
                      <w:kern w:val="0"/>
                      <w:szCs w:val="21"/>
                    </w:rPr>
                    <w:t>00m</w:t>
                  </w:r>
                  <w:r>
                    <w:rPr>
                      <w:vertAlign w:val="superscript"/>
                      <w:color w:val="auto"/>
                      <w:kern w:val="0"/>
                      <w:szCs w:val="21"/>
                    </w:rPr>
                    <w:t>2</w:t>
                  </w:r>
                  <w:r>
                    <w:rPr>
                      <w:color w:val="auto"/>
                      <w:kern w:val="0"/>
                      <w:szCs w:val="21"/>
                    </w:rPr>
                    <w:t>，用于工作人员办公及休息</w:t>
                  </w:r>
                  <w:r>
                    <w:rPr>
                      <w:color w:val="auto"/>
                      <w:lang w:eastAsia="zh-CN"/>
                      <w:kern w:val="0"/>
                      <w:szCs w:val="21"/>
                      <w:rFonts w:hint="eastAsia"/>
                    </w:rPr>
                    <w:t>。</w:t>
                  </w:r>
                  <w:r>
                    <w:rPr>
                      <w:color w:val="auto"/>
                      <w:szCs w:val="21"/>
                      <w:rFonts w:eastAsiaTheme="minorEastAsia"/>
                    </w:rPr>
                    <w:t>实验室主要进行简单的成品抽样检测试验，检测产品强度，为物理实验，不涉及化学品的使用</w:t>
                  </w:r>
                </w:p>
              </w:tc>
              <w:tc>
                <w:tcPr>
                  <w:tcW w:w="466" w:type="pct"/>
                  <w:vAlign w:val="center"/>
                </w:tcPr>
                <w:p w14:paraId="2F813838">
                  <w:pPr>
                    <w:jc w:val="center"/>
                    <w:contextualSpacing/>
                    <w:rPr>
                      <w:color w:val="auto"/>
                      <w:szCs w:val="21"/>
                    </w:rPr>
                  </w:pPr>
                  <w:r>
                    <w:rPr>
                      <w:color w:val="auto"/>
                      <w:szCs w:val="21"/>
                      <w:rFonts w:hint="eastAsia"/>
                    </w:rPr>
                    <w:t>新</w:t>
                  </w:r>
                  <w:r>
                    <w:rPr>
                      <w:color w:val="auto"/>
                      <w:szCs w:val="21"/>
                    </w:rPr>
                    <w:t>建</w:t>
                  </w:r>
                </w:p>
              </w:tc>
            </w:tr>
            <w:tr w14:paraId="34A37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8" w:hRule="atLeast"/>
                <w:jc w:val="center"/>
              </w:trPr>
              <w:tc>
                <w:tcPr>
                  <w:tcW w:w="431" w:type="pct"/>
                  <w:vMerge w:val="continue"/>
                  <w:vAlign w:val="center"/>
                  <w:shd w:val="clear" w:color="auto" w:fill="auto"/>
                </w:tcPr>
                <w:p w14:paraId="1F6E4EAD">
                  <w:pPr>
                    <w:jc w:val="center"/>
                    <w:contextualSpacing/>
                    <w:rPr>
                      <w:color w:val="auto"/>
                      <w:szCs w:val="21"/>
                    </w:rPr>
                  </w:pPr>
                </w:p>
              </w:tc>
              <w:tc>
                <w:tcPr>
                  <w:tcW w:w="482" w:type="pct"/>
                  <w:vAlign w:val="center"/>
                  <w:shd w:val="clear" w:color="auto" w:fill="FFFFFF"/>
                </w:tcPr>
                <w:p w14:paraId="05567C04">
                  <w:pPr>
                    <w:jc w:val="center"/>
                    <w:contextualSpacing/>
                    <w:spacing w:line="0" w:lineRule="atLeast"/>
                    <w:rPr>
                      <w:color w:val="auto"/>
                      <w:lang w:val="en-US" w:eastAsia="zh-CN"/>
                      <w:szCs w:val="21"/>
                      <w:rFonts w:hint="eastAsia" w:eastAsiaTheme="minorEastAsia"/>
                    </w:rPr>
                  </w:pPr>
                  <w:r>
                    <w:rPr>
                      <w:color w:val="auto"/>
                      <w:lang w:val="en-US" w:eastAsia="zh-CN"/>
                      <w:szCs w:val="21"/>
                      <w:rFonts w:hint="eastAsia" w:eastAsiaTheme="minorEastAsia"/>
                    </w:rPr>
                    <w:t>库房</w:t>
                  </w:r>
                </w:p>
              </w:tc>
              <w:tc>
                <w:tcPr>
                  <w:tcW w:w="3619" w:type="pct"/>
                  <w:vAlign w:val="center"/>
                  <w:shd w:val="clear" w:color="auto" w:fill="FFFFFF"/>
                </w:tcPr>
                <w:p w14:paraId="14728627">
                  <w:pPr>
                    <w:contextualSpacing/>
                    <w:spacing w:line="0" w:lineRule="atLeast"/>
                    <w:rPr>
                      <w:color w:val="auto"/>
                      <w:lang w:val="en-US" w:eastAsia="zh-CN"/>
                      <w:szCs w:val="21"/>
                      <w:rFonts w:eastAsia="宋体" w:hint="default"/>
                    </w:rPr>
                  </w:pPr>
                  <w:r>
                    <w:rPr>
                      <w:color w:val="auto"/>
                      <w:lang w:val="en-US" w:eastAsia="zh-CN"/>
                      <w:szCs w:val="21"/>
                      <w:rFonts w:hint="eastAsia" w:eastAsiaTheme="minorEastAsia"/>
                    </w:rPr>
                    <w:t>库房2座，建筑面积</w:t>
                  </w:r>
                  <w:r>
                    <w:rPr>
                      <w:color w:val="auto"/>
                      <w:lang w:val="en-US" w:eastAsia="zh-CN"/>
                      <w:kern w:val="0"/>
                      <w:szCs w:val="21"/>
                      <w:rFonts w:hint="eastAsia"/>
                    </w:rPr>
                    <w:t>2</w:t>
                  </w:r>
                  <w:r>
                    <w:rPr>
                      <w:color w:val="auto"/>
                      <w:kern w:val="0"/>
                      <w:szCs w:val="21"/>
                    </w:rPr>
                    <w:t>00m</w:t>
                  </w:r>
                  <w:r>
                    <w:rPr>
                      <w:vertAlign w:val="superscript"/>
                      <w:color w:val="auto"/>
                      <w:kern w:val="0"/>
                      <w:szCs w:val="21"/>
                    </w:rPr>
                    <w:t>2</w:t>
                  </w:r>
                  <w:r>
                    <w:rPr>
                      <w:color w:val="auto"/>
                      <w:kern w:val="0"/>
                      <w:szCs w:val="21"/>
                    </w:rPr>
                    <w:t>，</w:t>
                  </w:r>
                  <w:r>
                    <w:rPr>
                      <w:color w:val="auto"/>
                      <w:lang w:val="en-US" w:eastAsia="zh-CN"/>
                      <w:kern w:val="0"/>
                      <w:szCs w:val="21"/>
                      <w:rFonts w:hint="eastAsia"/>
                    </w:rPr>
                    <w:t>用于存放工具等</w:t>
                  </w:r>
                </w:p>
              </w:tc>
              <w:tc>
                <w:tcPr>
                  <w:tcW w:w="466" w:type="pct"/>
                  <w:vAlign w:val="center"/>
                </w:tcPr>
                <w:p w14:paraId="775A829F">
                  <w:pPr>
                    <w:jc w:val="center"/>
                    <w:contextualSpacing/>
                    <w:rPr>
                      <w:color w:val="auto"/>
                      <w:szCs w:val="21"/>
                    </w:rPr>
                  </w:pPr>
                  <w:r>
                    <w:rPr>
                      <w:color w:val="auto"/>
                      <w:szCs w:val="21"/>
                    </w:rPr>
                    <w:t>新建</w:t>
                  </w:r>
                </w:p>
              </w:tc>
            </w:tr>
            <w:tr w14:paraId="5048D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8" w:hRule="atLeast"/>
                <w:jc w:val="center"/>
              </w:trPr>
              <w:tc>
                <w:tcPr>
                  <w:tcW w:w="431" w:type="pct"/>
                  <w:vMerge w:val="restart"/>
                  <w:vAlign w:val="center"/>
                  <w:shd w:val="clear" w:color="auto" w:fill="auto"/>
                </w:tcPr>
                <w:p w14:paraId="72EF7F36">
                  <w:pPr>
                    <w:jc w:val="center"/>
                    <w:contextualSpacing/>
                    <w:rPr>
                      <w:color w:val="auto"/>
                      <w:szCs w:val="21"/>
                    </w:rPr>
                  </w:pPr>
                  <w:r>
                    <w:rPr>
                      <w:color w:val="auto"/>
                      <w:szCs w:val="21"/>
                    </w:rPr>
                    <w:t>辅助工程</w:t>
                  </w:r>
                </w:p>
              </w:tc>
              <w:tc>
                <w:tcPr>
                  <w:tcW w:w="482" w:type="pct"/>
                  <w:vAlign w:val="center"/>
                  <w:shd w:val="clear" w:color="auto" w:fill="FFFFFF"/>
                </w:tcPr>
                <w:p w14:paraId="769E10C3">
                  <w:pPr>
                    <w:jc w:val="center"/>
                    <w:contextualSpacing/>
                    <w:spacing w:line="0" w:lineRule="atLeast"/>
                    <w:rPr>
                      <w:color w:val="auto"/>
                      <w:szCs w:val="21"/>
                      <w:rFonts w:eastAsiaTheme="minorEastAsia"/>
                    </w:rPr>
                  </w:pPr>
                  <w:r>
                    <w:rPr>
                      <w:color w:val="auto"/>
                      <w:szCs w:val="21"/>
                      <w:rFonts w:eastAsiaTheme="minorEastAsia"/>
                    </w:rPr>
                    <w:t>称房、门卫</w:t>
                  </w:r>
                </w:p>
              </w:tc>
              <w:tc>
                <w:tcPr>
                  <w:tcW w:w="3619" w:type="pct"/>
                  <w:vAlign w:val="center"/>
                  <w:shd w:val="clear" w:color="auto" w:fill="FFFFFF"/>
                </w:tcPr>
                <w:p w14:paraId="1FFA9E81">
                  <w:pPr>
                    <w:contextualSpacing/>
                    <w:spacing w:line="0" w:lineRule="atLeast"/>
                    <w:rPr>
                      <w:b w:val="1"/>
                      <w:color w:val="auto"/>
                      <w:lang w:eastAsia="zh-CN"/>
                      <w:szCs w:val="21"/>
                      <w:rFonts w:hint="eastAsia" w:eastAsiaTheme="minorEastAsia"/>
                    </w:rPr>
                  </w:pPr>
                  <w:r>
                    <w:rPr>
                      <w:color w:val="auto"/>
                      <w:szCs w:val="21"/>
                      <w:rFonts w:eastAsiaTheme="minorEastAsia"/>
                    </w:rPr>
                    <w:t>建筑面积</w:t>
                  </w:r>
                  <w:r>
                    <w:rPr>
                      <w:color w:val="auto"/>
                      <w:lang w:val="en-US" w:eastAsia="zh-CN"/>
                      <w:szCs w:val="21"/>
                      <w:rFonts w:hint="eastAsia" w:eastAsiaTheme="minorEastAsia"/>
                    </w:rPr>
                    <w:t>50</w:t>
                  </w:r>
                  <w:r>
                    <w:rPr>
                      <w:color w:val="auto"/>
                      <w:szCs w:val="21"/>
                      <w:rFonts w:eastAsiaTheme="minorEastAsia"/>
                    </w:rPr>
                    <w:t>m</w:t>
                  </w:r>
                  <w:r>
                    <w:rPr>
                      <w:vertAlign w:val="superscript"/>
                      <w:color w:val="auto"/>
                      <w:szCs w:val="21"/>
                      <w:rFonts w:eastAsiaTheme="minorEastAsia"/>
                    </w:rPr>
                    <w:t>2</w:t>
                  </w:r>
                </w:p>
              </w:tc>
              <w:tc>
                <w:tcPr>
                  <w:tcW w:w="466" w:type="pct"/>
                  <w:vMerge w:val="restart"/>
                  <w:vAlign w:val="center"/>
                </w:tcPr>
                <w:p w14:paraId="099AD9A3">
                  <w:pPr>
                    <w:jc w:val="center"/>
                    <w:contextualSpacing/>
                    <w:rPr>
                      <w:color w:val="auto"/>
                      <w:szCs w:val="21"/>
                    </w:rPr>
                  </w:pPr>
                </w:p>
              </w:tc>
            </w:tr>
            <w:tr w14:paraId="11CAF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8" w:hRule="atLeast"/>
                <w:jc w:val="center"/>
              </w:trPr>
              <w:tc>
                <w:tcPr>
                  <w:tcW w:w="431" w:type="pct"/>
                  <w:vMerge w:val="continue"/>
                  <w:vAlign w:val="center"/>
                  <w:shd w:val="clear" w:color="auto" w:fill="auto"/>
                </w:tcPr>
                <w:p w14:paraId="0C322DED">
                  <w:pPr>
                    <w:jc w:val="center"/>
                    <w:contextualSpacing/>
                    <w:rPr>
                      <w:color w:val="auto"/>
                      <w:szCs w:val="21"/>
                    </w:rPr>
                  </w:pPr>
                </w:p>
              </w:tc>
              <w:tc>
                <w:tcPr>
                  <w:tcW w:w="482" w:type="pct"/>
                  <w:vAlign w:val="center"/>
                  <w:shd w:val="clear" w:color="auto" w:fill="FFFFFF"/>
                </w:tcPr>
                <w:p w14:paraId="7567DD72">
                  <w:pPr>
                    <w:jc w:val="center"/>
                    <w:contextualSpacing/>
                    <w:rPr>
                      <w:color w:val="auto"/>
                      <w:szCs w:val="21"/>
                    </w:rPr>
                  </w:pPr>
                  <w:r>
                    <w:rPr>
                      <w:color w:val="auto"/>
                      <w:szCs w:val="21"/>
                    </w:rPr>
                    <w:t>锅炉房</w:t>
                  </w:r>
                </w:p>
              </w:tc>
              <w:tc>
                <w:tcPr>
                  <w:tcW w:w="3619" w:type="pct"/>
                  <w:vAlign w:val="center"/>
                  <w:shd w:val="clear" w:color="auto" w:fill="FFFFFF"/>
                </w:tcPr>
                <w:p w14:paraId="279DE12A">
                  <w:pPr>
                    <w:jc w:val="left"/>
                    <w:contextualSpacing/>
                    <w:rPr>
                      <w:color w:val="auto"/>
                      <w:kern w:val="0"/>
                      <w:szCs w:val="21"/>
                    </w:rPr>
                  </w:pPr>
                  <w:r>
                    <w:rPr>
                      <w:color w:val="auto"/>
                      <w:szCs w:val="21"/>
                      <w:rFonts w:eastAsiaTheme="minorEastAsia"/>
                    </w:rPr>
                    <w:t>建筑面积</w:t>
                  </w:r>
                  <w:r>
                    <w:rPr>
                      <w:color w:val="auto"/>
                      <w:lang w:val="en-US" w:eastAsia="zh-CN"/>
                      <w:szCs w:val="21"/>
                      <w:rFonts w:hint="eastAsia" w:eastAsiaTheme="minorEastAsia"/>
                    </w:rPr>
                    <w:t>50</w:t>
                  </w:r>
                  <w:r>
                    <w:rPr>
                      <w:color w:val="auto"/>
                      <w:szCs w:val="21"/>
                      <w:rFonts w:eastAsiaTheme="minorEastAsia"/>
                    </w:rPr>
                    <w:t>m</w:t>
                  </w:r>
                  <w:r>
                    <w:rPr>
                      <w:vertAlign w:val="superscript"/>
                      <w:color w:val="auto"/>
                      <w:szCs w:val="21"/>
                      <w:rFonts w:eastAsiaTheme="minorEastAsia"/>
                    </w:rPr>
                    <w:t>2</w:t>
                  </w:r>
                  <w:r>
                    <w:rPr>
                      <w:color w:val="auto"/>
                      <w:szCs w:val="21"/>
                      <w:rFonts w:eastAsiaTheme="minorEastAsia"/>
                    </w:rPr>
                    <w:t>，内设一台1台</w:t>
                  </w:r>
                  <w:r>
                    <w:rPr>
                      <w:color w:val="auto"/>
                      <w:lang w:val="en-US" w:eastAsia="zh-CN"/>
                      <w:szCs w:val="21"/>
                      <w:rFonts w:ascii="Times New Roman" w:hAnsi="Times New Roman" w:cs="Times New Roman" w:hint="eastAsia" w:eastAsiaTheme="minorEastAsia"/>
                    </w:rPr>
                    <w:t>1.5</w:t>
                  </w:r>
                  <w:r>
                    <w:rPr>
                      <w:color w:val="auto"/>
                      <w:szCs w:val="21"/>
                      <w:rFonts w:ascii="Times New Roman" w:hAnsi="Times New Roman" w:cs="Times New Roman" w:hint="eastAsia" w:eastAsiaTheme="minorEastAsia"/>
                    </w:rPr>
                    <w:t>t/h</w:t>
                  </w:r>
                  <w:r>
                    <w:rPr>
                      <w:color w:val="auto"/>
                      <w:szCs w:val="21"/>
                      <w:rFonts w:ascii="Times New Roman" w:hAnsi="Times New Roman" w:cs="Times New Roman" w:eastAsiaTheme="minorEastAsia"/>
                    </w:rPr>
                    <w:t>燃</w:t>
                  </w:r>
                  <w:r>
                    <w:rPr>
                      <w:color w:val="auto"/>
                      <w:lang w:val="en-US" w:eastAsia="zh-CN"/>
                      <w:szCs w:val="21"/>
                      <w:rFonts w:cs="Times New Roman" w:hint="eastAsia" w:eastAsiaTheme="minorEastAsia"/>
                    </w:rPr>
                    <w:t>气</w:t>
                  </w:r>
                  <w:r>
                    <w:rPr>
                      <w:color w:val="auto"/>
                      <w:szCs w:val="21"/>
                      <w:rFonts w:eastAsiaTheme="minorEastAsia"/>
                    </w:rPr>
                    <w:t>导热油炉间接加热沥青储罐</w:t>
                  </w:r>
                </w:p>
              </w:tc>
              <w:tc>
                <w:tcPr>
                  <w:tcW w:w="466" w:type="pct"/>
                  <w:vMerge w:val="continue"/>
                  <w:vAlign w:val="center"/>
                </w:tcPr>
                <w:p w14:paraId="05493535">
                  <w:pPr>
                    <w:jc w:val="center"/>
                    <w:contextualSpacing/>
                    <w:rPr>
                      <w:color w:val="auto"/>
                      <w:szCs w:val="21"/>
                    </w:rPr>
                  </w:pPr>
                </w:p>
              </w:tc>
            </w:tr>
            <w:tr w14:paraId="1CB8E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52" w:hRule="atLeast"/>
                <w:jc w:val="center"/>
              </w:trPr>
              <w:tc>
                <w:tcPr>
                  <w:tcW w:w="431" w:type="pct"/>
                  <w:vMerge w:val="restart"/>
                  <w:vAlign w:val="center"/>
                </w:tcPr>
                <w:p w14:paraId="14166AE2">
                  <w:pPr>
                    <w:jc w:val="center"/>
                    <w:contextualSpacing/>
                    <w:rPr>
                      <w:color w:val="auto"/>
                      <w:szCs w:val="21"/>
                    </w:rPr>
                  </w:pPr>
                  <w:r>
                    <w:rPr>
                      <w:color w:val="auto"/>
                      <w:szCs w:val="21"/>
                    </w:rPr>
                    <w:t>公用工程</w:t>
                  </w:r>
                </w:p>
              </w:tc>
              <w:tc>
                <w:tcPr>
                  <w:tcW w:w="482" w:type="pct"/>
                  <w:vAlign w:val="center"/>
                </w:tcPr>
                <w:p w14:paraId="46CC6A73">
                  <w:pPr>
                    <w:jc w:val="center"/>
                    <w:contextualSpacing/>
                    <w:spacing w:line="0" w:lineRule="atLeast"/>
                    <w:rPr>
                      <w:color w:val="auto"/>
                      <w:szCs w:val="21"/>
                      <w:rFonts w:eastAsiaTheme="minorEastAsia"/>
                    </w:rPr>
                  </w:pPr>
                  <w:r>
                    <w:rPr>
                      <w:color w:val="auto"/>
                      <w:szCs w:val="21"/>
                      <w:rFonts w:eastAsiaTheme="minorEastAsia"/>
                    </w:rPr>
                    <w:t>供水</w:t>
                  </w:r>
                </w:p>
              </w:tc>
              <w:tc>
                <w:tcPr>
                  <w:tcW w:w="3619" w:type="pct"/>
                  <w:vAlign w:val="center"/>
                </w:tcPr>
                <w:p w14:paraId="77B007E2">
                  <w:pPr>
                    <w:contextualSpacing/>
                    <w:spacing w:line="0" w:lineRule="atLeast"/>
                    <w:rPr>
                      <w:color w:val="auto"/>
                      <w:szCs w:val="21"/>
                      <w:rFonts w:eastAsiaTheme="minorEastAsia"/>
                    </w:rPr>
                  </w:pPr>
                  <w:r>
                    <w:rPr>
                      <w:color w:val="auto"/>
                      <w:szCs w:val="21"/>
                      <w:rFonts w:eastAsiaTheme="minorEastAsia"/>
                    </w:rPr>
                    <w:t>本项目用水采用厂区自打井，</w:t>
                  </w:r>
                  <w:r>
                    <w:rPr>
                      <w:color w:val="auto"/>
                      <w:szCs w:val="21"/>
                      <w:rFonts w:hint="eastAsia" w:eastAsiaTheme="minorEastAsia"/>
                    </w:rPr>
                    <w:t>本项目生产不用水，项目沥青混凝土车辆全部租赁，不涉及车辆清洗用水；厂区</w:t>
                  </w:r>
                  <w:r>
                    <w:rPr>
                      <w:color w:val="auto"/>
                      <w:szCs w:val="21"/>
                      <w:rFonts w:eastAsiaTheme="minorEastAsia"/>
                    </w:rPr>
                    <w:t>铲装集堆过程洒水喷淋</w:t>
                  </w:r>
                  <w:r>
                    <w:rPr>
                      <w:color w:val="auto"/>
                      <w:szCs w:val="21"/>
                      <w:rFonts w:hint="eastAsia" w:eastAsiaTheme="minorEastAsia"/>
                    </w:rPr>
                    <w:t>，日常不进行地面冲洗，不产生冲洗废水；项目用水主要为生活用水、喷淋降尘用水。</w:t>
                  </w:r>
                </w:p>
              </w:tc>
              <w:tc>
                <w:tcPr>
                  <w:tcW w:w="466" w:type="pct"/>
                  <w:vMerge w:val="continue"/>
                  <w:vAlign w:val="center"/>
                </w:tcPr>
                <w:p w14:paraId="4982A2A7">
                  <w:pPr>
                    <w:jc w:val="center"/>
                    <w:contextualSpacing/>
                    <w:rPr>
                      <w:color w:val="auto"/>
                      <w:szCs w:val="21"/>
                    </w:rPr>
                  </w:pPr>
                </w:p>
              </w:tc>
            </w:tr>
            <w:tr w14:paraId="19292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26" w:hRule="atLeast"/>
                <w:jc w:val="center"/>
              </w:trPr>
              <w:tc>
                <w:tcPr>
                  <w:tcW w:w="431" w:type="pct"/>
                  <w:vMerge w:val="continue"/>
                  <w:vAlign w:val="center"/>
                </w:tcPr>
                <w:p w14:paraId="3C11062C">
                  <w:pPr>
                    <w:jc w:val="center"/>
                    <w:contextualSpacing/>
                    <w:rPr>
                      <w:color w:val="auto"/>
                      <w:szCs w:val="21"/>
                    </w:rPr>
                  </w:pPr>
                </w:p>
              </w:tc>
              <w:tc>
                <w:tcPr>
                  <w:tcW w:w="482" w:type="pct"/>
                  <w:vAlign w:val="center"/>
                </w:tcPr>
                <w:p w14:paraId="03E1DF9C">
                  <w:pPr>
                    <w:jc w:val="center"/>
                    <w:contextualSpacing/>
                    <w:spacing w:line="0" w:lineRule="atLeast"/>
                    <w:rPr>
                      <w:color w:val="auto"/>
                      <w:szCs w:val="21"/>
                      <w:rFonts w:eastAsiaTheme="minorEastAsia"/>
                    </w:rPr>
                  </w:pPr>
                  <w:r>
                    <w:rPr>
                      <w:color w:val="auto"/>
                      <w:szCs w:val="21"/>
                      <w:rFonts w:eastAsiaTheme="minorEastAsia"/>
                    </w:rPr>
                    <w:t>排水</w:t>
                  </w:r>
                </w:p>
              </w:tc>
              <w:tc>
                <w:tcPr>
                  <w:tcW w:w="3619" w:type="pct"/>
                  <w:vAlign w:val="center"/>
                </w:tcPr>
                <w:p w14:paraId="223916B5">
                  <w:pPr>
                    <w:jc w:val="left"/>
                    <w:contextualSpacing/>
                    <w:spacing w:line="0" w:lineRule="atLeast"/>
                    <w:rPr>
                      <w:color w:val="auto"/>
                      <w:szCs w:val="21"/>
                      <w:rFonts w:eastAsiaTheme="minorEastAsia"/>
                    </w:rPr>
                  </w:pPr>
                  <w:r>
                    <w:rPr>
                      <w:color w:val="auto"/>
                      <w:szCs w:val="21"/>
                      <w:rFonts w:eastAsiaTheme="minorEastAsia"/>
                    </w:rPr>
                    <w:t>本项目无生产废水产生；生活污水排入防渗旱厕，定期清掏，外运堆肥，不外排。初期雨水经厂区四周排水沟汇入</w:t>
                  </w:r>
                  <w:r>
                    <w:rPr>
                      <w:color w:val="auto"/>
                      <w:szCs w:val="21"/>
                      <w:rFonts w:hint="eastAsia" w:eastAsiaTheme="minorEastAsia"/>
                    </w:rPr>
                    <w:t>厂区初期雨水池隔油沉淀处理后</w:t>
                  </w:r>
                  <w:r>
                    <w:rPr>
                      <w:color w:val="auto"/>
                      <w:szCs w:val="21"/>
                      <w:rFonts w:eastAsiaTheme="minorEastAsia"/>
                    </w:rPr>
                    <w:t>，用于</w:t>
                  </w:r>
                  <w:r>
                    <w:rPr>
                      <w:color w:val="auto"/>
                      <w:szCs w:val="21"/>
                      <w:rFonts w:hint="eastAsia" w:eastAsiaTheme="minorEastAsia"/>
                    </w:rPr>
                    <w:t>洒水</w:t>
                  </w:r>
                  <w:r>
                    <w:rPr>
                      <w:color w:val="auto"/>
                      <w:szCs w:val="21"/>
                      <w:rFonts w:eastAsiaTheme="minorEastAsia"/>
                    </w:rPr>
                    <w:t>降尘，不外排。</w:t>
                  </w:r>
                </w:p>
              </w:tc>
              <w:tc>
                <w:tcPr>
                  <w:tcW w:w="466" w:type="pct"/>
                  <w:vMerge w:val="continue"/>
                  <w:vAlign w:val="center"/>
                </w:tcPr>
                <w:p w14:paraId="4FAAC7D0">
                  <w:pPr>
                    <w:jc w:val="center"/>
                    <w:contextualSpacing/>
                    <w:rPr>
                      <w:color w:val="auto"/>
                      <w:szCs w:val="21"/>
                    </w:rPr>
                  </w:pPr>
                </w:p>
              </w:tc>
            </w:tr>
            <w:tr w14:paraId="7CF5B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continue"/>
                  <w:vAlign w:val="center"/>
                </w:tcPr>
                <w:p w14:paraId="3E6E7552">
                  <w:pPr>
                    <w:jc w:val="center"/>
                    <w:contextualSpacing/>
                    <w:rPr>
                      <w:color w:val="auto"/>
                      <w:szCs w:val="21"/>
                    </w:rPr>
                  </w:pPr>
                </w:p>
              </w:tc>
              <w:tc>
                <w:tcPr>
                  <w:tcW w:w="482" w:type="pct"/>
                  <w:vAlign w:val="center"/>
                </w:tcPr>
                <w:p w14:paraId="46914FCF">
                  <w:pPr>
                    <w:jc w:val="center"/>
                    <w:contextualSpacing/>
                    <w:rPr>
                      <w:color w:val="auto"/>
                      <w:szCs w:val="21"/>
                    </w:rPr>
                  </w:pPr>
                  <w:r>
                    <w:rPr>
                      <w:color w:val="auto"/>
                      <w:szCs w:val="21"/>
                    </w:rPr>
                    <w:t>供热</w:t>
                  </w:r>
                </w:p>
              </w:tc>
              <w:tc>
                <w:tcPr>
                  <w:tcW w:w="3619" w:type="pct"/>
                  <w:vAlign w:val="center"/>
                </w:tcPr>
                <w:p w14:paraId="7E696DF0">
                  <w:pPr>
                    <w:jc w:val="left"/>
                    <w:contextualSpacing/>
                    <w:rPr>
                      <w:color w:val="auto"/>
                      <w:lang w:val="en-US" w:eastAsia="zh-CN"/>
                      <w:szCs w:val="21"/>
                      <w:rFonts w:eastAsia="宋体" w:hint="default"/>
                    </w:rPr>
                  </w:pPr>
                  <w:r>
                    <w:rPr>
                      <w:color w:val="auto"/>
                      <w:szCs w:val="21"/>
                    </w:rPr>
                    <w:t>本项目</w:t>
                  </w:r>
                  <w:r>
                    <w:rPr>
                      <w:color w:val="auto"/>
                      <w:lang w:val="en-US" w:eastAsia="zh-CN"/>
                      <w:szCs w:val="21"/>
                      <w:rFonts w:hint="eastAsia"/>
                    </w:rPr>
                    <w:t>办公室使用电暖气</w:t>
                  </w:r>
                </w:p>
              </w:tc>
              <w:tc>
                <w:tcPr>
                  <w:tcW w:w="466" w:type="pct"/>
                  <w:vMerge w:val="continue"/>
                  <w:vAlign w:val="center"/>
                </w:tcPr>
                <w:p w14:paraId="417F5F15">
                  <w:pPr>
                    <w:jc w:val="center"/>
                    <w:contextualSpacing/>
                    <w:rPr>
                      <w:color w:val="auto"/>
                      <w:szCs w:val="21"/>
                    </w:rPr>
                  </w:pPr>
                </w:p>
              </w:tc>
            </w:tr>
            <w:tr w14:paraId="07027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continue"/>
                  <w:vAlign w:val="center"/>
                </w:tcPr>
                <w:p w14:paraId="1FC57C59">
                  <w:pPr>
                    <w:jc w:val="center"/>
                    <w:contextualSpacing/>
                    <w:rPr>
                      <w:color w:val="auto"/>
                      <w:szCs w:val="21"/>
                    </w:rPr>
                  </w:pPr>
                </w:p>
              </w:tc>
              <w:tc>
                <w:tcPr>
                  <w:tcW w:w="482" w:type="pct"/>
                  <w:vAlign w:val="center"/>
                </w:tcPr>
                <w:p w14:paraId="4A07E339">
                  <w:pPr>
                    <w:jc w:val="center"/>
                    <w:contextualSpacing/>
                    <w:rPr>
                      <w:color w:val="auto"/>
                      <w:szCs w:val="21"/>
                    </w:rPr>
                  </w:pPr>
                  <w:r>
                    <w:rPr>
                      <w:color w:val="auto"/>
                      <w:szCs w:val="21"/>
                    </w:rPr>
                    <w:t>供电</w:t>
                  </w:r>
                </w:p>
              </w:tc>
              <w:tc>
                <w:tcPr>
                  <w:tcW w:w="3619" w:type="pct"/>
                  <w:vAlign w:val="center"/>
                </w:tcPr>
                <w:p w14:paraId="7D1B71F9">
                  <w:pPr>
                    <w:jc w:val="left"/>
                    <w:contextualSpacing/>
                    <w:rPr>
                      <w:color w:val="auto"/>
                      <w:szCs w:val="21"/>
                    </w:rPr>
                  </w:pPr>
                  <w:r>
                    <w:rPr>
                      <w:color w:val="auto"/>
                      <w:szCs w:val="21"/>
                    </w:rPr>
                    <w:t>由当地供电系统提供</w:t>
                  </w:r>
                </w:p>
              </w:tc>
              <w:tc>
                <w:tcPr>
                  <w:tcW w:w="466" w:type="pct"/>
                  <w:vMerge w:val="continue"/>
                  <w:vAlign w:val="center"/>
                </w:tcPr>
                <w:p w14:paraId="508E4D96">
                  <w:pPr>
                    <w:jc w:val="center"/>
                    <w:contextualSpacing/>
                    <w:rPr>
                      <w:color w:val="auto"/>
                      <w:szCs w:val="21"/>
                    </w:rPr>
                  </w:pPr>
                </w:p>
              </w:tc>
            </w:tr>
            <w:tr w14:paraId="3A3E5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restart"/>
                  <w:vAlign w:val="center"/>
                </w:tcPr>
                <w:p w14:paraId="33FAC736">
                  <w:pPr>
                    <w:jc w:val="center"/>
                    <w:contextualSpacing/>
                    <w:rPr>
                      <w:color w:val="auto"/>
                      <w:szCs w:val="21"/>
                    </w:rPr>
                  </w:pPr>
                  <w:r>
                    <w:rPr>
                      <w:color w:val="auto"/>
                      <w:szCs w:val="21"/>
                    </w:rPr>
                    <w:t>环保工程</w:t>
                  </w:r>
                </w:p>
              </w:tc>
              <w:tc>
                <w:tcPr>
                  <w:tcW w:w="482" w:type="pct"/>
                  <w:vAlign w:val="center"/>
                </w:tcPr>
                <w:p w14:paraId="454F1B46">
                  <w:pPr>
                    <w:jc w:val="center"/>
                    <w:contextualSpacing/>
                    <w:rPr>
                      <w:color w:val="auto"/>
                      <w:szCs w:val="21"/>
                    </w:rPr>
                  </w:pPr>
                  <w:r>
                    <w:rPr>
                      <w:color w:val="auto"/>
                      <w:szCs w:val="21"/>
                    </w:rPr>
                    <w:t>废水</w:t>
                  </w:r>
                </w:p>
              </w:tc>
              <w:tc>
                <w:tcPr>
                  <w:tcW w:w="3619" w:type="pct"/>
                  <w:vAlign w:val="center"/>
                </w:tcPr>
                <w:p w14:paraId="1CA5AB07">
                  <w:pPr>
                    <w:jc w:val="left"/>
                    <w:contextualSpacing/>
                    <w:rPr>
                      <w:color w:val="auto"/>
                      <w:szCs w:val="21"/>
                    </w:rPr>
                  </w:pPr>
                  <w:r>
                    <w:rPr>
                      <w:color w:val="auto"/>
                      <w:szCs w:val="21"/>
                    </w:rPr>
                    <w:t>本项目无生产废水产生；</w:t>
                  </w:r>
                  <w:r>
                    <w:rPr>
                      <w:color w:val="auto"/>
                      <w:bCs/>
                      <w:szCs w:val="21"/>
                    </w:rPr>
                    <w:t>生活污水排入防渗旱厕，定期清掏，外运堆肥，不外排。</w:t>
                  </w:r>
                  <w:r>
                    <w:rPr>
                      <w:color w:val="auto"/>
                      <w:szCs w:val="21"/>
                      <w:rFonts w:hAnsiTheme="minorEastAsia" w:eastAsiaTheme="minorEastAsia"/>
                    </w:rPr>
                    <w:t>初期雨水经厂区四周排水沟汇入</w:t>
                  </w:r>
                  <w:r>
                    <w:rPr>
                      <w:color w:val="auto"/>
                      <w:szCs w:val="21"/>
                      <w:rFonts w:hint="eastAsia" w:hAnsiTheme="minorEastAsia" w:eastAsiaTheme="minorEastAsia"/>
                    </w:rPr>
                    <w:t>厂区</w:t>
                  </w:r>
                  <w:r>
                    <w:rPr>
                      <w:color w:val="auto"/>
                      <w:kern w:val="0"/>
                      <w:szCs w:val="21"/>
                      <w:rFonts w:hint="eastAsia" w:eastAsiaTheme="minorEastAsia"/>
                    </w:rPr>
                    <w:t>初期雨水池隔油沉淀处理后</w:t>
                  </w:r>
                  <w:r>
                    <w:rPr>
                      <w:color w:val="auto"/>
                      <w:szCs w:val="21"/>
                      <w:rFonts w:hAnsiTheme="minorEastAsia" w:eastAsiaTheme="minorEastAsia"/>
                    </w:rPr>
                    <w:t>，用于</w:t>
                  </w:r>
                  <w:r>
                    <w:rPr>
                      <w:color w:val="auto"/>
                      <w:szCs w:val="21"/>
                      <w:rFonts w:hint="eastAsia" w:hAnsiTheme="minorEastAsia" w:eastAsiaTheme="minorEastAsia"/>
                    </w:rPr>
                    <w:t>洒水</w:t>
                  </w:r>
                  <w:r>
                    <w:rPr>
                      <w:color w:val="auto"/>
                      <w:szCs w:val="21"/>
                      <w:rFonts w:hAnsiTheme="minorEastAsia" w:eastAsiaTheme="minorEastAsia"/>
                    </w:rPr>
                    <w:t>降尘，不外排。</w:t>
                  </w:r>
                </w:p>
              </w:tc>
              <w:tc>
                <w:tcPr>
                  <w:tcW w:w="466" w:type="pct"/>
                  <w:vMerge w:val="continue"/>
                  <w:vAlign w:val="center"/>
                </w:tcPr>
                <w:p w14:paraId="289AC69C">
                  <w:pPr>
                    <w:jc w:val="center"/>
                    <w:contextualSpacing/>
                    <w:rPr>
                      <w:color w:val="auto"/>
                      <w:szCs w:val="21"/>
                    </w:rPr>
                  </w:pPr>
                </w:p>
              </w:tc>
            </w:tr>
            <w:tr w14:paraId="7D99C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continue"/>
                  <w:vAlign w:val="center"/>
                </w:tcPr>
                <w:p w14:paraId="0FB995AF">
                  <w:pPr>
                    <w:jc w:val="center"/>
                    <w:contextualSpacing/>
                    <w:rPr>
                      <w:color w:val="auto"/>
                      <w:szCs w:val="21"/>
                    </w:rPr>
                  </w:pPr>
                </w:p>
              </w:tc>
              <w:tc>
                <w:tcPr>
                  <w:tcW w:w="482" w:type="pct"/>
                  <w:vAlign w:val="center"/>
                </w:tcPr>
                <w:p w14:paraId="5988968C">
                  <w:pPr>
                    <w:jc w:val="center"/>
                    <w:contextualSpacing/>
                    <w:rPr>
                      <w:color w:val="auto"/>
                      <w:szCs w:val="21"/>
                    </w:rPr>
                  </w:pPr>
                  <w:r>
                    <w:rPr>
                      <w:color w:val="auto"/>
                      <w:szCs w:val="21"/>
                    </w:rPr>
                    <w:t>噪声</w:t>
                  </w:r>
                </w:p>
              </w:tc>
              <w:tc>
                <w:tcPr>
                  <w:tcW w:w="3619" w:type="pct"/>
                  <w:vAlign w:val="center"/>
                </w:tcPr>
                <w:p w14:paraId="2B96624C">
                  <w:pPr>
                    <w:jc w:val="left"/>
                    <w:contextualSpacing/>
                    <w:rPr>
                      <w:color w:val="auto"/>
                      <w:lang w:eastAsia="zh-CN"/>
                      <w:szCs w:val="21"/>
                      <w:rFonts w:eastAsia="宋体" w:hint="eastAsia"/>
                    </w:rPr>
                  </w:pPr>
                  <w:r>
                    <w:rPr>
                      <w:color w:val="auto"/>
                      <w:szCs w:val="21"/>
                    </w:rPr>
                    <w:t>选用低噪声设备，加装减振、</w:t>
                  </w:r>
                  <w:r>
                    <w:rPr>
                      <w:color w:val="auto"/>
                      <w:bCs/>
                      <w:szCs w:val="21"/>
                    </w:rPr>
                    <w:t>车辆限速管理、禁止鸣笛等措施</w:t>
                  </w:r>
                  <w:r>
                    <w:rPr>
                      <w:color w:val="auto"/>
                      <w:lang w:eastAsia="zh-CN"/>
                      <w:bCs/>
                      <w:szCs w:val="21"/>
                      <w:rFonts w:hint="eastAsia"/>
                    </w:rPr>
                    <w:t>。</w:t>
                  </w:r>
                </w:p>
              </w:tc>
              <w:tc>
                <w:tcPr>
                  <w:tcW w:w="466" w:type="pct"/>
                  <w:vMerge w:val="continue"/>
                  <w:vAlign w:val="center"/>
                </w:tcPr>
                <w:p w14:paraId="47FFE403">
                  <w:pPr>
                    <w:jc w:val="center"/>
                    <w:contextualSpacing/>
                    <w:rPr>
                      <w:color w:val="auto"/>
                      <w:szCs w:val="21"/>
                    </w:rPr>
                  </w:pPr>
                </w:p>
              </w:tc>
            </w:tr>
            <w:tr w14:paraId="6A0A4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jc w:val="center"/>
              </w:trPr>
              <w:tc>
                <w:tcPr>
                  <w:tcW w:w="431" w:type="pct"/>
                  <w:vAlign w:val="center"/>
                </w:tcPr>
                <w:p w14:paraId="1D1EA31D">
                  <w:pPr>
                    <w:jc w:val="center"/>
                    <w:contextualSpacing/>
                    <w:rPr>
                      <w:color w:val="auto"/>
                      <w:szCs w:val="21"/>
                    </w:rPr>
                  </w:pPr>
                  <w:r>
                    <w:rPr>
                      <w:color w:val="auto"/>
                      <w:szCs w:val="21"/>
                    </w:rPr>
                    <w:t>环保工程</w:t>
                  </w:r>
                </w:p>
              </w:tc>
              <w:tc>
                <w:tcPr>
                  <w:tcW w:w="482" w:type="pct"/>
                  <w:vAlign w:val="center"/>
                </w:tcPr>
                <w:p w14:paraId="3BCAE916">
                  <w:pPr>
                    <w:jc w:val="center"/>
                    <w:contextualSpacing/>
                    <w:rPr>
                      <w:color w:val="auto"/>
                      <w:szCs w:val="21"/>
                    </w:rPr>
                  </w:pPr>
                  <w:r>
                    <w:rPr>
                      <w:color w:val="auto"/>
                      <w:szCs w:val="21"/>
                    </w:rPr>
                    <w:t>废气</w:t>
                  </w:r>
                </w:p>
              </w:tc>
              <w:tc>
                <w:tcPr>
                  <w:tcW w:w="3619" w:type="pct"/>
                  <w:vAlign w:val="center"/>
                </w:tcPr>
                <w:p w14:paraId="629FFFAA">
                  <w:pPr>
                    <w:jc w:val="left"/>
                    <w:contextualSpacing/>
                    <w:spacing w:line="0" w:lineRule="atLeast"/>
                    <w:rPr>
                      <w:color w:val="auto"/>
                      <w:bCs/>
                      <w:szCs w:val="21"/>
                      <w:rFonts w:eastAsiaTheme="minorEastAsia"/>
                    </w:rPr>
                  </w:pPr>
                  <w:r>
                    <w:rPr>
                      <w:color w:val="auto"/>
                      <w:szCs w:val="21"/>
                      <w:rFonts w:eastAsiaTheme="minorEastAsia"/>
                    </w:rPr>
                    <w:t>1</w:t>
                  </w:r>
                  <w:r>
                    <w:rPr>
                      <w:color w:val="auto"/>
                      <w:bCs/>
                      <w:szCs w:val="21"/>
                      <w:rFonts w:eastAsiaTheme="minorEastAsia"/>
                    </w:rPr>
                    <w:t>、原料输送、堆场粉尘、</w:t>
                  </w:r>
                  <w:r>
                    <w:rPr>
                      <w:color w:val="auto"/>
                      <w:bCs/>
                      <w:szCs w:val="21"/>
                      <w:rFonts w:hint="eastAsia" w:eastAsiaTheme="minorEastAsia"/>
                    </w:rPr>
                    <w:t>铲装集堆</w:t>
                  </w:r>
                  <w:r>
                    <w:rPr>
                      <w:color w:val="auto"/>
                      <w:bCs/>
                      <w:szCs w:val="21"/>
                      <w:rFonts w:eastAsiaTheme="minorEastAsia"/>
                    </w:rPr>
                    <w:t>粉尘</w:t>
                  </w:r>
                </w:p>
                <w:p w14:paraId="619A2785">
                  <w:pPr>
                    <w:jc w:val="left"/>
                    <w:contextualSpacing/>
                    <w:spacing w:line="0" w:lineRule="atLeast"/>
                    <w:rPr>
                      <w:color w:val="auto"/>
                      <w:lang w:eastAsia="zh-CN"/>
                      <w:bCs/>
                      <w:szCs w:val="21"/>
                      <w:rFonts w:hint="eastAsia" w:eastAsiaTheme="minorEastAsia"/>
                    </w:rPr>
                  </w:pPr>
                  <w:r>
                    <w:rPr>
                      <w:color w:val="auto"/>
                      <w:bCs/>
                      <w:szCs w:val="21"/>
                      <w:rFonts w:eastAsiaTheme="minorEastAsia"/>
                    </w:rPr>
                    <w:t>本项目矿粉采用封闭式罐车运入厂区，碎石运输车辆全部采用苫布覆盖，运输过程做到不超载，不滴、撒、漏，厂区地面洒水降尘；原料的输送、计量及投料均为封闭式。搅拌站整体封闭；厂区设置防风抑尘网</w:t>
                  </w:r>
                  <w:r>
                    <w:rPr>
                      <w:color w:val="auto"/>
                      <w:bCs/>
                      <w:szCs w:val="21"/>
                      <w:rFonts w:hint="eastAsia" w:eastAsiaTheme="minorEastAsia"/>
                    </w:rPr>
                    <w:t>，</w:t>
                  </w:r>
                  <w:r>
                    <w:rPr>
                      <w:color w:val="auto"/>
                      <w:bCs/>
                      <w:szCs w:val="21"/>
                      <w:rFonts w:eastAsiaTheme="minorEastAsia"/>
                    </w:rPr>
                    <w:t>堆场</w:t>
                  </w:r>
                  <w:r>
                    <w:rPr>
                      <w:color w:val="auto"/>
                      <w:kern w:val="0"/>
                      <w:szCs w:val="21"/>
                      <w:rFonts w:hint="eastAsia"/>
                    </w:rPr>
                    <w:t>每天洒水抑尘2次，</w:t>
                  </w:r>
                  <w:r>
                    <w:rPr>
                      <w:color w:val="auto"/>
                      <w:bCs/>
                      <w:szCs w:val="21"/>
                      <w:rFonts w:eastAsiaTheme="minorEastAsia"/>
                    </w:rPr>
                    <w:t>铲装集堆过程洒水喷淋</w:t>
                  </w:r>
                  <w:r>
                    <w:rPr>
                      <w:color w:val="auto"/>
                      <w:lang w:eastAsia="zh-CN"/>
                      <w:bCs/>
                      <w:szCs w:val="21"/>
                      <w:rFonts w:hint="eastAsia" w:eastAsiaTheme="minorEastAsia"/>
                    </w:rPr>
                    <w:t>。</w:t>
                  </w:r>
                </w:p>
                <w:p w14:paraId="6BD9A8AB">
                  <w:pPr>
                    <w:jc w:val="left"/>
                    <w:contextualSpacing/>
                    <w:spacing w:line="0" w:lineRule="atLeast"/>
                    <w:rPr>
                      <w:color w:val="auto"/>
                      <w:bCs/>
                      <w:szCs w:val="21"/>
                      <w:rFonts w:eastAsiaTheme="minorEastAsia"/>
                    </w:rPr>
                  </w:pPr>
                  <w:r>
                    <w:rPr>
                      <w:color w:val="auto"/>
                      <w:bCs/>
                      <w:szCs w:val="21"/>
                      <w:rFonts w:eastAsiaTheme="minorEastAsia"/>
                    </w:rPr>
                    <w:t>2、冷料仓上料粉尘</w:t>
                  </w:r>
                </w:p>
                <w:p w14:paraId="00C04EBA">
                  <w:pPr>
                    <w:jc w:val="left"/>
                    <w:contextualSpacing/>
                    <w:spacing w:line="0" w:lineRule="atLeast"/>
                    <w:rPr>
                      <w:color w:val="auto"/>
                      <w:lang w:eastAsia="zh-CN"/>
                      <w:szCs w:val="21"/>
                      <w:rFonts w:hint="eastAsia" w:eastAsiaTheme="minorEastAsia"/>
                    </w:rPr>
                  </w:pPr>
                  <w:r>
                    <w:rPr>
                      <w:color w:val="auto"/>
                      <w:bCs/>
                      <w:szCs w:val="21"/>
                      <w:rFonts w:eastAsiaTheme="minorEastAsia"/>
                    </w:rPr>
                    <w:t>本项目</w:t>
                  </w:r>
                  <w:r>
                    <w:rPr>
                      <w:color w:val="auto"/>
                      <w:lang w:val="en-US" w:eastAsia="zh-CN"/>
                      <w:bCs/>
                      <w:szCs w:val="21"/>
                      <w:rFonts w:hint="eastAsia" w:eastAsiaTheme="minorEastAsia"/>
                    </w:rPr>
                    <w:t>骨料</w:t>
                  </w:r>
                  <w:r>
                    <w:rPr>
                      <w:color w:val="auto"/>
                      <w:bCs/>
                      <w:szCs w:val="21"/>
                      <w:rFonts w:eastAsiaTheme="minorEastAsia"/>
                    </w:rPr>
                    <w:t>在上料时会产生粉尘，在冷料仓</w:t>
                  </w:r>
                  <w:r>
                    <w:rPr>
                      <w:color w:val="auto"/>
                      <w:bCs/>
                      <w:szCs w:val="21"/>
                      <w:rFonts w:hint="eastAsia" w:eastAsiaTheme="minorEastAsia"/>
                    </w:rPr>
                    <w:t>设置集气装置</w:t>
                  </w:r>
                  <w:r>
                    <w:rPr>
                      <w:color w:val="auto"/>
                      <w:bCs/>
                      <w:szCs w:val="21"/>
                      <w:rFonts w:eastAsiaTheme="minorEastAsia"/>
                    </w:rPr>
                    <w:t>（集气效率</w:t>
                  </w:r>
                  <w:r>
                    <w:rPr>
                      <w:color w:val="auto"/>
                      <w:bCs/>
                      <w:szCs w:val="21"/>
                      <w:rFonts w:hint="eastAsia" w:eastAsiaTheme="minorEastAsia"/>
                    </w:rPr>
                    <w:t>90%</w:t>
                  </w:r>
                  <w:r>
                    <w:rPr>
                      <w:color w:val="auto"/>
                      <w:bCs/>
                      <w:szCs w:val="21"/>
                      <w:rFonts w:eastAsiaTheme="minorEastAsia"/>
                    </w:rPr>
                    <w:t>），</w:t>
                  </w:r>
                  <w:r>
                    <w:rPr>
                      <w:color w:val="auto"/>
                      <w:bCs/>
                      <w:szCs w:val="21"/>
                      <w:rFonts w:hint="eastAsia" w:eastAsiaTheme="minorEastAsia"/>
                    </w:rPr>
                    <w:t>通过</w:t>
                  </w:r>
                  <w:r>
                    <w:rPr>
                      <w:color w:val="auto"/>
                      <w:bCs/>
                      <w:szCs w:val="21"/>
                      <w:rFonts w:eastAsiaTheme="minorEastAsia"/>
                    </w:rPr>
                    <w:t>管道连接至除尘系统</w:t>
                  </w:r>
                  <w:r>
                    <w:rPr>
                      <w:color w:val="auto"/>
                      <w:bCs/>
                      <w:szCs w:val="21"/>
                      <w:rFonts w:eastAsiaTheme="minorEastAsia"/>
                    </w:rPr>
                    <w:t>（重力</w:t>
                  </w:r>
                  <w:r>
                    <w:rPr>
                      <w:color w:val="auto"/>
                      <w:bCs/>
                      <w:szCs w:val="21"/>
                      <w:rFonts w:hint="eastAsia" w:eastAsiaTheme="minorEastAsia"/>
                    </w:rPr>
                    <w:t>+布袋</w:t>
                  </w:r>
                  <w:r>
                    <w:rPr>
                      <w:color w:val="auto"/>
                      <w:bCs/>
                      <w:szCs w:val="21"/>
                      <w:rFonts w:eastAsiaTheme="minorEastAsia"/>
                    </w:rPr>
                    <w:t>）</w:t>
                  </w:r>
                  <w:r>
                    <w:rPr>
                      <w:color w:val="auto"/>
                      <w:bCs/>
                      <w:szCs w:val="21"/>
                      <w:rFonts w:eastAsiaTheme="minorEastAsia"/>
                    </w:rPr>
                    <w:t>，处理后经除尘系统烟囱（</w:t>
                  </w:r>
                  <w:r>
                    <w:rPr>
                      <w:color w:val="auto"/>
                      <w:bCs/>
                      <w:szCs w:val="21"/>
                      <w:rFonts w:hint="eastAsia" w:eastAsiaTheme="minorEastAsia"/>
                    </w:rPr>
                    <w:t>DA001</w:t>
                  </w:r>
                  <w:r>
                    <w:rPr>
                      <w:color w:val="auto"/>
                      <w:bCs/>
                      <w:szCs w:val="21"/>
                      <w:rFonts w:eastAsiaTheme="minorEastAsia"/>
                    </w:rPr>
                    <w:t>）排放，</w:t>
                  </w:r>
                  <w:r>
                    <w:rPr>
                      <w:color w:val="auto"/>
                      <w:szCs w:val="21"/>
                      <w:rFonts w:eastAsiaTheme="minorEastAsia"/>
                    </w:rPr>
                    <w:t>除尘效率为99%</w:t>
                  </w:r>
                  <w:r>
                    <w:rPr>
                      <w:color w:val="auto"/>
                      <w:lang w:eastAsia="zh-CN"/>
                      <w:szCs w:val="21"/>
                      <w:rFonts w:hint="eastAsia" w:eastAsiaTheme="minorEastAsia"/>
                    </w:rPr>
                    <w:t>。</w:t>
                  </w:r>
                </w:p>
                <w:p w14:paraId="79C5EDEE">
                  <w:pPr>
                    <w:jc w:val="left"/>
                    <w:contextualSpacing/>
                    <w:spacing w:line="0" w:lineRule="atLeast"/>
                    <w:rPr>
                      <w:color w:val="auto"/>
                      <w:bCs/>
                      <w:szCs w:val="21"/>
                      <w:rFonts w:eastAsiaTheme="minorEastAsia"/>
                    </w:rPr>
                  </w:pPr>
                  <w:r>
                    <w:rPr>
                      <w:color w:val="auto"/>
                      <w:bCs/>
                      <w:szCs w:val="21"/>
                      <w:rFonts w:eastAsiaTheme="minorEastAsia"/>
                    </w:rPr>
                    <w:t>3、矿粉筒仓</w:t>
                  </w:r>
                  <w:r>
                    <w:rPr>
                      <w:color w:val="auto"/>
                      <w:bCs/>
                      <w:szCs w:val="21"/>
                      <w:rFonts w:hint="eastAsia" w:eastAsiaTheme="minorEastAsia"/>
                    </w:rPr>
                    <w:t>装卸</w:t>
                  </w:r>
                  <w:r>
                    <w:rPr>
                      <w:color w:val="auto"/>
                      <w:bCs/>
                      <w:szCs w:val="21"/>
                      <w:rFonts w:eastAsiaTheme="minorEastAsia"/>
                    </w:rPr>
                    <w:t>粉尘</w:t>
                  </w:r>
                </w:p>
                <w:p w14:paraId="1DCBA910">
                  <w:pPr>
                    <w:jc w:val="left"/>
                    <w:contextualSpacing/>
                    <w:spacing w:line="0" w:lineRule="atLeast"/>
                    <w:rPr>
                      <w:color w:val="auto"/>
                      <w:lang w:eastAsia="zh-CN"/>
                      <w:szCs w:val="21"/>
                      <w:rFonts w:hint="eastAsia" w:eastAsiaTheme="minorEastAsia"/>
                    </w:rPr>
                  </w:pPr>
                  <w:r>
                    <w:rPr>
                      <w:color w:val="auto"/>
                      <w:bCs/>
                      <w:szCs w:val="21"/>
                      <w:rFonts w:eastAsiaTheme="minorEastAsia"/>
                    </w:rPr>
                    <w:t>本项目矿粉筒仓</w:t>
                  </w:r>
                  <w:r>
                    <w:rPr>
                      <w:color w:val="auto"/>
                      <w:bCs/>
                      <w:szCs w:val="21"/>
                      <w:rFonts w:hint="eastAsia" w:eastAsiaTheme="minorEastAsia"/>
                    </w:rPr>
                    <w:t>装卸</w:t>
                  </w:r>
                  <w:r>
                    <w:rPr>
                      <w:color w:val="auto"/>
                      <w:bCs/>
                      <w:szCs w:val="21"/>
                      <w:rFonts w:eastAsiaTheme="minorEastAsia"/>
                    </w:rPr>
                    <w:t>时会产生粉尘，在矿粉筒顶部通过集气管道连接至除尘系统（重力</w:t>
                  </w:r>
                  <w:r>
                    <w:rPr>
                      <w:color w:val="auto"/>
                      <w:bCs/>
                      <w:szCs w:val="21"/>
                      <w:rFonts w:hint="eastAsia" w:eastAsiaTheme="minorEastAsia"/>
                    </w:rPr>
                    <w:t>+布袋</w:t>
                  </w:r>
                  <w:r>
                    <w:rPr>
                      <w:color w:val="auto"/>
                      <w:bCs/>
                      <w:szCs w:val="21"/>
                      <w:rFonts w:eastAsiaTheme="minorEastAsia"/>
                    </w:rPr>
                    <w:t>），处理后经除尘系统烟囱（</w:t>
                  </w:r>
                  <w:r>
                    <w:rPr>
                      <w:color w:val="auto"/>
                      <w:bCs/>
                      <w:szCs w:val="21"/>
                      <w:rFonts w:hint="eastAsia" w:eastAsiaTheme="minorEastAsia"/>
                    </w:rPr>
                    <w:t>DA001</w:t>
                  </w:r>
                  <w:r>
                    <w:rPr>
                      <w:color w:val="auto"/>
                      <w:bCs/>
                      <w:szCs w:val="21"/>
                      <w:rFonts w:eastAsiaTheme="minorEastAsia"/>
                    </w:rPr>
                    <w:t>）排放，</w:t>
                  </w:r>
                  <w:r>
                    <w:rPr>
                      <w:color w:val="auto"/>
                      <w:szCs w:val="21"/>
                      <w:rFonts w:eastAsiaTheme="minorEastAsia"/>
                    </w:rPr>
                    <w:t>除尘效率为99%</w:t>
                  </w:r>
                  <w:r>
                    <w:rPr>
                      <w:color w:val="auto"/>
                      <w:lang w:eastAsia="zh-CN"/>
                      <w:szCs w:val="21"/>
                      <w:rFonts w:hint="eastAsia" w:eastAsiaTheme="minorEastAsia"/>
                    </w:rPr>
                    <w:t>。</w:t>
                  </w:r>
                </w:p>
                <w:p w14:paraId="4E3E2D9B">
                  <w:pPr>
                    <w:jc w:val="left"/>
                    <w:contextualSpacing/>
                    <w:spacing w:line="0" w:lineRule="atLeast"/>
                    <w:rPr>
                      <w:color w:val="auto"/>
                      <w:bCs/>
                      <w:szCs w:val="21"/>
                      <w:rFonts w:eastAsiaTheme="minorEastAsia"/>
                    </w:rPr>
                  </w:pPr>
                  <w:r>
                    <w:rPr>
                      <w:color w:val="auto"/>
                      <w:bCs/>
                      <w:szCs w:val="21"/>
                      <w:rFonts w:hint="eastAsia" w:eastAsiaTheme="minorEastAsia"/>
                    </w:rPr>
                    <w:t>4</w:t>
                  </w:r>
                  <w:r>
                    <w:rPr>
                      <w:color w:val="auto"/>
                      <w:bCs/>
                      <w:szCs w:val="21"/>
                      <w:rFonts w:eastAsiaTheme="minorEastAsia"/>
                    </w:rPr>
                    <w:t>、沥青混凝土生产线废气</w:t>
                  </w:r>
                </w:p>
                <w:p w14:paraId="292F5DFB">
                  <w:pPr>
                    <w:jc w:val="left"/>
                    <w:contextualSpacing/>
                    <w:spacing w:line="0" w:lineRule="atLeast"/>
                    <w:rPr>
                      <w:color w:val="auto"/>
                      <w:lang w:eastAsia="zh-CN"/>
                      <w:bCs/>
                      <w:szCs w:val="21"/>
                      <w:rFonts w:hint="eastAsia" w:eastAsiaTheme="minorEastAsia"/>
                    </w:rPr>
                  </w:pPr>
                  <w:r>
                    <w:rPr>
                      <w:color w:val="auto"/>
                      <w:bCs/>
                      <w:szCs w:val="21"/>
                      <w:rFonts w:hint="eastAsia" w:eastAsiaTheme="minorEastAsia"/>
                    </w:rPr>
                    <w:t>本项目</w:t>
                  </w:r>
                  <w:r>
                    <w:rPr>
                      <w:color w:val="auto"/>
                      <w:lang w:val="en-US" w:eastAsia="zh-CN"/>
                      <w:bCs/>
                      <w:szCs w:val="21"/>
                      <w:rFonts w:hint="eastAsia" w:eastAsiaTheme="minorEastAsia"/>
                    </w:rPr>
                    <w:t>骨料</w:t>
                  </w:r>
                  <w:r>
                    <w:rPr>
                      <w:color w:val="auto"/>
                      <w:bCs/>
                      <w:szCs w:val="21"/>
                      <w:rFonts w:hint="eastAsia" w:eastAsiaTheme="minorEastAsia"/>
                    </w:rPr>
                    <w:t>筛分、烘干废气、热料仓落料废气、28MW燃天然气燃烧器烟气经除尘系统（重力+布袋）处理后，由15m高除尘系统烟囱（DA001）排放，除尘效率为99%；本项目1台</w:t>
                  </w:r>
                  <w:r>
                    <w:rPr>
                      <w:color w:val="auto"/>
                      <w:lang w:val="en-US" w:eastAsia="zh-CN"/>
                      <w:szCs w:val="21"/>
                      <w:rFonts w:ascii="Times New Roman" w:hAnsi="Times New Roman" w:cs="Times New Roman" w:hint="eastAsia" w:eastAsiaTheme="minorEastAsia"/>
                    </w:rPr>
                    <w:t>1.5</w:t>
                  </w:r>
                  <w:r>
                    <w:rPr>
                      <w:color w:val="auto"/>
                      <w:szCs w:val="21"/>
                      <w:rFonts w:ascii="Times New Roman" w:hAnsi="Times New Roman" w:cs="Times New Roman" w:hint="eastAsia" w:eastAsiaTheme="minorEastAsia"/>
                    </w:rPr>
                    <w:t>t/h</w:t>
                  </w:r>
                  <w:r>
                    <w:rPr>
                      <w:color w:val="auto"/>
                      <w:szCs w:val="21"/>
                      <w:rFonts w:ascii="Times New Roman" w:hAnsi="Times New Roman" w:cs="Times New Roman" w:eastAsiaTheme="minorEastAsia"/>
                    </w:rPr>
                    <w:t>燃</w:t>
                  </w:r>
                  <w:r>
                    <w:rPr>
                      <w:color w:val="auto"/>
                      <w:lang w:val="en-US" w:eastAsia="zh-CN"/>
                      <w:szCs w:val="21"/>
                      <w:rFonts w:cs="Times New Roman" w:hint="eastAsia" w:eastAsiaTheme="minorEastAsia"/>
                    </w:rPr>
                    <w:t>气</w:t>
                  </w:r>
                  <w:r>
                    <w:rPr>
                      <w:color w:val="auto"/>
                      <w:bCs/>
                      <w:szCs w:val="21"/>
                      <w:rFonts w:hint="eastAsia" w:eastAsiaTheme="minorEastAsia"/>
                    </w:rPr>
                    <w:t>导热油炉用于加热沥青，导热油炉烟气经低氮燃烧处理后（除氮效率30%），由1根12m高排气筒（DA002）排放；本项目在沥青混凝土拌和沥青储罐处会产生</w:t>
                  </w:r>
                  <w:r>
                    <w:rPr>
                      <w:color w:val="auto"/>
                      <w:bCs/>
                      <w:szCs w:val="21"/>
                      <w:rFonts w:eastAsiaTheme="minorEastAsia"/>
                    </w:rPr>
                    <w:t>非甲烷总烃、</w:t>
                  </w:r>
                  <w:r>
                    <w:rPr>
                      <w:color w:val="auto"/>
                      <w:bCs/>
                      <w:szCs w:val="21"/>
                      <w:rFonts w:hint="eastAsia" w:eastAsiaTheme="minorEastAsia"/>
                    </w:rPr>
                    <w:t>沥青烟和苯并[a]芘，沥青在密闭储罐中储存过程中产生的烟气以及出料产生的烟气通过负压收集系统集中收集（收集效率95%，环保设施的最大总风量为40000m</w:t>
                  </w:r>
                  <w:r>
                    <w:rPr>
                      <w:vertAlign w:val="superscript"/>
                      <w:color w:val="auto"/>
                      <w:bCs/>
                      <w:szCs w:val="21"/>
                      <w:rFonts w:hint="eastAsia" w:eastAsiaTheme="minorEastAsia"/>
                    </w:rPr>
                    <w:t>3</w:t>
                  </w:r>
                  <w:r>
                    <w:rPr>
                      <w:color w:val="auto"/>
                      <w:bCs/>
                      <w:szCs w:val="21"/>
                      <w:rFonts w:hint="eastAsia" w:eastAsiaTheme="minorEastAsia"/>
                    </w:rPr>
                    <w:t>/h），经气浮旋流塔+三维一体化废气处理设备（由电离子+光催化+高碘值碳吸附组成）（处理效率95%）处理后，经15m高沥青搅拌排气筒（DA003）排放</w:t>
                  </w:r>
                  <w:r>
                    <w:rPr>
                      <w:color w:val="auto"/>
                      <w:lang w:eastAsia="zh-CN"/>
                      <w:bCs/>
                      <w:szCs w:val="21"/>
                      <w:rFonts w:hint="eastAsia" w:eastAsiaTheme="minorEastAsia"/>
                    </w:rPr>
                    <w:t>。</w:t>
                  </w:r>
                </w:p>
              </w:tc>
              <w:tc>
                <w:tcPr>
                  <w:tcW w:w="466" w:type="pct"/>
                  <w:vAlign w:val="center"/>
                </w:tcPr>
                <w:p w14:paraId="22D5F8BF">
                  <w:pPr>
                    <w:jc w:val="center"/>
                    <w:contextualSpacing/>
                    <w:rPr>
                      <w:color w:val="auto"/>
                      <w:szCs w:val="21"/>
                    </w:rPr>
                  </w:pPr>
                  <w:r>
                    <w:rPr>
                      <w:color w:val="auto"/>
                      <w:szCs w:val="21"/>
                    </w:rPr>
                    <w:t>新建</w:t>
                  </w:r>
                </w:p>
              </w:tc>
            </w:tr>
            <w:tr w14:paraId="75F7D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restart"/>
                  <w:vAlign w:val="center"/>
                </w:tcPr>
                <w:p w14:paraId="1B6C5084">
                  <w:pPr>
                    <w:jc w:val="center"/>
                    <w:contextualSpacing/>
                    <w:rPr>
                      <w:color w:val="auto"/>
                      <w:szCs w:val="21"/>
                    </w:rPr>
                  </w:pPr>
                  <w:r>
                    <w:rPr>
                      <w:color w:val="auto"/>
                      <w:szCs w:val="21"/>
                    </w:rPr>
                    <w:t>环保工程</w:t>
                  </w:r>
                </w:p>
              </w:tc>
              <w:tc>
                <w:tcPr>
                  <w:tcW w:w="482" w:type="pct"/>
                  <w:vAlign w:val="center"/>
                </w:tcPr>
                <w:p w14:paraId="4A8CAC95">
                  <w:pPr>
                    <w:jc w:val="center"/>
                    <w:rPr>
                      <w:color w:val="auto"/>
                      <w:szCs w:val="21"/>
                    </w:rPr>
                  </w:pPr>
                  <w:r>
                    <w:rPr>
                      <w:color w:val="auto"/>
                      <w:szCs w:val="21"/>
                    </w:rPr>
                    <w:t>固体</w:t>
                  </w:r>
                </w:p>
                <w:p w14:paraId="781DF24E">
                  <w:pPr>
                    <w:jc w:val="center"/>
                    <w:rPr>
                      <w:color w:val="auto"/>
                      <w:szCs w:val="21"/>
                    </w:rPr>
                  </w:pPr>
                  <w:r>
                    <w:rPr>
                      <w:color w:val="auto"/>
                      <w:szCs w:val="21"/>
                    </w:rPr>
                    <w:t>废物</w:t>
                  </w:r>
                </w:p>
              </w:tc>
              <w:tc>
                <w:tcPr>
                  <w:tcW w:w="3619" w:type="pct"/>
                  <w:vAlign w:val="center"/>
                </w:tcPr>
                <w:p w14:paraId="75C4403F">
                  <w:pPr>
                    <w:spacing w:line="0" w:lineRule="atLeast"/>
                    <w:rPr>
                      <w:color w:val="auto"/>
                      <w:szCs w:val="21"/>
                    </w:rPr>
                  </w:pPr>
                  <w:r>
                    <w:rPr>
                      <w:color w:val="auto"/>
                      <w:szCs w:val="21"/>
                    </w:rPr>
                    <w:t>除尘</w:t>
                  </w:r>
                  <w:r>
                    <w:rPr>
                      <w:color w:val="auto"/>
                      <w:szCs w:val="21"/>
                      <w:rFonts w:hint="eastAsia"/>
                    </w:rPr>
                    <w:t>系统</w:t>
                  </w:r>
                  <w:r>
                    <w:rPr>
                      <w:color w:val="auto"/>
                      <w:szCs w:val="21"/>
                    </w:rPr>
                    <w:t>收集粉尘回用于生产</w:t>
                  </w:r>
                  <w:r>
                    <w:rPr>
                      <w:color w:val="auto"/>
                      <w:szCs w:val="21"/>
                      <w:rFonts w:hint="eastAsia" w:eastAsiaTheme="minorEastAsia"/>
                    </w:rPr>
                    <w:t>，</w:t>
                  </w:r>
                  <w:r>
                    <w:rPr>
                      <w:color w:val="auto"/>
                      <w:szCs w:val="21"/>
                    </w:rPr>
                    <w:t>生活垃圾及废布袋由市政环卫部门处理；</w:t>
                  </w:r>
                  <w:r>
                    <w:rPr>
                      <w:color w:val="auto"/>
                      <w:szCs w:val="21"/>
                      <w:rFonts w:hint="eastAsia"/>
                    </w:rPr>
                    <w:t>实</w:t>
                  </w:r>
                  <w:r>
                    <w:rPr>
                      <w:color w:val="auto"/>
                      <w:szCs w:val="21"/>
                    </w:rPr>
                    <w:t>验室弃块外运作为铺路材料使用。初期雨水池油污（类别</w:t>
                  </w:r>
                  <w:r>
                    <w:rPr>
                      <w:color w:val="auto"/>
                      <w:bCs/>
                      <w:szCs w:val="21"/>
                    </w:rPr>
                    <w:t>HW08，代码：900-2</w:t>
                  </w:r>
                  <w:r>
                    <w:rPr>
                      <w:color w:val="auto"/>
                      <w:bCs/>
                      <w:szCs w:val="21"/>
                      <w:rFonts w:hint="eastAsia"/>
                    </w:rPr>
                    <w:t>10</w:t>
                  </w:r>
                  <w:r>
                    <w:rPr>
                      <w:color w:val="auto"/>
                      <w:bCs/>
                      <w:szCs w:val="21"/>
                    </w:rPr>
                    <w:t>-08</w:t>
                  </w:r>
                  <w:r>
                    <w:rPr>
                      <w:color w:val="auto"/>
                      <w:szCs w:val="21"/>
                    </w:rPr>
                    <w:t>）</w:t>
                  </w:r>
                  <w:r>
                    <w:rPr>
                      <w:color w:val="auto"/>
                      <w:szCs w:val="21"/>
                      <w:rFonts w:hint="eastAsia"/>
                    </w:rPr>
                    <w:t>、</w:t>
                  </w:r>
                  <w:r>
                    <w:rPr>
                      <w:color w:val="auto"/>
                      <w:szCs w:val="21"/>
                    </w:rPr>
                    <w:t>废导热油（类别</w:t>
                  </w:r>
                  <w:r>
                    <w:rPr>
                      <w:color w:val="auto"/>
                      <w:bCs/>
                      <w:szCs w:val="21"/>
                    </w:rPr>
                    <w:t>HW08，代码：900-249-08</w:t>
                  </w:r>
                  <w:r>
                    <w:rPr>
                      <w:color w:val="auto"/>
                      <w:szCs w:val="21"/>
                    </w:rPr>
                    <w:t>）</w:t>
                  </w:r>
                  <w:r>
                    <w:rPr>
                      <w:color w:val="auto"/>
                      <w:szCs w:val="21"/>
                      <w:rFonts w:hint="eastAsia"/>
                    </w:rPr>
                    <w:t>、</w:t>
                  </w:r>
                  <w:r>
                    <w:rPr>
                      <w:color w:val="auto"/>
                      <w:szCs w:val="21"/>
                    </w:rPr>
                    <w:t>废</w:t>
                  </w:r>
                  <w:r>
                    <w:rPr>
                      <w:color w:val="auto"/>
                      <w:szCs w:val="21"/>
                      <w:rFonts w:hint="eastAsia"/>
                    </w:rPr>
                    <w:t>活性</w:t>
                  </w:r>
                  <w:r>
                    <w:rPr>
                      <w:color w:val="auto"/>
                      <w:szCs w:val="21"/>
                    </w:rPr>
                    <w:t>炭（类别HW49；代码：900-0</w:t>
                  </w:r>
                  <w:r>
                    <w:rPr>
                      <w:color w:val="auto"/>
                      <w:szCs w:val="21"/>
                      <w:rFonts w:hint="eastAsia"/>
                    </w:rPr>
                    <w:t>39</w:t>
                  </w:r>
                  <w:r>
                    <w:rPr>
                      <w:color w:val="auto"/>
                      <w:szCs w:val="21"/>
                    </w:rPr>
                    <w:t>-49）、废油桶（类别</w:t>
                  </w:r>
                  <w:r>
                    <w:rPr>
                      <w:color w:val="auto"/>
                      <w:bCs/>
                      <w:szCs w:val="21"/>
                    </w:rPr>
                    <w:t>HW08，代码：900-249-08</w:t>
                  </w:r>
                  <w:r>
                    <w:rPr>
                      <w:color w:val="auto"/>
                      <w:szCs w:val="21"/>
                    </w:rPr>
                    <w:t>）为危险废物，</w:t>
                  </w:r>
                  <w:r>
                    <w:rPr>
                      <w:color w:val="auto"/>
                      <w:szCs w:val="21"/>
                      <w:rFonts w:hint="eastAsia"/>
                    </w:rPr>
                    <w:t>集中</w:t>
                  </w:r>
                  <w:r>
                    <w:rPr>
                      <w:color w:val="auto"/>
                      <w:szCs w:val="21"/>
                    </w:rPr>
                    <w:t>收集后暂存于危险废物</w:t>
                  </w:r>
                  <w:r>
                    <w:rPr>
                      <w:color w:val="auto"/>
                      <w:szCs w:val="21"/>
                      <w:rFonts w:hint="eastAsia"/>
                    </w:rPr>
                    <w:t>贮存</w:t>
                  </w:r>
                  <w:r>
                    <w:rPr>
                      <w:color w:val="auto"/>
                      <w:sz w:val="21"/>
                      <w:lang w:val="en-US" w:eastAsia="zh-CN"/>
                      <w:kern w:val="0"/>
                      <w:szCs w:val="21"/>
                      <w:rFonts w:hint="eastAsia"/>
                    </w:rPr>
                    <w:t>点</w:t>
                  </w:r>
                  <w:r>
                    <w:rPr>
                      <w:color w:val="auto"/>
                      <w:szCs w:val="21"/>
                    </w:rPr>
                    <w:t>，</w:t>
                  </w:r>
                  <w:r>
                    <w:rPr>
                      <w:color w:val="auto"/>
                      <w:bCs/>
                      <w:szCs w:val="21"/>
                    </w:rPr>
                    <w:t>委托有资质单位处置</w:t>
                  </w:r>
                </w:p>
              </w:tc>
              <w:tc>
                <w:tcPr>
                  <w:tcW w:w="466" w:type="pct"/>
                  <w:vMerge w:val="restart"/>
                  <w:vAlign w:val="center"/>
                </w:tcPr>
                <w:p w14:paraId="6C21A146">
                  <w:pPr>
                    <w:jc w:val="center"/>
                    <w:contextualSpacing/>
                    <w:rPr>
                      <w:color w:val="auto"/>
                      <w:szCs w:val="21"/>
                    </w:rPr>
                  </w:pPr>
                  <w:r>
                    <w:rPr>
                      <w:color w:val="auto"/>
                      <w:szCs w:val="21"/>
                    </w:rPr>
                    <w:t>新建</w:t>
                  </w:r>
                </w:p>
              </w:tc>
            </w:tr>
            <w:tr w14:paraId="64EC9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continue"/>
                  <w:vAlign w:val="center"/>
                </w:tcPr>
                <w:p w14:paraId="4252C808">
                  <w:pPr>
                    <w:jc w:val="center"/>
                    <w:contextualSpacing/>
                    <w:rPr>
                      <w:color w:val="auto"/>
                      <w:szCs w:val="21"/>
                    </w:rPr>
                  </w:pPr>
                </w:p>
              </w:tc>
              <w:tc>
                <w:tcPr>
                  <w:tcW w:w="482" w:type="pct"/>
                  <w:vAlign w:val="center"/>
                </w:tcPr>
                <w:p w14:paraId="401EAC83">
                  <w:pPr>
                    <w:jc w:val="center"/>
                    <w:rPr>
                      <w:color w:val="auto"/>
                      <w:szCs w:val="21"/>
                    </w:rPr>
                  </w:pPr>
                  <w:r>
                    <w:rPr>
                      <w:color w:val="auto"/>
                      <w:szCs w:val="21"/>
                    </w:rPr>
                    <w:t>防渗</w:t>
                  </w:r>
                </w:p>
              </w:tc>
              <w:tc>
                <w:tcPr>
                  <w:tcW w:w="3619" w:type="pct"/>
                  <w:vAlign w:val="center"/>
                </w:tcPr>
                <w:p w14:paraId="5A660744">
                  <w:pPr>
                    <w:spacing w:line="0" w:lineRule="atLeast"/>
                    <w:rPr>
                      <w:color w:val="auto"/>
                      <w:highlight w:val="yellow"/>
                      <w:szCs w:val="21"/>
                    </w:rPr>
                  </w:pPr>
                  <w:r>
                    <w:rPr>
                      <w:color w:val="auto"/>
                      <w:szCs w:val="21"/>
                      <w:rFonts w:eastAsiaTheme="minorEastAsia"/>
                    </w:rPr>
                    <w:t>危废</w:t>
                  </w:r>
                  <w:r>
                    <w:rPr>
                      <w:color w:val="auto"/>
                      <w:szCs w:val="21"/>
                      <w:rFonts w:hint="eastAsia" w:eastAsiaTheme="minorEastAsia"/>
                    </w:rPr>
                    <w:t>贮存</w:t>
                  </w:r>
                  <w:r>
                    <w:rPr>
                      <w:color w:val="auto"/>
                      <w:lang w:val="en-US" w:eastAsia="zh-CN"/>
                      <w:szCs w:val="21"/>
                      <w:rFonts w:hint="eastAsia" w:eastAsiaTheme="minorEastAsia"/>
                    </w:rPr>
                    <w:t>点</w:t>
                  </w:r>
                  <w:r>
                    <w:rPr>
                      <w:color w:val="auto"/>
                      <w:szCs w:val="21"/>
                      <w:rFonts w:eastAsiaTheme="minorEastAsia"/>
                    </w:rPr>
                    <w:t>、初期雨水池防渗层为至少1米厚粘土层（渗透系数≤10</w:t>
                  </w:r>
                  <w:r>
                    <w:rPr>
                      <w:vertAlign w:val="superscript"/>
                      <w:color w:val="auto"/>
                      <w:szCs w:val="21"/>
                      <w:rFonts w:eastAsiaTheme="minorEastAsia"/>
                    </w:rPr>
                    <w:t>-7</w:t>
                  </w:r>
                  <w:r>
                    <w:rPr>
                      <w:color w:val="auto"/>
                      <w:bCs/>
                      <w:szCs w:val="21"/>
                      <w:rFonts w:eastAsiaTheme="minorEastAsia"/>
                    </w:rPr>
                    <w:t>cm/s</w:t>
                  </w:r>
                  <w:r>
                    <w:rPr>
                      <w:color w:val="auto"/>
                      <w:szCs w:val="21"/>
                      <w:rFonts w:eastAsiaTheme="minorEastAsia"/>
                    </w:rPr>
                    <w:t>），或2mm高密度聚乙烯，或至少2mm厚的其它人工材料，渗透系数≤1×10</w:t>
                  </w:r>
                  <w:r>
                    <w:rPr>
                      <w:vertAlign w:val="superscript"/>
                      <w:color w:val="auto"/>
                      <w:szCs w:val="21"/>
                      <w:rFonts w:eastAsiaTheme="minorEastAsia"/>
                    </w:rPr>
                    <w:t>-10</w:t>
                  </w:r>
                  <w:r>
                    <w:rPr>
                      <w:color w:val="auto"/>
                      <w:szCs w:val="21"/>
                      <w:rFonts w:eastAsiaTheme="minorEastAsia"/>
                    </w:rPr>
                    <w:t>cm/s，</w:t>
                  </w:r>
                  <w:r>
                    <w:rPr>
                      <w:color w:val="auto"/>
                      <w:szCs w:val="21"/>
                      <w:rFonts w:hint="eastAsia" w:eastAsiaTheme="minorEastAsia"/>
                    </w:rPr>
                    <w:t>废导热油储存区采取围堰措施，</w:t>
                  </w:r>
                  <w:r>
                    <w:rPr>
                      <w:color w:val="auto"/>
                      <w:szCs w:val="21"/>
                      <w:rFonts w:eastAsiaTheme="minorEastAsia"/>
                    </w:rPr>
                    <w:t>本项目储罐、管道均为耐腐蚀均材质，储罐周围设置</w:t>
                  </w:r>
                  <w:r>
                    <w:rPr>
                      <w:color w:val="auto"/>
                      <w:szCs w:val="21"/>
                      <w:rFonts w:hint="eastAsia" w:eastAsiaTheme="minorEastAsia"/>
                    </w:rPr>
                    <w:t>50cm高</w:t>
                  </w:r>
                  <w:r>
                    <w:rPr>
                      <w:color w:val="auto"/>
                      <w:szCs w:val="21"/>
                      <w:rFonts w:eastAsiaTheme="minorEastAsia"/>
                    </w:rPr>
                    <w:t>围堰，围堰区域范围按储罐最大外形向外延伸</w:t>
                  </w:r>
                  <w:r>
                    <w:rPr>
                      <w:color w:val="auto"/>
                      <w:szCs w:val="21"/>
                      <w:rFonts w:hint="eastAsia" w:eastAsiaTheme="minorEastAsia"/>
                    </w:rPr>
                    <w:t>0.8m</w:t>
                  </w:r>
                  <w:r>
                    <w:rPr>
                      <w:color w:val="auto"/>
                      <w:szCs w:val="21"/>
                      <w:rFonts w:eastAsiaTheme="minorEastAsia"/>
                    </w:rPr>
                    <w:t>，围堰内有效容积为</w:t>
                  </w:r>
                  <w:r>
                    <w:rPr>
                      <w:color w:val="auto"/>
                      <w:szCs w:val="21"/>
                      <w:rFonts w:hint="eastAsia" w:eastAsiaTheme="minorEastAsia"/>
                    </w:rPr>
                    <w:t>240m³</w:t>
                  </w:r>
                  <w:r>
                    <w:rPr>
                      <w:color w:val="auto"/>
                      <w:szCs w:val="21"/>
                      <w:rFonts w:eastAsiaTheme="minorEastAsia"/>
                    </w:rPr>
                    <w:t>，围堰地面及墙脚防渗，渗透系数≤10</w:t>
                  </w:r>
                  <w:r>
                    <w:rPr>
                      <w:vertAlign w:val="superscript"/>
                      <w:color w:val="auto"/>
                      <w:szCs w:val="21"/>
                      <w:rFonts w:eastAsiaTheme="minorEastAsia"/>
                    </w:rPr>
                    <w:t>-7</w:t>
                  </w:r>
                  <w:r>
                    <w:rPr>
                      <w:color w:val="auto"/>
                      <w:bCs/>
                      <w:szCs w:val="21"/>
                      <w:rFonts w:eastAsiaTheme="minorEastAsia"/>
                    </w:rPr>
                    <w:t>cm/s，</w:t>
                  </w:r>
                  <w:r>
                    <w:rPr>
                      <w:color w:val="auto"/>
                      <w:szCs w:val="21"/>
                      <w:rFonts w:eastAsiaTheme="minorEastAsia"/>
                    </w:rPr>
                    <w:t>厂区其他地面简单防渗，</w:t>
                  </w:r>
                  <w:r>
                    <w:rPr>
                      <w:color w:val="auto"/>
                      <w:szCs w:val="21"/>
                      <w:rFonts w:hint="eastAsia" w:eastAsiaTheme="minorEastAsia"/>
                    </w:rPr>
                    <w:t>地面</w:t>
                  </w:r>
                  <w:r>
                    <w:rPr>
                      <w:color w:val="auto"/>
                      <w:szCs w:val="21"/>
                      <w:rFonts w:eastAsiaTheme="minorEastAsia"/>
                    </w:rPr>
                    <w:t>进行硬化处理</w:t>
                  </w:r>
                </w:p>
              </w:tc>
              <w:tc>
                <w:tcPr>
                  <w:tcW w:w="466" w:type="pct"/>
                  <w:vMerge w:val="continue"/>
                  <w:vAlign w:val="center"/>
                </w:tcPr>
                <w:p w14:paraId="02074780">
                  <w:pPr>
                    <w:jc w:val="center"/>
                    <w:contextualSpacing/>
                    <w:rPr>
                      <w:color w:val="auto"/>
                      <w:szCs w:val="21"/>
                    </w:rPr>
                  </w:pPr>
                </w:p>
              </w:tc>
            </w:tr>
            <w:tr w14:paraId="758D8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4" w:hRule="atLeast"/>
                <w:jc w:val="center"/>
              </w:trPr>
              <w:tc>
                <w:tcPr>
                  <w:tcW w:w="431" w:type="pct"/>
                  <w:vMerge w:val="continue"/>
                  <w:vAlign w:val="center"/>
                </w:tcPr>
                <w:p w14:paraId="7BAE93DC">
                  <w:pPr>
                    <w:jc w:val="center"/>
                    <w:contextualSpacing/>
                    <w:rPr>
                      <w:color w:val="auto"/>
                      <w:szCs w:val="21"/>
                    </w:rPr>
                  </w:pPr>
                </w:p>
              </w:tc>
              <w:tc>
                <w:tcPr>
                  <w:tcW w:w="482" w:type="pct"/>
                  <w:vAlign w:val="center"/>
                </w:tcPr>
                <w:p w14:paraId="444155A7">
                  <w:pPr>
                    <w:jc w:val="center"/>
                    <w:rPr>
                      <w:color w:val="auto"/>
                      <w:szCs w:val="21"/>
                    </w:rPr>
                  </w:pPr>
                  <w:r>
                    <w:rPr>
                      <w:color w:val="auto"/>
                      <w:szCs w:val="21"/>
                    </w:rPr>
                    <w:t>风险防范措施</w:t>
                  </w:r>
                </w:p>
              </w:tc>
              <w:tc>
                <w:tcPr>
                  <w:tcW w:w="3619" w:type="pct"/>
                  <w:vAlign w:val="center"/>
                </w:tcPr>
                <w:p w14:paraId="45CBFAC3">
                  <w:pPr>
                    <w:jc w:val="left"/>
                    <w:contextualSpacing/>
                    <w:rPr>
                      <w:color w:val="auto"/>
                      <w:szCs w:val="21"/>
                      <w:rFonts w:hAnsiTheme="minorEastAsia" w:eastAsiaTheme="minorEastAsia"/>
                    </w:rPr>
                  </w:pPr>
                  <w:r>
                    <w:rPr>
                      <w:color w:val="auto"/>
                      <w:szCs w:val="21"/>
                      <w:rFonts w:hint="eastAsia" w:hAnsiTheme="minorEastAsia" w:eastAsiaTheme="minorEastAsia"/>
                    </w:rPr>
                    <w:t>企业运营过程中积极采取防护措施，加强储罐与管道系统的管理与维修，使燃气储存系统、沥青储存系统处于密闭化，严格防止跑、冒、滴、漏现象发生，危废贮存</w:t>
                  </w:r>
                  <w:r>
                    <w:rPr>
                      <w:color w:val="auto"/>
                      <w:lang w:val="en-US" w:eastAsia="zh-CN"/>
                      <w:szCs w:val="21"/>
                      <w:rFonts w:hint="eastAsia" w:hAnsiTheme="minorEastAsia" w:eastAsiaTheme="minorEastAsia"/>
                    </w:rPr>
                    <w:t>点</w:t>
                  </w:r>
                  <w:r>
                    <w:rPr>
                      <w:color w:val="auto"/>
                      <w:szCs w:val="21"/>
                      <w:rFonts w:hint="eastAsia" w:hAnsiTheme="minorEastAsia" w:eastAsiaTheme="minorEastAsia"/>
                    </w:rPr>
                    <w:t>储存装置周围设置围堰，</w:t>
                  </w:r>
                  <w:r>
                    <w:rPr>
                      <w:color w:val="auto"/>
                      <w:szCs w:val="21"/>
                      <w:rFonts w:eastAsiaTheme="minorEastAsia"/>
                    </w:rPr>
                    <w:t>本项目储罐、管道均为耐腐蚀均材质，储罐周围设置围堰，围堰地面及墙脚防渗，厂区其他地面简单防渗，</w:t>
                  </w:r>
                  <w:r>
                    <w:rPr>
                      <w:color w:val="auto"/>
                      <w:szCs w:val="21"/>
                      <w:rFonts w:hint="eastAsia" w:eastAsiaTheme="minorEastAsia"/>
                    </w:rPr>
                    <w:t>地面</w:t>
                  </w:r>
                  <w:r>
                    <w:rPr>
                      <w:color w:val="auto"/>
                      <w:szCs w:val="21"/>
                      <w:rFonts w:eastAsiaTheme="minorEastAsia"/>
                    </w:rPr>
                    <w:t>进行硬化处理，</w:t>
                  </w:r>
                  <w:r>
                    <w:rPr>
                      <w:color w:val="auto"/>
                      <w:szCs w:val="21"/>
                      <w:rFonts w:hint="eastAsia" w:hAnsiTheme="minorEastAsia" w:eastAsiaTheme="minorEastAsia"/>
                    </w:rPr>
                    <w:t>编制突发环境事件应急预案</w:t>
                  </w:r>
                </w:p>
              </w:tc>
              <w:tc>
                <w:tcPr>
                  <w:tcW w:w="466" w:type="pct"/>
                  <w:vMerge w:val="continue"/>
                  <w:vAlign w:val="center"/>
                </w:tcPr>
                <w:p w14:paraId="040B820F">
                  <w:pPr>
                    <w:jc w:val="center"/>
                    <w:contextualSpacing/>
                    <w:rPr>
                      <w:color w:val="auto"/>
                      <w:szCs w:val="21"/>
                    </w:rPr>
                  </w:pPr>
                </w:p>
              </w:tc>
            </w:tr>
          </w:tbl>
          <w:p w14:paraId="685C9D95">
            <w:pPr>
              <w:jc w:val="left"/>
              <w:contextualSpacing/>
              <w:spacing w:line="360" w:lineRule="auto"/>
              <w:ind w:firstLine="482" w:firstLineChars="200"/>
              <w:rPr>
                <w:b w:val="1"/>
                <w:color w:val="auto"/>
                <w:sz w:val="24"/>
                <w:kern w:val="0"/>
              </w:rPr>
            </w:pPr>
            <w:r>
              <w:rPr>
                <w:b w:val="1"/>
                <w:color w:val="auto"/>
                <w:sz w:val="24"/>
                <w:kern w:val="0"/>
              </w:rPr>
              <w:t>2、主要设备</w:t>
            </w:r>
          </w:p>
          <w:p w14:paraId="0B71DE32">
            <w:pPr>
              <w:widowControl w:val="1"/>
              <w:spacing w:line="360" w:lineRule="auto"/>
              <w:ind w:firstLine="480" w:firstLineChars="200"/>
              <w:rPr>
                <w:b w:val="1"/>
                <w:color w:val="auto"/>
                <w:sz w:val="24"/>
                <w:bCs/>
                <w:kern w:val="0"/>
              </w:rPr>
            </w:pPr>
            <w:r>
              <w:rPr>
                <w:color w:val="auto"/>
                <w:sz w:val="24"/>
                <w:kern w:val="0"/>
              </w:rPr>
              <w:t>主要设备见下表。</w:t>
            </w:r>
          </w:p>
          <w:p w14:paraId="5277C5E5">
            <w:pPr>
              <w:widowControl w:val="1"/>
              <w:jc w:val="center"/>
              <w:rPr>
                <w:b w:val="1"/>
                <w:color w:val="auto"/>
                <w:sz w:val="24"/>
                <w:bCs/>
                <w:kern w:val="0"/>
              </w:rPr>
            </w:pPr>
            <w:r>
              <w:rPr>
                <w:b w:val="1"/>
                <w:color w:val="auto"/>
                <w:sz w:val="24"/>
                <w:bCs/>
                <w:kern w:val="0"/>
              </w:rPr>
              <w:t>表2-2 主要设备一览表</w:t>
            </w:r>
          </w:p>
          <w:tbl>
            <w:tblPr>
              <w:tblStyle w:val="27"/>
              <w:tblW w:w="5067"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939.000000"/>
              <w:gridCol w:w="12.000000"/>
              <w:gridCol w:w="2030.000000"/>
              <w:gridCol w:w="20.000000"/>
              <w:gridCol w:w="2083.000000"/>
              <w:gridCol w:w="24.000000"/>
              <w:gridCol w:w="1799.000000"/>
              <w:gridCol w:w="14.000000"/>
              <w:gridCol w:w="1585.000000"/>
            </w:tblGrid>
            <w:tr w14:paraId="5AD88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0" w:hRule="atLeast"/>
                <w:jc w:val="center"/>
              </w:trPr>
              <w:tc>
                <w:tcPr>
                  <w:tcW w:w="559" w:type="pct"/>
                  <w:gridSpan w:val="2"/>
                  <w:vAlign w:val="center"/>
                  <w:shd w:val="clear" w:color="auto" w:fill="auto"/>
                </w:tcPr>
                <w:p w14:paraId="49306AF3">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序号</w:t>
                  </w:r>
                </w:p>
              </w:tc>
              <w:tc>
                <w:tcPr>
                  <w:tcW w:w="1205" w:type="pct"/>
                  <w:gridSpan w:val="2"/>
                  <w:vAlign w:val="center"/>
                  <w:shd w:val="clear" w:color="auto" w:fill="auto"/>
                </w:tcPr>
                <w:p w14:paraId="4B925654">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设备名称</w:t>
                  </w:r>
                </w:p>
              </w:tc>
              <w:tc>
                <w:tcPr>
                  <w:tcW w:w="1224" w:type="pct"/>
                  <w:vAlign w:val="center"/>
                  <w:shd w:val="clear" w:color="auto" w:fill="auto"/>
                </w:tcPr>
                <w:p w14:paraId="758BDBD4">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规格、型号</w:t>
                  </w:r>
                </w:p>
              </w:tc>
              <w:tc>
                <w:tcPr>
                  <w:tcW w:w="1071" w:type="pct"/>
                  <w:gridSpan w:val="2"/>
                  <w:vAlign w:val="center"/>
                  <w:shd w:val="clear" w:color="auto" w:fill="auto"/>
                </w:tcPr>
                <w:p w14:paraId="24CE1F93">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数量</w:t>
                  </w:r>
                </w:p>
              </w:tc>
              <w:tc>
                <w:tcPr>
                  <w:tcW w:w="937" w:type="pct"/>
                  <w:gridSpan w:val="2"/>
                  <w:vAlign w:val="center"/>
                  <w:shd w:val="clear" w:color="auto" w:fill="auto"/>
                </w:tcPr>
                <w:p w14:paraId="474BDFA5">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单位</w:t>
                  </w:r>
                </w:p>
              </w:tc>
            </w:tr>
            <w:tr w14:paraId="5DE01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9" w:type="pct"/>
                  <w:gridSpan w:val="2"/>
                  <w:vAlign w:val="center"/>
                  <w:shd w:val="clear" w:color="auto" w:fill="auto"/>
                </w:tcPr>
                <w:p w14:paraId="4338FC6A">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1</w:t>
                  </w:r>
                </w:p>
              </w:tc>
              <w:tc>
                <w:tcPr>
                  <w:tcW w:w="1205" w:type="pct"/>
                  <w:gridSpan w:val="2"/>
                  <w:vAlign w:val="center"/>
                  <w:shd w:val="clear" w:color="auto" w:fill="auto"/>
                </w:tcPr>
                <w:p w14:paraId="50D11540">
                  <w:pPr>
                    <w:jc w:val="center"/>
                    <w:contextualSpacing/>
                    <w:rPr>
                      <w:color w:val="auto"/>
                      <w:szCs w:val="21"/>
                      <w:rFonts w:eastAsiaTheme="minorEastAsia"/>
                    </w:rPr>
                  </w:pPr>
                  <w:r>
                    <w:rPr>
                      <w:color w:val="auto"/>
                      <w:szCs w:val="21"/>
                      <w:rFonts w:eastAsiaTheme="minorEastAsia"/>
                    </w:rPr>
                    <w:t>搅拌</w:t>
                  </w:r>
                  <w:r>
                    <w:rPr>
                      <w:color w:val="auto"/>
                      <w:szCs w:val="21"/>
                      <w:rFonts w:hint="eastAsia" w:eastAsiaTheme="minorEastAsia"/>
                    </w:rPr>
                    <w:t>器</w:t>
                  </w:r>
                </w:p>
              </w:tc>
              <w:tc>
                <w:tcPr>
                  <w:tcW w:w="1224" w:type="pct"/>
                  <w:vAlign w:val="center"/>
                  <w:shd w:val="clear" w:color="auto" w:fill="auto"/>
                </w:tcPr>
                <w:p w14:paraId="33F22271">
                  <w:pPr>
                    <w:jc w:val="center"/>
                    <w:contextualSpacing/>
                    <w:rPr>
                      <w:color w:val="auto"/>
                      <w:szCs w:val="21"/>
                      <w:rFonts w:eastAsiaTheme="minorEastAsia"/>
                    </w:rPr>
                  </w:pPr>
                  <w:r>
                    <w:rPr>
                      <w:color w:val="auto"/>
                      <w:szCs w:val="21"/>
                      <w:rFonts w:hint="eastAsia" w:eastAsiaTheme="minorEastAsia"/>
                    </w:rPr>
                    <w:t>/</w:t>
                  </w:r>
                </w:p>
              </w:tc>
              <w:tc>
                <w:tcPr>
                  <w:tcW w:w="1071" w:type="pct"/>
                  <w:gridSpan w:val="2"/>
                  <w:vAlign w:val="center"/>
                  <w:shd w:val="clear" w:color="auto" w:fill="auto"/>
                </w:tcPr>
                <w:p w14:paraId="0DB6859D">
                  <w:pPr>
                    <w:jc w:val="center"/>
                    <w:contextualSpacing/>
                    <w:rPr>
                      <w:color w:val="auto"/>
                      <w:szCs w:val="21"/>
                      <w:rFonts w:eastAsiaTheme="minorEastAsia"/>
                    </w:rPr>
                  </w:pPr>
                  <w:r>
                    <w:rPr>
                      <w:color w:val="auto"/>
                      <w:szCs w:val="21"/>
                      <w:rFonts w:eastAsiaTheme="minorEastAsia"/>
                    </w:rPr>
                    <w:t>1</w:t>
                  </w:r>
                </w:p>
              </w:tc>
              <w:tc>
                <w:tcPr>
                  <w:tcW w:w="937" w:type="pct"/>
                  <w:gridSpan w:val="2"/>
                  <w:vAlign w:val="center"/>
                  <w:shd w:val="clear" w:color="auto" w:fill="auto"/>
                </w:tcPr>
                <w:p w14:paraId="6A1F9E87">
                  <w:pPr>
                    <w:jc w:val="center"/>
                    <w:contextualSpacing/>
                    <w:rPr>
                      <w:color w:val="auto"/>
                      <w:szCs w:val="21"/>
                      <w:rFonts w:eastAsiaTheme="minorEastAsia"/>
                    </w:rPr>
                  </w:pPr>
                  <w:r>
                    <w:rPr>
                      <w:color w:val="auto"/>
                      <w:szCs w:val="21"/>
                      <w:rFonts w:eastAsiaTheme="minorEastAsia"/>
                    </w:rPr>
                    <w:t>台</w:t>
                  </w:r>
                </w:p>
              </w:tc>
            </w:tr>
            <w:tr w14:paraId="16C27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9" w:type="pct"/>
                  <w:gridSpan w:val="2"/>
                  <w:vAlign w:val="center"/>
                  <w:shd w:val="clear" w:color="auto" w:fill="auto"/>
                </w:tcPr>
                <w:p w14:paraId="0B92EF45">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2</w:t>
                  </w:r>
                </w:p>
              </w:tc>
              <w:tc>
                <w:tcPr>
                  <w:tcW w:w="1205" w:type="pct"/>
                  <w:gridSpan w:val="2"/>
                  <w:vAlign w:val="center"/>
                  <w:shd w:val="clear" w:color="auto" w:fill="auto"/>
                </w:tcPr>
                <w:p w14:paraId="2B5DADCD">
                  <w:pPr>
                    <w:jc w:val="center"/>
                    <w:contextualSpacing/>
                    <w:rPr>
                      <w:color w:val="auto"/>
                      <w:szCs w:val="21"/>
                      <w:rFonts w:eastAsiaTheme="minorEastAsia"/>
                    </w:rPr>
                  </w:pPr>
                  <w:r>
                    <w:rPr>
                      <w:color w:val="auto"/>
                      <w:szCs w:val="21"/>
                      <w:rFonts w:eastAsiaTheme="minorEastAsia"/>
                    </w:rPr>
                    <w:t>干燥筒</w:t>
                  </w:r>
                </w:p>
              </w:tc>
              <w:tc>
                <w:tcPr>
                  <w:tcW w:w="1224" w:type="pct"/>
                  <w:vAlign w:val="center"/>
                  <w:shd w:val="clear" w:color="auto" w:fill="auto"/>
                </w:tcPr>
                <w:p w14:paraId="39042BFE">
                  <w:pPr>
                    <w:jc w:val="center"/>
                    <w:contextualSpacing/>
                    <w:rPr>
                      <w:color w:val="auto"/>
                      <w:szCs w:val="21"/>
                      <w:rFonts w:eastAsiaTheme="minorEastAsia"/>
                    </w:rPr>
                  </w:pPr>
                  <w:r>
                    <w:rPr>
                      <w:color w:val="auto"/>
                      <w:szCs w:val="21"/>
                      <w:rFonts w:eastAsiaTheme="minorEastAsia"/>
                    </w:rPr>
                    <w:t>/</w:t>
                  </w:r>
                </w:p>
              </w:tc>
              <w:tc>
                <w:tcPr>
                  <w:tcW w:w="1071" w:type="pct"/>
                  <w:gridSpan w:val="2"/>
                  <w:vAlign w:val="center"/>
                  <w:shd w:val="clear" w:color="auto" w:fill="auto"/>
                </w:tcPr>
                <w:p w14:paraId="03D60C58">
                  <w:pPr>
                    <w:jc w:val="center"/>
                    <w:contextualSpacing/>
                    <w:rPr>
                      <w:color w:val="auto"/>
                      <w:szCs w:val="21"/>
                      <w:rFonts w:eastAsiaTheme="minorEastAsia"/>
                    </w:rPr>
                  </w:pPr>
                  <w:r>
                    <w:rPr>
                      <w:color w:val="auto"/>
                      <w:szCs w:val="21"/>
                      <w:rFonts w:eastAsiaTheme="minorEastAsia"/>
                    </w:rPr>
                    <w:t>1</w:t>
                  </w:r>
                </w:p>
              </w:tc>
              <w:tc>
                <w:tcPr>
                  <w:tcW w:w="937" w:type="pct"/>
                  <w:gridSpan w:val="2"/>
                  <w:vAlign w:val="center"/>
                  <w:shd w:val="clear" w:color="auto" w:fill="auto"/>
                </w:tcPr>
                <w:p w14:paraId="33EB852F">
                  <w:pPr>
                    <w:jc w:val="center"/>
                    <w:contextualSpacing/>
                    <w:rPr>
                      <w:color w:val="auto"/>
                      <w:szCs w:val="21"/>
                      <w:rFonts w:eastAsiaTheme="minorEastAsia"/>
                    </w:rPr>
                  </w:pPr>
                  <w:r>
                    <w:rPr>
                      <w:color w:val="auto"/>
                      <w:szCs w:val="21"/>
                      <w:rFonts w:eastAsiaTheme="minorEastAsia"/>
                    </w:rPr>
                    <w:t>台</w:t>
                  </w:r>
                </w:p>
              </w:tc>
            </w:tr>
            <w:tr w14:paraId="64056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9" w:type="pct"/>
                  <w:gridSpan w:val="2"/>
                  <w:vAlign w:val="center"/>
                  <w:shd w:val="clear" w:color="auto" w:fill="auto"/>
                </w:tcPr>
                <w:p w14:paraId="22B61053">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3</w:t>
                  </w:r>
                </w:p>
              </w:tc>
              <w:tc>
                <w:tcPr>
                  <w:tcW w:w="1205" w:type="pct"/>
                  <w:gridSpan w:val="2"/>
                  <w:vAlign w:val="center"/>
                  <w:shd w:val="clear" w:color="auto" w:fill="auto"/>
                </w:tcPr>
                <w:p w14:paraId="6D6325AE">
                  <w:pPr>
                    <w:jc w:val="center"/>
                    <w:contextualSpacing/>
                    <w:rPr>
                      <w:color w:val="auto"/>
                      <w:szCs w:val="21"/>
                      <w:rFonts w:eastAsiaTheme="minorEastAsia"/>
                    </w:rPr>
                  </w:pPr>
                  <w:r>
                    <w:rPr>
                      <w:color w:val="auto"/>
                      <w:szCs w:val="21"/>
                      <w:rFonts w:eastAsiaTheme="minorEastAsia"/>
                    </w:rPr>
                    <w:t>燃烧器</w:t>
                  </w:r>
                </w:p>
              </w:tc>
              <w:tc>
                <w:tcPr>
                  <w:tcW w:w="1224" w:type="pct"/>
                  <w:vAlign w:val="center"/>
                  <w:shd w:val="clear" w:color="auto" w:fill="auto"/>
                </w:tcPr>
                <w:p w14:paraId="59C2B85B">
                  <w:pPr>
                    <w:jc w:val="center"/>
                    <w:contextualSpacing/>
                    <w:rPr>
                      <w:color w:val="auto"/>
                      <w:szCs w:val="21"/>
                      <w:rFonts w:eastAsiaTheme="minorEastAsia"/>
                    </w:rPr>
                  </w:pPr>
                  <w:r>
                    <w:rPr>
                      <w:color w:val="auto"/>
                      <w:szCs w:val="21"/>
                      <w:rFonts w:hint="eastAsia" w:eastAsiaTheme="minorEastAsia"/>
                    </w:rPr>
                    <w:t>28MW</w:t>
                  </w:r>
                </w:p>
              </w:tc>
              <w:tc>
                <w:tcPr>
                  <w:tcW w:w="1071" w:type="pct"/>
                  <w:gridSpan w:val="2"/>
                  <w:vAlign w:val="center"/>
                  <w:shd w:val="clear" w:color="auto" w:fill="auto"/>
                </w:tcPr>
                <w:p w14:paraId="40BBC2E3">
                  <w:pPr>
                    <w:jc w:val="center"/>
                    <w:contextualSpacing/>
                    <w:rPr>
                      <w:color w:val="auto"/>
                      <w:szCs w:val="21"/>
                      <w:rFonts w:eastAsiaTheme="minorEastAsia"/>
                    </w:rPr>
                  </w:pPr>
                  <w:r>
                    <w:rPr>
                      <w:color w:val="auto"/>
                      <w:szCs w:val="21"/>
                      <w:rFonts w:eastAsiaTheme="minorEastAsia"/>
                    </w:rPr>
                    <w:t>1</w:t>
                  </w:r>
                </w:p>
              </w:tc>
              <w:tc>
                <w:tcPr>
                  <w:tcW w:w="937" w:type="pct"/>
                  <w:gridSpan w:val="2"/>
                  <w:vAlign w:val="center"/>
                  <w:shd w:val="clear" w:color="auto" w:fill="auto"/>
                </w:tcPr>
                <w:p w14:paraId="28FCBC51">
                  <w:pPr>
                    <w:jc w:val="center"/>
                    <w:contextualSpacing/>
                    <w:rPr>
                      <w:color w:val="auto"/>
                      <w:szCs w:val="21"/>
                      <w:rFonts w:eastAsiaTheme="minorEastAsia"/>
                    </w:rPr>
                  </w:pPr>
                  <w:r>
                    <w:rPr>
                      <w:color w:val="auto"/>
                      <w:szCs w:val="21"/>
                      <w:rFonts w:eastAsiaTheme="minorEastAsia"/>
                    </w:rPr>
                    <w:t>台</w:t>
                  </w:r>
                </w:p>
              </w:tc>
            </w:tr>
            <w:tr w14:paraId="61914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9" w:type="pct"/>
                  <w:gridSpan w:val="2"/>
                  <w:vAlign w:val="center"/>
                  <w:shd w:val="clear" w:color="auto" w:fill="auto"/>
                </w:tcPr>
                <w:p w14:paraId="068B6699">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4</w:t>
                  </w:r>
                </w:p>
              </w:tc>
              <w:tc>
                <w:tcPr>
                  <w:tcW w:w="1205" w:type="pct"/>
                  <w:gridSpan w:val="2"/>
                  <w:vAlign w:val="center"/>
                  <w:shd w:val="clear" w:color="auto" w:fill="auto"/>
                </w:tcPr>
                <w:p w14:paraId="531847AF">
                  <w:pPr>
                    <w:jc w:val="center"/>
                    <w:contextualSpacing/>
                    <w:rPr>
                      <w:color w:val="auto"/>
                      <w:szCs w:val="21"/>
                      <w:rFonts w:eastAsiaTheme="minorEastAsia"/>
                    </w:rPr>
                  </w:pPr>
                  <w:r>
                    <w:rPr>
                      <w:color w:val="auto"/>
                      <w:szCs w:val="21"/>
                      <w:rFonts w:eastAsiaTheme="minorEastAsia"/>
                    </w:rPr>
                    <w:t>振动筛</w:t>
                  </w:r>
                </w:p>
              </w:tc>
              <w:tc>
                <w:tcPr>
                  <w:tcW w:w="1224" w:type="pct"/>
                  <w:vAlign w:val="center"/>
                  <w:shd w:val="clear" w:color="auto" w:fill="auto"/>
                </w:tcPr>
                <w:p w14:paraId="1F3D3C83">
                  <w:pPr>
                    <w:jc w:val="center"/>
                    <w:contextualSpacing/>
                    <w:rPr>
                      <w:color w:val="auto"/>
                      <w:szCs w:val="21"/>
                      <w:rFonts w:eastAsiaTheme="minorEastAsia"/>
                    </w:rPr>
                  </w:pPr>
                  <w:r>
                    <w:rPr>
                      <w:color w:val="auto"/>
                      <w:szCs w:val="21"/>
                      <w:rFonts w:eastAsiaTheme="minorEastAsia"/>
                    </w:rPr>
                    <w:t>/</w:t>
                  </w:r>
                </w:p>
              </w:tc>
              <w:tc>
                <w:tcPr>
                  <w:tcW w:w="1071" w:type="pct"/>
                  <w:gridSpan w:val="2"/>
                  <w:vAlign w:val="center"/>
                  <w:shd w:val="clear" w:color="auto" w:fill="auto"/>
                </w:tcPr>
                <w:p w14:paraId="44460479">
                  <w:pPr>
                    <w:jc w:val="center"/>
                    <w:contextualSpacing/>
                    <w:rPr>
                      <w:color w:val="auto"/>
                      <w:szCs w:val="21"/>
                      <w:rFonts w:eastAsiaTheme="minorEastAsia"/>
                    </w:rPr>
                  </w:pPr>
                  <w:r>
                    <w:rPr>
                      <w:color w:val="auto"/>
                      <w:szCs w:val="21"/>
                      <w:rFonts w:eastAsiaTheme="minorEastAsia"/>
                    </w:rPr>
                    <w:t>1</w:t>
                  </w:r>
                </w:p>
              </w:tc>
              <w:tc>
                <w:tcPr>
                  <w:tcW w:w="937" w:type="pct"/>
                  <w:gridSpan w:val="2"/>
                  <w:vAlign w:val="center"/>
                  <w:shd w:val="clear" w:color="auto" w:fill="auto"/>
                </w:tcPr>
                <w:p w14:paraId="1451C723">
                  <w:pPr>
                    <w:jc w:val="center"/>
                    <w:contextualSpacing/>
                    <w:rPr>
                      <w:color w:val="auto"/>
                      <w:szCs w:val="21"/>
                      <w:rFonts w:eastAsiaTheme="minorEastAsia"/>
                    </w:rPr>
                  </w:pPr>
                  <w:r>
                    <w:rPr>
                      <w:color w:val="auto"/>
                      <w:szCs w:val="21"/>
                      <w:rFonts w:eastAsiaTheme="minorEastAsia"/>
                    </w:rPr>
                    <w:t>台</w:t>
                  </w:r>
                </w:p>
              </w:tc>
            </w:tr>
            <w:tr w14:paraId="506A1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0FCEB617">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5</w:t>
                  </w:r>
                </w:p>
              </w:tc>
              <w:tc>
                <w:tcPr>
                  <w:tcW w:w="1200" w:type="pct"/>
                  <w:gridSpan w:val="2"/>
                  <w:vAlign w:val="center"/>
                  <w:shd w:val="clear" w:color="auto" w:fill="auto"/>
                </w:tcPr>
                <w:p w14:paraId="24F9C440">
                  <w:pPr>
                    <w:jc w:val="center"/>
                    <w:contextualSpacing/>
                    <w:rPr>
                      <w:color w:val="auto"/>
                      <w:szCs w:val="21"/>
                      <w:rFonts w:eastAsiaTheme="minorEastAsia"/>
                    </w:rPr>
                  </w:pPr>
                  <w:r>
                    <w:rPr>
                      <w:color w:val="auto"/>
                      <w:szCs w:val="21"/>
                      <w:rFonts w:eastAsiaTheme="minorEastAsia"/>
                    </w:rPr>
                    <w:t>骨料计量称</w:t>
                  </w:r>
                </w:p>
              </w:tc>
              <w:tc>
                <w:tcPr>
                  <w:tcW w:w="1250" w:type="pct"/>
                  <w:gridSpan w:val="3"/>
                  <w:vAlign w:val="center"/>
                  <w:shd w:val="clear" w:color="auto" w:fill="auto"/>
                </w:tcPr>
                <w:p w14:paraId="7A6438A7">
                  <w:pPr>
                    <w:jc w:val="center"/>
                    <w:contextualSpacing/>
                    <w:rPr>
                      <w:color w:val="auto"/>
                      <w:szCs w:val="21"/>
                      <w:rFonts w:eastAsiaTheme="minorEastAsia"/>
                    </w:rPr>
                  </w:pPr>
                  <w:r>
                    <w:rPr>
                      <w:color w:val="auto"/>
                      <w:szCs w:val="21"/>
                      <w:rFonts w:eastAsiaTheme="minorEastAsia"/>
                    </w:rPr>
                    <w:t>/</w:t>
                  </w:r>
                </w:p>
              </w:tc>
              <w:tc>
                <w:tcPr>
                  <w:tcW w:w="1065" w:type="pct"/>
                  <w:gridSpan w:val="2"/>
                  <w:vAlign w:val="center"/>
                  <w:shd w:val="clear" w:color="auto" w:fill="auto"/>
                </w:tcPr>
                <w:p w14:paraId="363D5B93">
                  <w:pPr>
                    <w:jc w:val="center"/>
                    <w:contextualSpacing/>
                    <w:rPr>
                      <w:color w:val="auto"/>
                      <w:szCs w:val="21"/>
                      <w:rFonts w:eastAsiaTheme="minorEastAsia"/>
                    </w:rPr>
                  </w:pPr>
                  <w:r>
                    <w:rPr>
                      <w:color w:val="auto"/>
                      <w:szCs w:val="21"/>
                      <w:rFonts w:eastAsiaTheme="minorEastAsia"/>
                    </w:rPr>
                    <w:t>1</w:t>
                  </w:r>
                </w:p>
              </w:tc>
              <w:tc>
                <w:tcPr>
                  <w:tcW w:w="931" w:type="pct"/>
                  <w:vAlign w:val="center"/>
                  <w:shd w:val="clear" w:color="auto" w:fill="auto"/>
                </w:tcPr>
                <w:p w14:paraId="3155BB78">
                  <w:pPr>
                    <w:jc w:val="center"/>
                    <w:contextualSpacing/>
                    <w:rPr>
                      <w:color w:val="auto"/>
                      <w:szCs w:val="21"/>
                      <w:rFonts w:eastAsiaTheme="minorEastAsia"/>
                    </w:rPr>
                  </w:pPr>
                  <w:r>
                    <w:rPr>
                      <w:color w:val="auto"/>
                      <w:szCs w:val="21"/>
                      <w:rFonts w:eastAsiaTheme="minorEastAsia"/>
                    </w:rPr>
                    <w:t>台</w:t>
                  </w:r>
                </w:p>
              </w:tc>
            </w:tr>
            <w:tr w14:paraId="19972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80" w:hRule="atLeast"/>
                <w:jc w:val="center"/>
              </w:trPr>
              <w:tc>
                <w:tcPr>
                  <w:tcW w:w="552" w:type="pct"/>
                  <w:vAlign w:val="center"/>
                  <w:shd w:val="clear" w:color="auto" w:fill="auto"/>
                </w:tcPr>
                <w:p w14:paraId="0CA6A8BD">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6</w:t>
                  </w:r>
                </w:p>
              </w:tc>
              <w:tc>
                <w:tcPr>
                  <w:tcW w:w="1200" w:type="pct"/>
                  <w:gridSpan w:val="2"/>
                  <w:vAlign w:val="center"/>
                  <w:shd w:val="clear" w:color="auto" w:fill="auto"/>
                </w:tcPr>
                <w:p w14:paraId="1A05C26A">
                  <w:pPr>
                    <w:jc w:val="center"/>
                    <w:contextualSpacing/>
                    <w:rPr>
                      <w:color w:val="auto"/>
                      <w:szCs w:val="21"/>
                      <w:rFonts w:eastAsiaTheme="minorEastAsia"/>
                    </w:rPr>
                  </w:pPr>
                  <w:r>
                    <w:rPr>
                      <w:color w:val="auto"/>
                      <w:szCs w:val="21"/>
                      <w:rFonts w:eastAsiaTheme="minorEastAsia"/>
                    </w:rPr>
                    <w:t>矿粉筒仓</w:t>
                  </w:r>
                </w:p>
              </w:tc>
              <w:tc>
                <w:tcPr>
                  <w:tcW w:w="1250" w:type="pct"/>
                  <w:gridSpan w:val="3"/>
                  <w:vAlign w:val="center"/>
                  <w:shd w:val="clear" w:color="auto" w:fill="auto"/>
                </w:tcPr>
                <w:p w14:paraId="47DF0695">
                  <w:pPr>
                    <w:jc w:val="center"/>
                    <w:contextualSpacing/>
                    <w:rPr>
                      <w:color w:val="auto"/>
                      <w:szCs w:val="21"/>
                      <w:rFonts w:eastAsiaTheme="minorEastAsia"/>
                    </w:rPr>
                  </w:pPr>
                  <w:r>
                    <w:rPr>
                      <w:color w:val="auto"/>
                      <w:szCs w:val="21"/>
                      <w:rFonts w:hint="eastAsia" w:eastAsiaTheme="minorEastAsia"/>
                    </w:rPr>
                    <w:t>70</w:t>
                  </w:r>
                  <w:r>
                    <w:rPr>
                      <w:color w:val="auto"/>
                      <w:szCs w:val="21"/>
                      <w:rFonts w:eastAsiaTheme="minorEastAsia"/>
                    </w:rPr>
                    <w:t>t</w:t>
                  </w:r>
                </w:p>
              </w:tc>
              <w:tc>
                <w:tcPr>
                  <w:tcW w:w="1065" w:type="pct"/>
                  <w:gridSpan w:val="2"/>
                  <w:vAlign w:val="center"/>
                  <w:shd w:val="clear" w:color="auto" w:fill="auto"/>
                </w:tcPr>
                <w:p w14:paraId="63AE4D59">
                  <w:pPr>
                    <w:jc w:val="center"/>
                    <w:contextualSpacing/>
                    <w:rPr>
                      <w:color w:val="auto"/>
                      <w:szCs w:val="21"/>
                      <w:rFonts w:eastAsiaTheme="minorEastAsia"/>
                    </w:rPr>
                  </w:pPr>
                  <w:r>
                    <w:rPr>
                      <w:color w:val="auto"/>
                      <w:szCs w:val="21"/>
                      <w:rFonts w:eastAsiaTheme="minorEastAsia"/>
                    </w:rPr>
                    <w:t>1</w:t>
                  </w:r>
                </w:p>
              </w:tc>
              <w:tc>
                <w:tcPr>
                  <w:tcW w:w="931" w:type="pct"/>
                  <w:vAlign w:val="center"/>
                  <w:shd w:val="clear" w:color="auto" w:fill="auto"/>
                </w:tcPr>
                <w:p w14:paraId="4B285AB4">
                  <w:pPr>
                    <w:jc w:val="center"/>
                    <w:contextualSpacing/>
                    <w:rPr>
                      <w:color w:val="auto"/>
                      <w:szCs w:val="21"/>
                      <w:rFonts w:eastAsiaTheme="minorEastAsia"/>
                    </w:rPr>
                  </w:pPr>
                  <w:r>
                    <w:rPr>
                      <w:color w:val="auto"/>
                      <w:szCs w:val="21"/>
                      <w:rFonts w:eastAsiaTheme="minorEastAsia"/>
                    </w:rPr>
                    <w:t>个</w:t>
                  </w:r>
                </w:p>
              </w:tc>
            </w:tr>
            <w:tr w14:paraId="0C26C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5DAFE4E5">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7</w:t>
                  </w:r>
                </w:p>
              </w:tc>
              <w:tc>
                <w:tcPr>
                  <w:tcW w:w="1200" w:type="pct"/>
                  <w:gridSpan w:val="2"/>
                  <w:vAlign w:val="center"/>
                  <w:shd w:val="clear" w:color="auto" w:fill="auto"/>
                </w:tcPr>
                <w:p w14:paraId="23C18F96">
                  <w:pPr>
                    <w:jc w:val="center"/>
                    <w:contextualSpacing/>
                    <w:rPr>
                      <w:color w:val="auto"/>
                      <w:szCs w:val="21"/>
                      <w:rFonts w:eastAsiaTheme="minorEastAsia"/>
                    </w:rPr>
                  </w:pPr>
                  <w:r>
                    <w:rPr>
                      <w:color w:val="auto"/>
                      <w:szCs w:val="21"/>
                      <w:rFonts w:eastAsiaTheme="minorEastAsia"/>
                    </w:rPr>
                    <w:t>导热油炉</w:t>
                  </w:r>
                </w:p>
              </w:tc>
              <w:tc>
                <w:tcPr>
                  <w:tcW w:w="1250" w:type="pct"/>
                  <w:gridSpan w:val="3"/>
                  <w:vAlign w:val="center"/>
                  <w:shd w:val="clear" w:color="auto" w:fill="auto"/>
                </w:tcPr>
                <w:p w14:paraId="213AD653">
                  <w:pPr>
                    <w:jc w:val="center"/>
                    <w:contextualSpacing/>
                    <w:rPr>
                      <w:color w:val="auto"/>
                      <w:szCs w:val="21"/>
                      <w:rFonts w:eastAsiaTheme="minorEastAsia"/>
                    </w:rPr>
                  </w:pPr>
                  <w:r>
                    <w:rPr>
                      <w:color w:val="auto"/>
                      <w:lang w:val="en-US" w:eastAsia="zh-CN"/>
                      <w:szCs w:val="21"/>
                      <w:rFonts w:ascii="Times New Roman" w:hAnsi="Times New Roman" w:cs="Times New Roman" w:hint="eastAsia" w:eastAsiaTheme="minorEastAsia"/>
                    </w:rPr>
                    <w:t>1.5</w:t>
                  </w:r>
                  <w:r>
                    <w:rPr>
                      <w:color w:val="auto"/>
                      <w:szCs w:val="21"/>
                      <w:rFonts w:ascii="Times New Roman" w:hAnsi="Times New Roman" w:cs="Times New Roman" w:hint="eastAsia" w:eastAsiaTheme="minorEastAsia"/>
                    </w:rPr>
                    <w:t>t/h</w:t>
                  </w:r>
                </w:p>
              </w:tc>
              <w:tc>
                <w:tcPr>
                  <w:tcW w:w="1065" w:type="pct"/>
                  <w:gridSpan w:val="2"/>
                  <w:vAlign w:val="center"/>
                  <w:shd w:val="clear" w:color="auto" w:fill="auto"/>
                </w:tcPr>
                <w:p w14:paraId="0DAAC82C">
                  <w:pPr>
                    <w:jc w:val="center"/>
                    <w:contextualSpacing/>
                    <w:rPr>
                      <w:color w:val="auto"/>
                      <w:szCs w:val="21"/>
                      <w:rFonts w:eastAsiaTheme="minorEastAsia"/>
                    </w:rPr>
                  </w:pPr>
                  <w:r>
                    <w:rPr>
                      <w:color w:val="auto"/>
                      <w:szCs w:val="21"/>
                      <w:rFonts w:eastAsiaTheme="minorEastAsia"/>
                    </w:rPr>
                    <w:t>1</w:t>
                  </w:r>
                </w:p>
              </w:tc>
              <w:tc>
                <w:tcPr>
                  <w:tcW w:w="931" w:type="pct"/>
                  <w:vAlign w:val="center"/>
                  <w:shd w:val="clear" w:color="auto" w:fill="auto"/>
                </w:tcPr>
                <w:p w14:paraId="5047BBE5">
                  <w:pPr>
                    <w:jc w:val="center"/>
                    <w:contextualSpacing/>
                    <w:rPr>
                      <w:color w:val="auto"/>
                      <w:szCs w:val="21"/>
                      <w:rFonts w:eastAsiaTheme="minorEastAsia"/>
                    </w:rPr>
                  </w:pPr>
                  <w:r>
                    <w:rPr>
                      <w:color w:val="auto"/>
                      <w:szCs w:val="21"/>
                      <w:rFonts w:eastAsiaTheme="minorEastAsia"/>
                    </w:rPr>
                    <w:t>台</w:t>
                  </w:r>
                </w:p>
              </w:tc>
            </w:tr>
            <w:tr w14:paraId="5239F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2BD70230">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8</w:t>
                  </w:r>
                </w:p>
              </w:tc>
              <w:tc>
                <w:tcPr>
                  <w:tcW w:w="1200" w:type="pct"/>
                  <w:gridSpan w:val="2"/>
                  <w:vAlign w:val="center"/>
                  <w:shd w:val="clear" w:color="auto" w:fill="auto"/>
                </w:tcPr>
                <w:p w14:paraId="7EE6EF38">
                  <w:pPr>
                    <w:jc w:val="center"/>
                    <w:contextualSpacing/>
                    <w:rPr>
                      <w:color w:val="auto"/>
                      <w:szCs w:val="21"/>
                      <w:rFonts w:eastAsiaTheme="minorEastAsia"/>
                    </w:rPr>
                  </w:pPr>
                  <w:r>
                    <w:rPr>
                      <w:color w:val="auto"/>
                      <w:szCs w:val="21"/>
                      <w:rFonts w:eastAsiaTheme="minorEastAsia"/>
                    </w:rPr>
                    <w:t>沥青罐</w:t>
                  </w:r>
                </w:p>
              </w:tc>
              <w:tc>
                <w:tcPr>
                  <w:tcW w:w="1250" w:type="pct"/>
                  <w:gridSpan w:val="3"/>
                  <w:vAlign w:val="center"/>
                  <w:shd w:val="clear" w:color="auto" w:fill="auto"/>
                </w:tcPr>
                <w:p w14:paraId="75823AE0">
                  <w:pPr>
                    <w:jc w:val="center"/>
                    <w:contextualSpacing/>
                    <w:rPr>
                      <w:color w:val="auto"/>
                      <w:szCs w:val="21"/>
                      <w:rFonts w:eastAsiaTheme="minorEastAsia"/>
                    </w:rPr>
                  </w:pPr>
                  <w:r>
                    <w:rPr>
                      <w:color w:val="auto"/>
                      <w:szCs w:val="21"/>
                      <w:rFonts w:eastAsiaTheme="minorEastAsia"/>
                    </w:rPr>
                    <w:t>50t</w:t>
                  </w:r>
                </w:p>
              </w:tc>
              <w:tc>
                <w:tcPr>
                  <w:tcW w:w="1065" w:type="pct"/>
                  <w:gridSpan w:val="2"/>
                  <w:vAlign w:val="center"/>
                  <w:shd w:val="clear" w:color="auto" w:fill="auto"/>
                </w:tcPr>
                <w:p w14:paraId="06CDB483">
                  <w:pPr>
                    <w:jc w:val="center"/>
                    <w:contextualSpacing/>
                    <w:rPr>
                      <w:color w:val="auto"/>
                      <w:lang w:eastAsia="zh-CN"/>
                      <w:szCs w:val="21"/>
                      <w:rFonts w:hint="eastAsia" w:eastAsiaTheme="minorEastAsia"/>
                    </w:rPr>
                  </w:pPr>
                  <w:r>
                    <w:rPr>
                      <w:color w:val="auto"/>
                      <w:lang w:val="en-US" w:eastAsia="zh-CN"/>
                      <w:szCs w:val="21"/>
                      <w:rFonts w:hint="eastAsia" w:eastAsiaTheme="minorEastAsia"/>
                    </w:rPr>
                    <w:t>6</w:t>
                  </w:r>
                </w:p>
              </w:tc>
              <w:tc>
                <w:tcPr>
                  <w:tcW w:w="931" w:type="pct"/>
                  <w:vAlign w:val="center"/>
                  <w:shd w:val="clear" w:color="auto" w:fill="auto"/>
                </w:tcPr>
                <w:p w14:paraId="21AF5B3A">
                  <w:pPr>
                    <w:jc w:val="center"/>
                    <w:contextualSpacing/>
                    <w:rPr>
                      <w:color w:val="auto"/>
                      <w:szCs w:val="21"/>
                      <w:rFonts w:eastAsiaTheme="minorEastAsia"/>
                    </w:rPr>
                  </w:pPr>
                  <w:r>
                    <w:rPr>
                      <w:color w:val="auto"/>
                      <w:szCs w:val="21"/>
                      <w:rFonts w:eastAsiaTheme="minorEastAsia"/>
                    </w:rPr>
                    <w:t>个</w:t>
                  </w:r>
                </w:p>
              </w:tc>
            </w:tr>
            <w:tr w14:paraId="49AA3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80" w:hRule="atLeast"/>
                <w:jc w:val="center"/>
              </w:trPr>
              <w:tc>
                <w:tcPr>
                  <w:tcW w:w="552" w:type="pct"/>
                  <w:vAlign w:val="center"/>
                  <w:shd w:val="clear" w:color="auto" w:fill="auto"/>
                </w:tcPr>
                <w:p w14:paraId="6EC2F7AF">
                  <w:pPr>
                    <w:pStyle w:val="59"/>
                    <w:jc w:val="center"/>
                    <w:contextualSpacing/>
                    <w:spacing w:afterLines="0" w:beforeLines="0"/>
                    <w:ind w:firstLine="0" w:firstLineChars="0"/>
                    <w:rPr>
                      <w:color w:val="auto"/>
                      <w:sz w:val="21"/>
                      <w:szCs w:val="21"/>
                      <w:rFonts w:eastAsiaTheme="minorEastAsia"/>
                    </w:rPr>
                  </w:pPr>
                  <w:r>
                    <w:rPr>
                      <w:color w:val="auto"/>
                      <w:sz w:val="21"/>
                      <w:szCs w:val="21"/>
                      <w:rFonts w:hint="eastAsia" w:eastAsiaTheme="minorEastAsia"/>
                    </w:rPr>
                    <w:t>9</w:t>
                  </w:r>
                </w:p>
              </w:tc>
              <w:tc>
                <w:tcPr>
                  <w:tcW w:w="1200" w:type="pct"/>
                  <w:gridSpan w:val="2"/>
                  <w:vAlign w:val="center"/>
                  <w:shd w:val="clear" w:color="auto" w:fill="auto"/>
                </w:tcPr>
                <w:p w14:paraId="7B651891">
                  <w:pPr>
                    <w:jc w:val="center"/>
                    <w:contextualSpacing/>
                    <w:rPr>
                      <w:color w:val="auto"/>
                      <w:szCs w:val="21"/>
                      <w:rFonts w:eastAsiaTheme="minorEastAsia"/>
                    </w:rPr>
                  </w:pPr>
                  <w:r>
                    <w:rPr>
                      <w:color w:val="auto"/>
                      <w:szCs w:val="21"/>
                      <w:rFonts w:eastAsiaTheme="minorEastAsia"/>
                    </w:rPr>
                    <w:t>铲车</w:t>
                  </w:r>
                </w:p>
              </w:tc>
              <w:tc>
                <w:tcPr>
                  <w:tcW w:w="1250" w:type="pct"/>
                  <w:gridSpan w:val="3"/>
                  <w:vAlign w:val="center"/>
                  <w:shd w:val="clear" w:color="auto" w:fill="auto"/>
                </w:tcPr>
                <w:p w14:paraId="0FABFD0C">
                  <w:pPr>
                    <w:jc w:val="center"/>
                    <w:contextualSpacing/>
                    <w:rPr>
                      <w:color w:val="auto"/>
                      <w:szCs w:val="21"/>
                      <w:rFonts w:eastAsiaTheme="minorEastAsia"/>
                    </w:rPr>
                  </w:pPr>
                  <w:r>
                    <w:rPr>
                      <w:color w:val="auto"/>
                      <w:szCs w:val="21"/>
                      <w:rFonts w:eastAsiaTheme="minorEastAsia"/>
                    </w:rPr>
                    <w:t>/</w:t>
                  </w:r>
                </w:p>
              </w:tc>
              <w:tc>
                <w:tcPr>
                  <w:tcW w:w="1065" w:type="pct"/>
                  <w:gridSpan w:val="2"/>
                  <w:vAlign w:val="center"/>
                  <w:shd w:val="clear" w:color="auto" w:fill="auto"/>
                </w:tcPr>
                <w:p w14:paraId="4CF445A4">
                  <w:pPr>
                    <w:jc w:val="center"/>
                    <w:contextualSpacing/>
                    <w:rPr>
                      <w:color w:val="auto"/>
                      <w:szCs w:val="21"/>
                      <w:rFonts w:eastAsiaTheme="minorEastAsia"/>
                    </w:rPr>
                  </w:pPr>
                  <w:r>
                    <w:rPr>
                      <w:color w:val="auto"/>
                      <w:szCs w:val="21"/>
                      <w:rFonts w:hint="eastAsia" w:eastAsiaTheme="minorEastAsia"/>
                    </w:rPr>
                    <w:t>2</w:t>
                  </w:r>
                </w:p>
              </w:tc>
              <w:tc>
                <w:tcPr>
                  <w:tcW w:w="931" w:type="pct"/>
                  <w:vAlign w:val="center"/>
                  <w:shd w:val="clear" w:color="auto" w:fill="auto"/>
                </w:tcPr>
                <w:p w14:paraId="7E2DA950">
                  <w:pPr>
                    <w:jc w:val="center"/>
                    <w:contextualSpacing/>
                    <w:rPr>
                      <w:color w:val="auto"/>
                      <w:szCs w:val="21"/>
                      <w:rFonts w:eastAsiaTheme="minorEastAsia"/>
                    </w:rPr>
                  </w:pPr>
                  <w:r>
                    <w:rPr>
                      <w:color w:val="auto"/>
                      <w:szCs w:val="21"/>
                      <w:rFonts w:eastAsiaTheme="minorEastAsia"/>
                    </w:rPr>
                    <w:t>辆</w:t>
                  </w:r>
                </w:p>
              </w:tc>
            </w:tr>
            <w:tr w14:paraId="48B86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3192DCDC">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1</w:t>
                  </w:r>
                  <w:r>
                    <w:rPr>
                      <w:color w:val="auto"/>
                      <w:sz w:val="21"/>
                      <w:szCs w:val="21"/>
                      <w:rFonts w:hint="eastAsia" w:eastAsiaTheme="minorEastAsia"/>
                    </w:rPr>
                    <w:t>0</w:t>
                  </w:r>
                </w:p>
              </w:tc>
              <w:tc>
                <w:tcPr>
                  <w:tcW w:w="1200" w:type="pct"/>
                  <w:gridSpan w:val="2"/>
                  <w:vAlign w:val="center"/>
                  <w:shd w:val="clear" w:color="auto" w:fill="auto"/>
                </w:tcPr>
                <w:p w14:paraId="6DE4812F">
                  <w:pPr>
                    <w:jc w:val="center"/>
                    <w:contextualSpacing/>
                    <w:rPr>
                      <w:color w:val="auto"/>
                      <w:szCs w:val="21"/>
                      <w:rFonts w:eastAsiaTheme="minorEastAsia"/>
                    </w:rPr>
                  </w:pPr>
                  <w:r>
                    <w:rPr>
                      <w:color w:val="auto"/>
                      <w:szCs w:val="21"/>
                      <w:rFonts w:eastAsiaTheme="minorEastAsia"/>
                    </w:rPr>
                    <w:t>皮带</w:t>
                  </w:r>
                </w:p>
              </w:tc>
              <w:tc>
                <w:tcPr>
                  <w:tcW w:w="1250" w:type="pct"/>
                  <w:gridSpan w:val="3"/>
                  <w:vAlign w:val="center"/>
                  <w:shd w:val="clear" w:color="auto" w:fill="auto"/>
                </w:tcPr>
                <w:p w14:paraId="27DDB524">
                  <w:pPr>
                    <w:jc w:val="center"/>
                    <w:contextualSpacing/>
                    <w:rPr>
                      <w:color w:val="auto"/>
                      <w:szCs w:val="21"/>
                      <w:rFonts w:eastAsiaTheme="minorEastAsia"/>
                    </w:rPr>
                  </w:pPr>
                  <w:r>
                    <w:rPr>
                      <w:color w:val="auto"/>
                      <w:szCs w:val="21"/>
                      <w:rFonts w:eastAsiaTheme="minorEastAsia"/>
                    </w:rPr>
                    <w:t>/</w:t>
                  </w:r>
                </w:p>
              </w:tc>
              <w:tc>
                <w:tcPr>
                  <w:tcW w:w="1065" w:type="pct"/>
                  <w:gridSpan w:val="2"/>
                  <w:vAlign w:val="center"/>
                  <w:shd w:val="clear" w:color="auto" w:fill="auto"/>
                </w:tcPr>
                <w:p w14:paraId="70F57DE7">
                  <w:pPr>
                    <w:jc w:val="center"/>
                    <w:contextualSpacing/>
                    <w:rPr>
                      <w:color w:val="auto"/>
                      <w:szCs w:val="21"/>
                      <w:rFonts w:eastAsiaTheme="minorEastAsia"/>
                    </w:rPr>
                  </w:pPr>
                  <w:r>
                    <w:rPr>
                      <w:color w:val="auto"/>
                      <w:szCs w:val="21"/>
                      <w:rFonts w:hint="eastAsia" w:eastAsiaTheme="minorEastAsia"/>
                    </w:rPr>
                    <w:t>3</w:t>
                  </w:r>
                </w:p>
              </w:tc>
              <w:tc>
                <w:tcPr>
                  <w:tcW w:w="931" w:type="pct"/>
                  <w:vAlign w:val="center"/>
                  <w:shd w:val="clear" w:color="auto" w:fill="auto"/>
                </w:tcPr>
                <w:p w14:paraId="1B1A780E">
                  <w:pPr>
                    <w:jc w:val="center"/>
                    <w:contextualSpacing/>
                    <w:rPr>
                      <w:color w:val="auto"/>
                      <w:szCs w:val="21"/>
                      <w:rFonts w:eastAsiaTheme="minorEastAsia"/>
                    </w:rPr>
                  </w:pPr>
                  <w:r>
                    <w:rPr>
                      <w:color w:val="auto"/>
                      <w:szCs w:val="21"/>
                      <w:rFonts w:eastAsiaTheme="minorEastAsia"/>
                    </w:rPr>
                    <w:t>条</w:t>
                  </w:r>
                </w:p>
              </w:tc>
            </w:tr>
            <w:tr w14:paraId="13FEA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13CB1098">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1</w:t>
                  </w:r>
                  <w:r>
                    <w:rPr>
                      <w:color w:val="auto"/>
                      <w:sz w:val="21"/>
                      <w:szCs w:val="21"/>
                      <w:rFonts w:hint="eastAsia" w:eastAsiaTheme="minorEastAsia"/>
                    </w:rPr>
                    <w:t>1</w:t>
                  </w:r>
                </w:p>
              </w:tc>
              <w:tc>
                <w:tcPr>
                  <w:tcW w:w="1200" w:type="pct"/>
                  <w:gridSpan w:val="2"/>
                  <w:vAlign w:val="center"/>
                  <w:shd w:val="clear" w:color="auto" w:fill="auto"/>
                </w:tcPr>
                <w:p w14:paraId="51E74743">
                  <w:pPr>
                    <w:jc w:val="center"/>
                    <w:contextualSpacing/>
                    <w:rPr>
                      <w:color w:val="auto"/>
                      <w:szCs w:val="21"/>
                      <w:rFonts w:eastAsiaTheme="minorEastAsia"/>
                    </w:rPr>
                  </w:pPr>
                  <w:r>
                    <w:rPr>
                      <w:color w:val="auto"/>
                      <w:szCs w:val="21"/>
                      <w:rFonts w:hint="eastAsia" w:eastAsiaTheme="minorEastAsia"/>
                    </w:rPr>
                    <w:t>天然气罐</w:t>
                  </w:r>
                </w:p>
              </w:tc>
              <w:tc>
                <w:tcPr>
                  <w:tcW w:w="1250" w:type="pct"/>
                  <w:gridSpan w:val="3"/>
                  <w:vAlign w:val="center"/>
                  <w:shd w:val="clear" w:color="auto" w:fill="auto"/>
                </w:tcPr>
                <w:p w14:paraId="73140426">
                  <w:pPr>
                    <w:jc w:val="center"/>
                    <w:contextualSpacing/>
                    <w:rPr>
                      <w:color w:val="auto"/>
                      <w:szCs w:val="21"/>
                      <w:rFonts w:eastAsiaTheme="minorEastAsia"/>
                    </w:rPr>
                  </w:pPr>
                  <w:r>
                    <w:rPr>
                      <w:color w:val="auto"/>
                      <w:szCs w:val="21"/>
                      <w:rFonts w:hint="eastAsia" w:eastAsiaTheme="minorEastAsia"/>
                    </w:rPr>
                    <w:t>5</w:t>
                  </w:r>
                  <w:r>
                    <w:rPr>
                      <w:color w:val="auto"/>
                      <w:szCs w:val="21"/>
                      <w:rFonts w:eastAsiaTheme="minorEastAsia"/>
                    </w:rPr>
                    <w:t>t</w:t>
                  </w:r>
                </w:p>
              </w:tc>
              <w:tc>
                <w:tcPr>
                  <w:tcW w:w="1065" w:type="pct"/>
                  <w:gridSpan w:val="2"/>
                  <w:vAlign w:val="center"/>
                  <w:shd w:val="clear" w:color="auto" w:fill="auto"/>
                </w:tcPr>
                <w:p w14:paraId="2765BFF8">
                  <w:pPr>
                    <w:jc w:val="center"/>
                    <w:contextualSpacing/>
                    <w:rPr>
                      <w:color w:val="auto"/>
                      <w:szCs w:val="21"/>
                      <w:rFonts w:eastAsiaTheme="minorEastAsia"/>
                    </w:rPr>
                  </w:pPr>
                  <w:r>
                    <w:rPr>
                      <w:color w:val="auto"/>
                      <w:szCs w:val="21"/>
                      <w:rFonts w:hint="eastAsia" w:eastAsiaTheme="minorEastAsia"/>
                    </w:rPr>
                    <w:t>8</w:t>
                  </w:r>
                </w:p>
              </w:tc>
              <w:tc>
                <w:tcPr>
                  <w:tcW w:w="931" w:type="pct"/>
                  <w:vAlign w:val="center"/>
                  <w:shd w:val="clear" w:color="auto" w:fill="auto"/>
                </w:tcPr>
                <w:p w14:paraId="73D68EA8">
                  <w:pPr>
                    <w:jc w:val="center"/>
                    <w:contextualSpacing/>
                    <w:rPr>
                      <w:color w:val="auto"/>
                      <w:szCs w:val="21"/>
                      <w:rFonts w:eastAsiaTheme="minorEastAsia"/>
                    </w:rPr>
                  </w:pPr>
                  <w:r>
                    <w:rPr>
                      <w:color w:val="auto"/>
                      <w:szCs w:val="21"/>
                      <w:rFonts w:eastAsiaTheme="minorEastAsia"/>
                    </w:rPr>
                    <w:t>个</w:t>
                  </w:r>
                </w:p>
              </w:tc>
            </w:tr>
            <w:tr w14:paraId="5EDD5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292CF317">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1</w:t>
                  </w:r>
                  <w:r>
                    <w:rPr>
                      <w:color w:val="auto"/>
                      <w:sz w:val="21"/>
                      <w:szCs w:val="21"/>
                      <w:rFonts w:hint="eastAsia" w:eastAsiaTheme="minorEastAsia"/>
                    </w:rPr>
                    <w:t>3</w:t>
                  </w:r>
                </w:p>
              </w:tc>
              <w:tc>
                <w:tcPr>
                  <w:tcW w:w="1200" w:type="pct"/>
                  <w:gridSpan w:val="2"/>
                  <w:vAlign w:val="center"/>
                  <w:shd w:val="clear" w:color="auto" w:fill="auto"/>
                </w:tcPr>
                <w:p w14:paraId="59736730">
                  <w:pPr>
                    <w:jc w:val="center"/>
                    <w:contextualSpacing/>
                    <w:rPr>
                      <w:color w:val="auto"/>
                      <w:szCs w:val="21"/>
                      <w:rFonts w:eastAsiaTheme="minorEastAsia"/>
                    </w:rPr>
                  </w:pPr>
                  <w:r>
                    <w:rPr>
                      <w:color w:val="auto"/>
                      <w:szCs w:val="21"/>
                      <w:rFonts w:eastAsiaTheme="minorEastAsia"/>
                    </w:rPr>
                    <w:t>热料仓</w:t>
                  </w:r>
                </w:p>
              </w:tc>
              <w:tc>
                <w:tcPr>
                  <w:tcW w:w="1250" w:type="pct"/>
                  <w:gridSpan w:val="3"/>
                  <w:vAlign w:val="center"/>
                  <w:shd w:val="clear" w:color="auto" w:fill="auto"/>
                </w:tcPr>
                <w:p w14:paraId="738D124A">
                  <w:pPr>
                    <w:jc w:val="center"/>
                    <w:contextualSpacing/>
                    <w:rPr>
                      <w:color w:val="auto"/>
                      <w:szCs w:val="21"/>
                      <w:rFonts w:eastAsiaTheme="minorEastAsia"/>
                    </w:rPr>
                  </w:pPr>
                  <w:r>
                    <w:rPr>
                      <w:color w:val="auto"/>
                      <w:szCs w:val="21"/>
                      <w:rFonts w:eastAsiaTheme="minorEastAsia"/>
                    </w:rPr>
                    <w:t>X-LJ(X)4000</w:t>
                  </w:r>
                </w:p>
              </w:tc>
              <w:tc>
                <w:tcPr>
                  <w:tcW w:w="1065" w:type="pct"/>
                  <w:gridSpan w:val="2"/>
                  <w:vAlign w:val="center"/>
                  <w:shd w:val="clear" w:color="auto" w:fill="auto"/>
                </w:tcPr>
                <w:p w14:paraId="2DBCE22B">
                  <w:pPr>
                    <w:jc w:val="center"/>
                    <w:contextualSpacing/>
                    <w:rPr>
                      <w:color w:val="auto"/>
                      <w:szCs w:val="21"/>
                      <w:rFonts w:eastAsiaTheme="minorEastAsia"/>
                    </w:rPr>
                  </w:pPr>
                  <w:r>
                    <w:rPr>
                      <w:color w:val="auto"/>
                      <w:szCs w:val="21"/>
                      <w:rFonts w:eastAsiaTheme="minorEastAsia"/>
                    </w:rPr>
                    <w:t>6</w:t>
                  </w:r>
                </w:p>
              </w:tc>
              <w:tc>
                <w:tcPr>
                  <w:tcW w:w="931" w:type="pct"/>
                  <w:vAlign w:val="center"/>
                  <w:shd w:val="clear" w:color="auto" w:fill="auto"/>
                </w:tcPr>
                <w:p w14:paraId="6A703C77">
                  <w:pPr>
                    <w:jc w:val="center"/>
                    <w:contextualSpacing/>
                    <w:rPr>
                      <w:color w:val="auto"/>
                      <w:szCs w:val="21"/>
                      <w:rFonts w:eastAsiaTheme="minorEastAsia"/>
                    </w:rPr>
                  </w:pPr>
                  <w:r>
                    <w:rPr>
                      <w:color w:val="auto"/>
                      <w:szCs w:val="21"/>
                      <w:rFonts w:eastAsiaTheme="minorEastAsia"/>
                    </w:rPr>
                    <w:t>个</w:t>
                  </w:r>
                </w:p>
              </w:tc>
            </w:tr>
            <w:tr w14:paraId="6FC66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29E75E8D">
                  <w:pPr>
                    <w:pStyle w:val="59"/>
                    <w:jc w:val="center"/>
                    <w:contextualSpacing/>
                    <w:spacing w:afterLines="0" w:beforeLines="0"/>
                    <w:ind w:firstLine="0" w:firstLineChars="0"/>
                    <w:rPr>
                      <w:color w:val="auto"/>
                      <w:sz w:val="21"/>
                      <w:szCs w:val="21"/>
                      <w:rFonts w:eastAsiaTheme="minorEastAsia"/>
                    </w:rPr>
                  </w:pPr>
                  <w:r>
                    <w:rPr>
                      <w:color w:val="auto"/>
                      <w:sz w:val="21"/>
                      <w:szCs w:val="21"/>
                      <w:rFonts w:eastAsiaTheme="minorEastAsia"/>
                    </w:rPr>
                    <w:t>1</w:t>
                  </w:r>
                  <w:r>
                    <w:rPr>
                      <w:color w:val="auto"/>
                      <w:sz w:val="21"/>
                      <w:szCs w:val="21"/>
                      <w:rFonts w:hint="eastAsia" w:eastAsiaTheme="minorEastAsia"/>
                    </w:rPr>
                    <w:t>4</w:t>
                  </w:r>
                </w:p>
              </w:tc>
              <w:tc>
                <w:tcPr>
                  <w:tcW w:w="1200" w:type="pct"/>
                  <w:gridSpan w:val="2"/>
                  <w:vAlign w:val="center"/>
                  <w:shd w:val="clear" w:color="auto" w:fill="auto"/>
                </w:tcPr>
                <w:p w14:paraId="09B0586F">
                  <w:pPr>
                    <w:jc w:val="center"/>
                    <w:contextualSpacing/>
                    <w:rPr>
                      <w:color w:val="auto"/>
                      <w:szCs w:val="21"/>
                      <w:rFonts w:eastAsiaTheme="minorEastAsia"/>
                    </w:rPr>
                  </w:pPr>
                  <w:r>
                    <w:rPr>
                      <w:color w:val="auto"/>
                      <w:szCs w:val="21"/>
                      <w:rFonts w:eastAsiaTheme="minorEastAsia"/>
                    </w:rPr>
                    <w:t>冷料仓</w:t>
                  </w:r>
                </w:p>
              </w:tc>
              <w:tc>
                <w:tcPr>
                  <w:tcW w:w="1250" w:type="pct"/>
                  <w:gridSpan w:val="3"/>
                  <w:vAlign w:val="center"/>
                  <w:shd w:val="clear" w:color="auto" w:fill="auto"/>
                </w:tcPr>
                <w:p w14:paraId="2391015B">
                  <w:pPr>
                    <w:jc w:val="center"/>
                    <w:contextualSpacing/>
                    <w:rPr>
                      <w:color w:val="auto"/>
                      <w:szCs w:val="21"/>
                      <w:rFonts w:eastAsiaTheme="minorEastAsia"/>
                    </w:rPr>
                  </w:pPr>
                  <w:r>
                    <w:rPr>
                      <w:color w:val="auto"/>
                      <w:szCs w:val="21"/>
                      <w:rFonts w:eastAsiaTheme="minorEastAsia"/>
                    </w:rPr>
                    <w:t>/</w:t>
                  </w:r>
                </w:p>
              </w:tc>
              <w:tc>
                <w:tcPr>
                  <w:tcW w:w="1065" w:type="pct"/>
                  <w:gridSpan w:val="2"/>
                  <w:vAlign w:val="center"/>
                  <w:shd w:val="clear" w:color="auto" w:fill="auto"/>
                </w:tcPr>
                <w:p w14:paraId="768FB69F">
                  <w:pPr>
                    <w:jc w:val="center"/>
                    <w:contextualSpacing/>
                    <w:rPr>
                      <w:color w:val="auto"/>
                      <w:szCs w:val="21"/>
                      <w:rFonts w:eastAsiaTheme="minorEastAsia"/>
                    </w:rPr>
                  </w:pPr>
                  <w:r>
                    <w:rPr>
                      <w:color w:val="auto"/>
                      <w:szCs w:val="21"/>
                      <w:rFonts w:eastAsiaTheme="minorEastAsia"/>
                    </w:rPr>
                    <w:t>6</w:t>
                  </w:r>
                </w:p>
              </w:tc>
              <w:tc>
                <w:tcPr>
                  <w:tcW w:w="931" w:type="pct"/>
                  <w:vAlign w:val="center"/>
                  <w:shd w:val="clear" w:color="auto" w:fill="auto"/>
                </w:tcPr>
                <w:p w14:paraId="23C37D07">
                  <w:pPr>
                    <w:jc w:val="center"/>
                    <w:contextualSpacing/>
                    <w:rPr>
                      <w:color w:val="auto"/>
                      <w:szCs w:val="21"/>
                      <w:rFonts w:eastAsiaTheme="minorEastAsia"/>
                    </w:rPr>
                  </w:pPr>
                  <w:r>
                    <w:rPr>
                      <w:color w:val="auto"/>
                      <w:szCs w:val="21"/>
                      <w:rFonts w:eastAsiaTheme="minorEastAsia"/>
                    </w:rPr>
                    <w:t>个</w:t>
                  </w:r>
                </w:p>
              </w:tc>
            </w:tr>
            <w:tr w14:paraId="44193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6" w:hRule="atLeast"/>
                <w:jc w:val="center"/>
              </w:trPr>
              <w:tc>
                <w:tcPr>
                  <w:tcW w:w="552" w:type="pct"/>
                  <w:vAlign w:val="center"/>
                  <w:shd w:val="clear" w:color="auto" w:fill="auto"/>
                </w:tcPr>
                <w:p w14:paraId="6E949C90">
                  <w:pPr>
                    <w:pStyle w:val="59"/>
                    <w:jc w:val="center"/>
                    <w:contextualSpacing/>
                    <w:spacing w:afterLines="0" w:beforeLines="0"/>
                    <w:ind w:firstLine="0" w:firstLineChars="0"/>
                    <w:rPr>
                      <w:color w:val="auto"/>
                      <w:sz w:val="21"/>
                      <w:szCs w:val="21"/>
                      <w:rFonts w:eastAsiaTheme="minorEastAsia"/>
                    </w:rPr>
                  </w:pPr>
                  <w:r>
                    <w:rPr>
                      <w:color w:val="auto"/>
                      <w:sz w:val="21"/>
                      <w:szCs w:val="21"/>
                      <w:rFonts w:hint="eastAsia" w:eastAsiaTheme="minorEastAsia"/>
                    </w:rPr>
                    <w:t>15</w:t>
                  </w:r>
                </w:p>
              </w:tc>
              <w:tc>
                <w:tcPr>
                  <w:tcW w:w="1200" w:type="pct"/>
                  <w:gridSpan w:val="2"/>
                  <w:vAlign w:val="center"/>
                  <w:shd w:val="clear" w:color="auto" w:fill="auto"/>
                </w:tcPr>
                <w:p w14:paraId="3F936988">
                  <w:pPr>
                    <w:jc w:val="center"/>
                    <w:contextualSpacing/>
                    <w:rPr>
                      <w:color w:val="auto"/>
                      <w:szCs w:val="21"/>
                      <w:rFonts w:eastAsiaTheme="minorEastAsia"/>
                    </w:rPr>
                  </w:pPr>
                  <w:r>
                    <w:rPr>
                      <w:color w:val="auto"/>
                      <w:szCs w:val="21"/>
                      <w:rFonts w:eastAsiaTheme="minorEastAsia"/>
                    </w:rPr>
                    <w:t>风机</w:t>
                  </w:r>
                </w:p>
              </w:tc>
              <w:tc>
                <w:tcPr>
                  <w:tcW w:w="1250" w:type="pct"/>
                  <w:gridSpan w:val="3"/>
                  <w:vAlign w:val="center"/>
                  <w:shd w:val="clear" w:color="auto" w:fill="auto"/>
                </w:tcPr>
                <w:p w14:paraId="0BD38A96">
                  <w:pPr>
                    <w:jc w:val="center"/>
                    <w:contextualSpacing/>
                    <w:rPr>
                      <w:color w:val="auto"/>
                      <w:szCs w:val="21"/>
                      <w:rFonts w:eastAsiaTheme="minorEastAsia"/>
                    </w:rPr>
                  </w:pPr>
                  <w:r>
                    <w:rPr>
                      <w:color w:val="auto"/>
                      <w:szCs w:val="21"/>
                      <w:rFonts w:eastAsiaTheme="minorEastAsia"/>
                    </w:rPr>
                    <w:t>/</w:t>
                  </w:r>
                </w:p>
              </w:tc>
              <w:tc>
                <w:tcPr>
                  <w:tcW w:w="1065" w:type="pct"/>
                  <w:gridSpan w:val="2"/>
                  <w:vAlign w:val="center"/>
                  <w:shd w:val="clear" w:color="auto" w:fill="auto"/>
                </w:tcPr>
                <w:p w14:paraId="5B3F53AE">
                  <w:pPr>
                    <w:jc w:val="center"/>
                    <w:contextualSpacing/>
                    <w:rPr>
                      <w:color w:val="auto"/>
                      <w:szCs w:val="21"/>
                      <w:rFonts w:eastAsiaTheme="minorEastAsia"/>
                    </w:rPr>
                  </w:pPr>
                  <w:r>
                    <w:rPr>
                      <w:color w:val="auto"/>
                      <w:szCs w:val="21"/>
                      <w:rFonts w:hint="eastAsia" w:eastAsiaTheme="minorEastAsia"/>
                    </w:rPr>
                    <w:t>8</w:t>
                  </w:r>
                </w:p>
              </w:tc>
              <w:tc>
                <w:tcPr>
                  <w:tcW w:w="931" w:type="pct"/>
                  <w:vAlign w:val="center"/>
                  <w:shd w:val="clear" w:color="auto" w:fill="auto"/>
                </w:tcPr>
                <w:p w14:paraId="18FF4BAA">
                  <w:pPr>
                    <w:jc w:val="center"/>
                    <w:contextualSpacing/>
                    <w:rPr>
                      <w:color w:val="auto"/>
                      <w:szCs w:val="21"/>
                      <w:rFonts w:eastAsiaTheme="minorEastAsia"/>
                    </w:rPr>
                  </w:pPr>
                  <w:r>
                    <w:rPr>
                      <w:color w:val="auto"/>
                      <w:szCs w:val="21"/>
                      <w:rFonts w:eastAsiaTheme="minorEastAsia"/>
                    </w:rPr>
                    <w:t>个</w:t>
                  </w:r>
                </w:p>
              </w:tc>
            </w:tr>
          </w:tbl>
          <w:p w14:paraId="497C2AB2">
            <w:pPr>
              <w:jc w:val="left"/>
              <w:contextualSpacing/>
              <w:spacing w:line="360" w:lineRule="auto"/>
              <w:ind w:firstLine="482" w:firstLineChars="200"/>
              <w:rPr>
                <w:b w:val="1"/>
                <w:color w:val="auto"/>
                <w:sz w:val="24"/>
                <w:kern w:val="0"/>
              </w:rPr>
            </w:pPr>
            <w:r>
              <w:rPr>
                <w:b w:val="1"/>
                <w:color w:val="auto"/>
                <w:sz w:val="24"/>
                <w:kern w:val="0"/>
              </w:rPr>
              <w:t>3、主要原辅材料</w:t>
            </w:r>
          </w:p>
          <w:p w14:paraId="2D8A2627">
            <w:pPr>
              <w:widowControl w:val="1"/>
              <w:spacing w:line="360" w:lineRule="auto"/>
              <w:ind w:firstLine="480" w:firstLineChars="200"/>
              <w:rPr>
                <w:color w:val="auto"/>
                <w:sz w:val="24"/>
                <w:bCs/>
                <w:kern w:val="0"/>
              </w:rPr>
            </w:pPr>
            <w:r>
              <w:rPr>
                <w:color w:val="auto"/>
                <w:sz w:val="24"/>
                <w:bCs/>
                <w:kern w:val="0"/>
              </w:rPr>
              <w:t>本项目原辅材料见下表。</w:t>
            </w:r>
          </w:p>
          <w:p w14:paraId="662CCD33">
            <w:pPr>
              <w:widowControl w:val="1"/>
              <w:jc w:val="center"/>
              <w:rPr>
                <w:b w:val="1"/>
                <w:color w:val="auto"/>
                <w:sz w:val="24"/>
                <w:bCs/>
                <w:kern w:val="0"/>
              </w:rPr>
            </w:pPr>
            <w:r>
              <w:rPr>
                <w:b w:val="1"/>
                <w:color w:val="auto"/>
                <w:sz w:val="24"/>
                <w:bCs/>
                <w:kern w:val="0"/>
              </w:rPr>
              <w:t>表2-3主要原辅材料一览表</w:t>
            </w:r>
          </w:p>
          <w:tbl>
            <w:tblPr>
              <w:tblStyle w:val="27"/>
              <w:tblW w:w="4998"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3333.000000"/>
              <w:gridCol w:w="1643.000000"/>
              <w:gridCol w:w="2169.000000"/>
              <w:gridCol w:w="1246.000000"/>
            </w:tblGrid>
            <w:tr w14:paraId="3E25C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26" w:hRule="atLeast"/>
                <w:jc w:val="center"/>
              </w:trPr>
              <w:tc>
                <w:tcPr>
                  <w:tcW w:w="1986" w:type="pct"/>
                </w:tcPr>
                <w:p w14:paraId="5EEE8CC3">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名称</w:t>
                  </w:r>
                </w:p>
              </w:tc>
              <w:tc>
                <w:tcPr>
                  <w:tcW w:w="979" w:type="pct"/>
                  <w:vAlign w:val="center"/>
                  <w:shd w:val="clear" w:color="auto" w:fill="auto"/>
                </w:tcPr>
                <w:p w14:paraId="30D9C671">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单位</w:t>
                  </w:r>
                </w:p>
              </w:tc>
              <w:tc>
                <w:tcPr>
                  <w:tcW w:w="1292" w:type="pct"/>
                  <w:vAlign w:val="center"/>
                  <w:shd w:val="clear" w:color="auto" w:fill="auto"/>
                </w:tcPr>
                <w:p w14:paraId="5B92548F">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用量</w:t>
                  </w:r>
                </w:p>
              </w:tc>
              <w:tc>
                <w:tcPr>
                  <w:tcW w:w="742" w:type="pct"/>
                  <w:vAlign w:val="center"/>
                  <w:shd w:val="clear" w:color="auto" w:fill="auto"/>
                </w:tcPr>
                <w:p w14:paraId="32A585D5">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备注</w:t>
                  </w:r>
                </w:p>
              </w:tc>
            </w:tr>
            <w:tr w14:paraId="4D8B2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75" w:hRule="atLeast"/>
                <w:jc w:val="center"/>
              </w:trPr>
              <w:tc>
                <w:tcPr>
                  <w:tcW w:w="1986" w:type="pct"/>
                  <w:vAlign w:val="center"/>
                </w:tcPr>
                <w:p w14:paraId="55BD4C68">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碎石</w:t>
                  </w:r>
                </w:p>
              </w:tc>
              <w:tc>
                <w:tcPr>
                  <w:tcW w:w="979" w:type="pct"/>
                  <w:vAlign w:val="center"/>
                  <w:shd w:val="clear" w:color="auto" w:fill="auto"/>
                </w:tcPr>
                <w:p w14:paraId="0C2BC736">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t/a</w:t>
                  </w:r>
                </w:p>
              </w:tc>
              <w:tc>
                <w:tcPr>
                  <w:tcW w:w="2172" w:type="dxa"/>
                  <w:vAlign w:val="center"/>
                  <w:shd w:val="clear" w:color="auto" w:fill="auto"/>
                </w:tcPr>
                <w:p w14:paraId="7352CE79">
                  <w:pPr>
                    <w:widowControl w:val="1"/>
                    <w:keepNext w:val="0"/>
                    <w:keepLines w:val="0"/>
                    <w:jc w:val="center"/>
                    <w:suppressLineNumbers w:val="0"/>
                    <w:rPr>
                      <w:color w:val="auto"/>
                      <w:lang w:val="en-US"/>
                      <w:szCs w:val="21"/>
                    </w:rPr>
                  </w:pPr>
                  <w:r>
                    <w:rPr>
                      <w:i w:val="0"/>
                      <w:u w:val="none"/>
                      <w:color w:val="auto"/>
                      <w:sz w:val="21"/>
                      <w:lang w:val="en-US" w:eastAsia="zh-CN" w:bidi="ar"/>
                      <w:iCs w:val="0"/>
                      <w:kern w:val="0"/>
                      <w:szCs w:val="21"/>
                      <w:rFonts w:ascii="Times New Roman" w:hAnsi="Times New Roman" w:eastAsia="宋体" w:cs="Times New Roman" w:hint="default"/>
                    </w:rPr>
                    <w:t>205000</w:t>
                  </w:r>
                </w:p>
              </w:tc>
              <w:tc>
                <w:tcPr>
                  <w:tcW w:w="742" w:type="pct"/>
                  <w:vAlign w:val="center"/>
                  <w:shd w:val="clear" w:color="auto" w:fill="auto"/>
                </w:tcPr>
                <w:p w14:paraId="0FB19300">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r w14:paraId="1A616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56" w:hRule="atLeast"/>
                <w:jc w:val="center"/>
              </w:trPr>
              <w:tc>
                <w:tcPr>
                  <w:tcW w:w="1986" w:type="pct"/>
                </w:tcPr>
                <w:p w14:paraId="39707C17">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矿粉</w:t>
                  </w:r>
                </w:p>
              </w:tc>
              <w:tc>
                <w:tcPr>
                  <w:tcW w:w="979" w:type="pct"/>
                  <w:vAlign w:val="center"/>
                  <w:shd w:val="clear" w:color="auto" w:fill="auto"/>
                </w:tcPr>
                <w:p w14:paraId="1DC10D17">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t/a</w:t>
                  </w:r>
                </w:p>
              </w:tc>
              <w:tc>
                <w:tcPr>
                  <w:tcW w:w="2172" w:type="dxa"/>
                  <w:vAlign w:val="center"/>
                  <w:shd w:val="clear" w:color="auto" w:fill="auto"/>
                </w:tcPr>
                <w:p w14:paraId="798F0356">
                  <w:pPr>
                    <w:widowControl w:val="1"/>
                    <w:keepNext w:val="0"/>
                    <w:keepLines w:val="0"/>
                    <w:jc w:val="center"/>
                    <w:suppressLineNumbers w:val="0"/>
                    <w:rPr>
                      <w:color w:val="auto"/>
                      <w:lang w:val="en-US"/>
                      <w:szCs w:val="21"/>
                      <w:rFonts w:hint="default"/>
                    </w:rPr>
                  </w:pPr>
                  <w:r>
                    <w:rPr>
                      <w:i w:val="0"/>
                      <w:u w:val="none"/>
                      <w:color w:val="auto"/>
                      <w:sz w:val="21"/>
                      <w:lang w:val="en-US" w:eastAsia="zh-CN" w:bidi="ar"/>
                      <w:iCs w:val="0"/>
                      <w:kern w:val="0"/>
                      <w:szCs w:val="21"/>
                      <w:rFonts w:ascii="Times New Roman" w:hAnsi="Times New Roman" w:eastAsia="宋体" w:cs="Times New Roman" w:hint="default"/>
                    </w:rPr>
                    <w:t>1</w:t>
                  </w:r>
                  <w:r>
                    <w:rPr>
                      <w:i w:val="0"/>
                      <w:u w:val="none"/>
                      <w:color w:val="auto"/>
                      <w:sz w:val="21"/>
                      <w:lang w:val="en-US" w:eastAsia="zh-CN" w:bidi="ar"/>
                      <w:iCs w:val="0"/>
                      <w:kern w:val="0"/>
                      <w:szCs w:val="21"/>
                      <w:rFonts w:cs="Times New Roman" w:hint="eastAsia"/>
                    </w:rPr>
                    <w:t>5000</w:t>
                  </w:r>
                </w:p>
              </w:tc>
              <w:tc>
                <w:tcPr>
                  <w:tcW w:w="742" w:type="pct"/>
                  <w:vAlign w:val="center"/>
                  <w:shd w:val="clear" w:color="auto" w:fill="auto"/>
                </w:tcPr>
                <w:p w14:paraId="1F8E9E6C">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r w14:paraId="17C1D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56" w:hRule="atLeast"/>
                <w:jc w:val="center"/>
              </w:trPr>
              <w:tc>
                <w:tcPr>
                  <w:tcW w:w="1986" w:type="pct"/>
                </w:tcPr>
                <w:p w14:paraId="603241BE">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沥青</w:t>
                  </w:r>
                </w:p>
              </w:tc>
              <w:tc>
                <w:tcPr>
                  <w:tcW w:w="979" w:type="pct"/>
                  <w:vAlign w:val="center"/>
                  <w:shd w:val="clear" w:color="auto" w:fill="auto"/>
                </w:tcPr>
                <w:p w14:paraId="68D78778">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t/a</w:t>
                  </w:r>
                </w:p>
              </w:tc>
              <w:tc>
                <w:tcPr>
                  <w:tcW w:w="2172" w:type="dxa"/>
                  <w:vAlign w:val="center"/>
                  <w:shd w:val="clear" w:color="auto" w:fill="auto"/>
                </w:tcPr>
                <w:p w14:paraId="236CAAE9">
                  <w:pPr>
                    <w:widowControl w:val="1"/>
                    <w:keepNext w:val="0"/>
                    <w:keepLines w:val="0"/>
                    <w:jc w:val="center"/>
                    <w:suppressLineNumbers w:val="0"/>
                    <w:rPr>
                      <w:color w:val="auto"/>
                      <w:lang w:val="en-US"/>
                      <w:szCs w:val="21"/>
                      <w:rFonts w:hint="default"/>
                    </w:rPr>
                  </w:pPr>
                  <w:r>
                    <w:rPr>
                      <w:i w:val="0"/>
                      <w:u w:val="none"/>
                      <w:color w:val="auto"/>
                      <w:sz w:val="21"/>
                      <w:lang w:val="en-US" w:eastAsia="zh-CN" w:bidi="ar"/>
                      <w:iCs w:val="0"/>
                      <w:kern w:val="0"/>
                      <w:szCs w:val="21"/>
                      <w:rFonts w:ascii="Times New Roman" w:hAnsi="Times New Roman" w:eastAsia="宋体" w:cs="Times New Roman" w:hint="default"/>
                    </w:rPr>
                    <w:t>13</w:t>
                  </w:r>
                  <w:r>
                    <w:rPr>
                      <w:i w:val="0"/>
                      <w:u w:val="none"/>
                      <w:color w:val="auto"/>
                      <w:sz w:val="21"/>
                      <w:lang w:val="en-US" w:eastAsia="zh-CN" w:bidi="ar"/>
                      <w:iCs w:val="0"/>
                      <w:kern w:val="0"/>
                      <w:szCs w:val="21"/>
                      <w:rFonts w:cs="Times New Roman" w:hint="eastAsia"/>
                    </w:rPr>
                    <w:t>000</w:t>
                  </w:r>
                </w:p>
              </w:tc>
              <w:tc>
                <w:tcPr>
                  <w:tcW w:w="742" w:type="pct"/>
                  <w:vAlign w:val="center"/>
                  <w:shd w:val="clear" w:color="auto" w:fill="auto"/>
                </w:tcPr>
                <w:p w14:paraId="5AAFB5F2">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r w14:paraId="28BDC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56" w:hRule="atLeast"/>
                <w:jc w:val="center"/>
              </w:trPr>
              <w:tc>
                <w:tcPr>
                  <w:tcW w:w="1986" w:type="pct"/>
                </w:tcPr>
                <w:p w14:paraId="3BF6679A">
                  <w:pPr>
                    <w:pStyle w:val="59"/>
                    <w:jc w:val="center"/>
                    <w:spacing w:afterLines="0" w:beforeLines="0" w:line="0" w:lineRule="atLeast"/>
                    <w:ind w:firstLine="0" w:firstLineChars="0"/>
                    <w:rPr>
                      <w:color w:val="auto"/>
                      <w:sz w:val="21"/>
                      <w:lang w:val="en-US" w:eastAsia="zh-CN"/>
                      <w:szCs w:val="21"/>
                      <w:rFonts w:hint="eastAsia" w:eastAsiaTheme="minorEastAsia"/>
                    </w:rPr>
                  </w:pPr>
                  <w:r>
                    <w:rPr>
                      <w:color w:val="auto"/>
                      <w:sz w:val="21"/>
                      <w:lang w:val="en-US" w:eastAsia="zh-CN"/>
                      <w:szCs w:val="21"/>
                      <w:rFonts w:hint="eastAsia" w:eastAsiaTheme="minorEastAsia"/>
                    </w:rPr>
                    <w:t>机制砂</w:t>
                  </w:r>
                </w:p>
              </w:tc>
              <w:tc>
                <w:tcPr>
                  <w:tcW w:w="979" w:type="pct"/>
                  <w:vAlign w:val="center"/>
                  <w:shd w:val="clear" w:color="auto" w:fill="auto"/>
                </w:tcPr>
                <w:p w14:paraId="4FCBDC56">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t/a</w:t>
                  </w:r>
                </w:p>
              </w:tc>
              <w:tc>
                <w:tcPr>
                  <w:tcW w:w="2172" w:type="dxa"/>
                  <w:vAlign w:val="center"/>
                  <w:shd w:val="clear" w:color="auto" w:fill="auto"/>
                </w:tcPr>
                <w:p w14:paraId="503B420B">
                  <w:pPr>
                    <w:widowControl w:val="1"/>
                    <w:keepNext w:val="0"/>
                    <w:keepLines w:val="0"/>
                    <w:jc w:val="center"/>
                    <w:suppressLineNumbers w:val="0"/>
                    <w:rPr>
                      <w:color w:val="auto"/>
                      <w:lang w:val="en-US" w:eastAsia="zh-CN"/>
                      <w:szCs w:val="21"/>
                      <w:rFonts w:hint="default"/>
                    </w:rPr>
                  </w:pPr>
                  <w:r>
                    <w:rPr>
                      <w:i w:val="0"/>
                      <w:u w:val="none"/>
                      <w:color w:val="auto"/>
                      <w:sz w:val="21"/>
                      <w:lang w:val="en-US" w:eastAsia="zh-CN" w:bidi="ar"/>
                      <w:iCs w:val="0"/>
                      <w:kern w:val="0"/>
                      <w:szCs w:val="21"/>
                      <w:rFonts w:ascii="Times New Roman" w:hAnsi="Times New Roman" w:eastAsia="宋体" w:cs="Times New Roman" w:hint="default"/>
                    </w:rPr>
                    <w:t>100</w:t>
                  </w:r>
                  <w:r>
                    <w:rPr>
                      <w:i w:val="0"/>
                      <w:u w:val="none"/>
                      <w:color w:val="auto"/>
                      <w:sz w:val="21"/>
                      <w:lang w:val="en-US" w:eastAsia="zh-CN" w:bidi="ar"/>
                      <w:iCs w:val="0"/>
                      <w:kern w:val="0"/>
                      <w:szCs w:val="21"/>
                      <w:rFonts w:cs="Times New Roman" w:hint="eastAsia"/>
                    </w:rPr>
                    <w:t>00</w:t>
                  </w:r>
                  <w:r>
                    <w:rPr>
                      <w:i w:val="0"/>
                      <w:u w:val="none"/>
                      <w:color w:val="auto"/>
                      <w:sz w:val="21"/>
                      <w:lang w:val="en-US" w:eastAsia="zh-CN" w:bidi="ar"/>
                      <w:iCs w:val="0"/>
                      <w:kern w:val="0"/>
                      <w:szCs w:val="21"/>
                      <w:rFonts w:ascii="Times New Roman" w:hAnsi="Times New Roman" w:eastAsia="宋体" w:cs="Times New Roman" w:hint="default"/>
                    </w:rPr>
                    <w:t>0</w:t>
                  </w:r>
                </w:p>
              </w:tc>
              <w:tc>
                <w:tcPr>
                  <w:tcW w:w="742" w:type="pct"/>
                  <w:vAlign w:val="center"/>
                  <w:shd w:val="clear" w:color="auto" w:fill="auto"/>
                </w:tcPr>
                <w:p w14:paraId="29F707C3">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r w14:paraId="0592E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90" w:hRule="atLeast"/>
                <w:jc w:val="center"/>
              </w:trPr>
              <w:tc>
                <w:tcPr>
                  <w:tcW w:w="1986" w:type="pct"/>
                </w:tcPr>
                <w:p w14:paraId="0EE4F2A3">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导热油</w:t>
                  </w:r>
                </w:p>
              </w:tc>
              <w:tc>
                <w:tcPr>
                  <w:tcW w:w="979" w:type="pct"/>
                  <w:vAlign w:val="center"/>
                  <w:shd w:val="clear" w:color="auto" w:fill="auto"/>
                </w:tcPr>
                <w:p w14:paraId="407A0CB3">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t/</w:t>
                  </w:r>
                  <w:r>
                    <w:rPr>
                      <w:color w:val="auto"/>
                      <w:sz w:val="21"/>
                      <w:szCs w:val="21"/>
                      <w:rFonts w:hint="eastAsia" w:eastAsiaTheme="minorEastAsia"/>
                    </w:rPr>
                    <w:t>3</w:t>
                  </w:r>
                  <w:r>
                    <w:rPr>
                      <w:color w:val="auto"/>
                      <w:sz w:val="21"/>
                      <w:szCs w:val="21"/>
                      <w:rFonts w:eastAsiaTheme="minorEastAsia"/>
                    </w:rPr>
                    <w:t>a</w:t>
                  </w:r>
                </w:p>
              </w:tc>
              <w:tc>
                <w:tcPr>
                  <w:tcW w:w="1292" w:type="pct"/>
                  <w:vAlign w:val="center"/>
                  <w:shd w:val="clear" w:color="auto" w:fill="auto"/>
                </w:tcPr>
                <w:p w14:paraId="10E2870D">
                  <w:pPr>
                    <w:adjustRightInd w:val="0"/>
                    <w:snapToGrid w:val="0"/>
                    <w:jc w:val="center"/>
                    <w:rPr>
                      <w:color w:val="auto"/>
                      <w:szCs w:val="21"/>
                      <w:rFonts w:eastAsiaTheme="minorEastAsia"/>
                    </w:rPr>
                  </w:pPr>
                  <w:r>
                    <w:rPr>
                      <w:color w:val="auto"/>
                      <w:szCs w:val="21"/>
                      <w:rFonts w:hint="eastAsia" w:eastAsiaTheme="minorEastAsia"/>
                    </w:rPr>
                    <w:t>3</w:t>
                  </w:r>
                </w:p>
              </w:tc>
              <w:tc>
                <w:tcPr>
                  <w:tcW w:w="742" w:type="pct"/>
                  <w:vAlign w:val="center"/>
                  <w:shd w:val="clear" w:color="auto" w:fill="auto"/>
                </w:tcPr>
                <w:p w14:paraId="7B093BD5">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r w14:paraId="6DC9E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56" w:hRule="atLeast"/>
                <w:jc w:val="center"/>
              </w:trPr>
              <w:tc>
                <w:tcPr>
                  <w:tcW w:w="1986" w:type="pct"/>
                </w:tcPr>
                <w:p w14:paraId="4E434D38">
                  <w:pPr>
                    <w:pStyle w:val="59"/>
                    <w:jc w:val="center"/>
                    <w:spacing w:afterLines="0" w:beforeLines="0" w:line="0" w:lineRule="atLeast"/>
                    <w:ind w:firstLine="0" w:firstLineChars="0"/>
                    <w:rPr>
                      <w:color w:val="auto"/>
                      <w:sz w:val="21"/>
                      <w:szCs w:val="21"/>
                      <w:rFonts w:eastAsiaTheme="minorEastAsia"/>
                    </w:rPr>
                  </w:pPr>
                  <w:r>
                    <w:rPr>
                      <w:color w:val="auto"/>
                      <w:sz w:val="21"/>
                      <w:szCs w:val="21"/>
                      <w:rFonts w:hint="eastAsia" w:eastAsiaTheme="minorEastAsia"/>
                    </w:rPr>
                    <w:t>天然气</w:t>
                  </w:r>
                </w:p>
              </w:tc>
              <w:tc>
                <w:tcPr>
                  <w:tcW w:w="979" w:type="pct"/>
                  <w:vAlign w:val="center"/>
                  <w:shd w:val="clear" w:color="auto" w:fill="auto"/>
                </w:tcPr>
                <w:p w14:paraId="47A79C06">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万m³/a</w:t>
                  </w:r>
                </w:p>
              </w:tc>
              <w:tc>
                <w:tcPr>
                  <w:tcW w:w="1292" w:type="pct"/>
                  <w:vAlign w:val="center"/>
                  <w:shd w:val="clear" w:color="auto" w:fill="auto"/>
                </w:tcPr>
                <w:p w14:paraId="52D08963">
                  <w:pPr>
                    <w:adjustRightInd w:val="0"/>
                    <w:snapToGrid w:val="0"/>
                    <w:jc w:val="center"/>
                    <w:rPr>
                      <w:color w:val="auto"/>
                      <w:lang w:val="en-US" w:eastAsia="zh-CN"/>
                      <w:szCs w:val="21"/>
                      <w:rFonts w:hint="default" w:eastAsiaTheme="minorEastAsia"/>
                    </w:rPr>
                  </w:pPr>
                  <w:r>
                    <w:rPr>
                      <w:color w:val="auto"/>
                      <w:lang w:val="en-US" w:eastAsia="zh-CN"/>
                      <w:szCs w:val="21"/>
                      <w:rFonts w:hint="eastAsia" w:eastAsiaTheme="minorEastAsia"/>
                    </w:rPr>
                    <w:t>364.05</w:t>
                  </w:r>
                </w:p>
              </w:tc>
              <w:tc>
                <w:tcPr>
                  <w:tcW w:w="742" w:type="pct"/>
                  <w:vAlign w:val="center"/>
                  <w:shd w:val="clear" w:color="auto" w:fill="auto"/>
                </w:tcPr>
                <w:p w14:paraId="4C519152">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r w14:paraId="01F54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56" w:hRule="atLeast"/>
                <w:jc w:val="center"/>
              </w:trPr>
              <w:tc>
                <w:tcPr>
                  <w:tcW w:w="1986" w:type="pct"/>
                </w:tcPr>
                <w:p w14:paraId="2F28CD9B">
                  <w:pPr>
                    <w:pStyle w:val="59"/>
                    <w:jc w:val="center"/>
                    <w:spacing w:afterLines="0" w:beforeLines="0" w:line="0" w:lineRule="atLeast"/>
                    <w:ind w:firstLine="0" w:firstLineChars="0"/>
                    <w:rPr>
                      <w:color w:val="auto"/>
                      <w:sz w:val="21"/>
                      <w:szCs w:val="21"/>
                      <w:rFonts w:eastAsiaTheme="minorEastAsia"/>
                    </w:rPr>
                  </w:pPr>
                  <w:r>
                    <w:rPr>
                      <w:color w:val="auto"/>
                      <w:sz w:val="21"/>
                      <w:szCs w:val="21"/>
                      <w:rFonts w:hint="eastAsia" w:eastAsiaTheme="minorEastAsia"/>
                    </w:rPr>
                    <w:t>高</w:t>
                  </w:r>
                  <w:r>
                    <w:rPr>
                      <w:color w:val="auto"/>
                      <w:sz w:val="21"/>
                      <w:szCs w:val="21"/>
                      <w:rFonts w:eastAsiaTheme="minorEastAsia"/>
                    </w:rPr>
                    <w:t>碘值碳</w:t>
                  </w:r>
                </w:p>
              </w:tc>
              <w:tc>
                <w:tcPr>
                  <w:tcW w:w="979" w:type="pct"/>
                  <w:vAlign w:val="center"/>
                  <w:shd w:val="clear" w:color="auto" w:fill="auto"/>
                </w:tcPr>
                <w:p w14:paraId="3FEAA3C8">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t/a</w:t>
                  </w:r>
                </w:p>
              </w:tc>
              <w:tc>
                <w:tcPr>
                  <w:tcW w:w="1292" w:type="pct"/>
                  <w:vAlign w:val="center"/>
                  <w:shd w:val="clear" w:color="auto" w:fill="auto"/>
                </w:tcPr>
                <w:p w14:paraId="35615DE1">
                  <w:pPr>
                    <w:adjustRightInd w:val="0"/>
                    <w:snapToGrid w:val="0"/>
                    <w:jc w:val="center"/>
                    <w:rPr>
                      <w:color w:val="auto"/>
                      <w:szCs w:val="21"/>
                      <w:rFonts w:eastAsiaTheme="minorEastAsia"/>
                    </w:rPr>
                  </w:pPr>
                  <w:r>
                    <w:rPr>
                      <w:color w:val="auto"/>
                      <w:szCs w:val="21"/>
                      <w:rFonts w:hint="eastAsia" w:eastAsiaTheme="minorEastAsia"/>
                    </w:rPr>
                    <w:t>3.6</w:t>
                  </w:r>
                </w:p>
              </w:tc>
              <w:tc>
                <w:tcPr>
                  <w:tcW w:w="742" w:type="pct"/>
                  <w:vAlign w:val="center"/>
                  <w:shd w:val="clear" w:color="auto" w:fill="auto"/>
                </w:tcPr>
                <w:p w14:paraId="3B2222D3">
                  <w:pPr>
                    <w:pStyle w:val="59"/>
                    <w:jc w:val="center"/>
                    <w:spacing w:afterLines="0" w:beforeLines="0" w:line="0" w:lineRule="atLeast"/>
                    <w:ind w:firstLine="0" w:firstLineChars="0"/>
                    <w:rPr>
                      <w:color w:val="auto"/>
                      <w:sz w:val="21"/>
                      <w:szCs w:val="21"/>
                      <w:rFonts w:eastAsiaTheme="minorEastAsia"/>
                    </w:rPr>
                  </w:pPr>
                  <w:r>
                    <w:rPr>
                      <w:color w:val="auto"/>
                      <w:sz w:val="21"/>
                      <w:szCs w:val="21"/>
                      <w:rFonts w:eastAsiaTheme="minorEastAsia"/>
                    </w:rPr>
                    <w:t>外购</w:t>
                  </w:r>
                </w:p>
              </w:tc>
            </w:tr>
          </w:tbl>
          <w:p w14:paraId="21902195">
            <w:pPr>
              <w:pStyle w:val="59"/>
              <w:contextualSpacing/>
              <w:spacing w:afterLines="0" w:beforeLines="0" w:line="360" w:lineRule="auto"/>
              <w:ind w:firstLine="482"/>
              <w:rPr>
                <w:color w:val="auto"/>
                <w:rFonts w:eastAsiaTheme="minorEastAsia"/>
              </w:rPr>
            </w:pPr>
            <w:r>
              <w:rPr>
                <w:b w:val="1"/>
                <w:color w:val="auto"/>
                <w:bCs/>
                <w:rFonts w:eastAsiaTheme="minorEastAsia"/>
              </w:rPr>
              <w:t>主要物料理化性质：</w:t>
            </w:r>
          </w:p>
          <w:p w14:paraId="288D6211">
            <w:pPr>
              <w:pStyle w:val="59"/>
              <w:contextualSpacing/>
              <w:spacing w:afterLines="0" w:beforeLines="0" w:line="360" w:lineRule="auto"/>
              <w:ind w:firstLine="480"/>
              <w:rPr>
                <w:color w:val="auto"/>
                <w:rFonts w:eastAsiaTheme="minorEastAsia"/>
              </w:rPr>
            </w:pPr>
            <w:r>
              <w:rPr>
                <w:color w:val="auto"/>
                <w:bCs/>
                <w:rFonts w:eastAsiaTheme="minorEastAsia"/>
              </w:rPr>
              <w:fldChar w:fldCharType="begin"/>
            </w:r>
            <w:r>
              <w:rPr>
                <w:color w:val="auto"/>
                <w:bCs/>
                <w:rFonts w:eastAsiaTheme="minorEastAsia"/>
              </w:rPr>
              <w:instrText xml:space="preserve"> = 1 \* GB3 </w:instrText>
            </w:r>
            <w:r>
              <w:rPr>
                <w:color w:val="auto"/>
                <w:bCs/>
                <w:rFonts w:eastAsiaTheme="minorEastAsia"/>
              </w:rPr>
              <w:fldChar w:fldCharType="separate"/>
            </w:r>
            <w:r>
              <w:rPr>
                <w:color w:val="auto"/>
                <w:bCs/>
                <w:rFonts w:eastAsiaTheme="minorEastAsia"/>
              </w:rPr>
              <w:t>①</w:t>
            </w:r>
            <w:r>
              <w:rPr>
                <w:color w:val="auto"/>
                <w:bCs/>
                <w:rFonts w:eastAsiaTheme="minorEastAsia"/>
              </w:rPr>
              <w:fldChar w:fldCharType="end"/>
            </w:r>
            <w:r>
              <w:rPr>
                <w:color w:val="auto"/>
                <w:rFonts w:eastAsiaTheme="minorEastAsia"/>
              </w:rPr>
              <w:t>沥青：石油沥青是原油蒸馏后的残渣，是复杂的碳氢化合物与其非金属衍生物组成的混合物。根据提炼程度的不同，在常温下成液体、半固体或固体。石油沥青色黑而有光泽，具有较高的感温性。由于它在生产过程中曾经蒸馏至400℃以上，因而所含挥发成分甚少，但仍可能有高分子的碳氢化合物未经挥发出来。沥青常见的为深棕色至黑色有光泽的无定形固体，密度1.15～1.25g/cm</w:t>
            </w:r>
            <w:r>
              <w:rPr>
                <w:vertAlign w:val="superscript"/>
                <w:color w:val="auto"/>
                <w:rFonts w:eastAsiaTheme="minorEastAsia"/>
              </w:rPr>
              <w:t>3</w:t>
            </w:r>
            <w:r>
              <w:rPr>
                <w:color w:val="auto"/>
                <w:rFonts w:eastAsiaTheme="minorEastAsia"/>
              </w:rPr>
              <w:t>，温度足够低时呈脆性，断面平整，几乎全部由多核（三环以上）芳香族化合物组成。沥青有毒，不溶于水，黏结性、抗水性和防腐性良好，可按其软化点、针入度、延度等规定其标号。软化点中等的称作中（温）沥7青，其软化点为65℃。电极沥青软化点为110～115℃。石油沥青的组分主要为油分、树脂、地沥青质。地沥青质是决定石油沥青温度敏感性和黏性的重要组分。沥青中地沥青质含量在10%～30%之间，其含量愈多，则软化点愈高，黏性越大，也愈硬脆。石油沥青中还含2%～3%的沥青碳和似碳物（黑色固体粉末），是石油沥青中分子量最大的，它会降低石油沥青的粘结力。</w:t>
            </w:r>
          </w:p>
          <w:p w14:paraId="2649F837">
            <w:pPr>
              <w:pStyle w:val="59"/>
              <w:contextualSpacing/>
              <w:spacing w:afterLines="0" w:beforeLines="0" w:line="360" w:lineRule="auto"/>
              <w:ind w:firstLine="480"/>
              <w:rPr>
                <w:color w:val="auto"/>
                <w:rFonts w:eastAsiaTheme="minorEastAsia"/>
              </w:rPr>
            </w:pPr>
            <w:r>
              <w:rPr>
                <w:color w:val="auto"/>
                <w:rFonts w:eastAsiaTheme="minorEastAsia"/>
              </w:rPr>
              <w:fldChar w:fldCharType="begin"/>
            </w:r>
            <w:r>
              <w:rPr>
                <w:color w:val="auto"/>
                <w:rFonts w:eastAsiaTheme="minorEastAsia"/>
              </w:rPr>
              <w:instrText xml:space="preserve"> = 2 \* GB3 </w:instrText>
            </w:r>
            <w:r>
              <w:rPr>
                <w:color w:val="auto"/>
                <w:rFonts w:eastAsiaTheme="minorEastAsia"/>
              </w:rPr>
              <w:fldChar w:fldCharType="separate"/>
            </w:r>
            <w:r>
              <w:rPr>
                <w:color w:val="auto"/>
                <w:rFonts w:eastAsiaTheme="minorEastAsia"/>
              </w:rPr>
              <w:t>②</w:t>
            </w:r>
            <w:r>
              <w:rPr>
                <w:color w:val="auto"/>
                <w:rFonts w:eastAsiaTheme="minorEastAsia"/>
              </w:rPr>
              <w:fldChar w:fldCharType="end"/>
            </w:r>
            <w:r>
              <w:rPr>
                <w:color w:val="auto"/>
                <w:rFonts w:eastAsiaTheme="minorEastAsia"/>
              </w:rPr>
              <w:t>导热油：导热油又称传热油，正规名称为热载体油，英文名称为Heat transfer oil，所以也称热导油，热媒油等。以精制矿物油为基础油，加导热油添加剂配制而成。导热油添加剂由多种耐高温抗氧剂、阻焦剂、清净分散剂、防锈剂等多功能添加剂调配而成。导热油硫含量≤0.2%，氯含量≤0.01%，闪点为216℃，无毒。</w:t>
            </w:r>
          </w:p>
          <w:p w14:paraId="24E667F3">
            <w:pPr>
              <w:spacing w:line="360" w:lineRule="auto"/>
              <w:ind w:firstLine="480" w:firstLineChars="200"/>
              <w:rPr>
                <w:color w:val="auto"/>
                <w:sz w:val="24"/>
                <w:rFonts w:hAnsiTheme="minorEastAsia" w:eastAsiaTheme="minorEastAsia"/>
              </w:rPr>
            </w:pPr>
            <w:r>
              <w:rPr>
                <w:color w:val="auto"/>
                <w:sz w:val="24"/>
                <w:lang w:val="en-US" w:eastAsia="zh-CN"/>
                <w:rFonts w:ascii="宋体" w:hAnsi="宋体" w:hint="eastAsia" w:eastAsiaTheme="minorEastAsia"/>
              </w:rPr>
              <w:t>③</w:t>
            </w:r>
            <w:r>
              <w:rPr>
                <w:color w:val="auto"/>
                <w:sz w:val="24"/>
                <w:rFonts w:eastAsiaTheme="minorEastAsia"/>
              </w:rPr>
              <w:t>矿粉：</w:t>
            </w:r>
            <w:r>
              <w:rPr>
                <w:color w:val="auto"/>
                <w:sz w:val="24"/>
                <w:rFonts w:hAnsiTheme="minorEastAsia" w:eastAsiaTheme="minorEastAsia"/>
              </w:rPr>
              <w:t>是符合工程要求的石粉及其代用品的统称</w:t>
            </w:r>
            <w:r>
              <w:rPr>
                <w:color w:val="auto"/>
                <w:sz w:val="24"/>
                <w:rFonts w:hint="eastAsia" w:hAnsiTheme="minorEastAsia" w:eastAsiaTheme="minorEastAsia"/>
              </w:rPr>
              <w:t>，是矿石粉碎加工后的产物，主要成分为碳酸钙、二氧化硅等无机质</w:t>
            </w:r>
            <w:r>
              <w:rPr>
                <w:color w:val="auto"/>
                <w:sz w:val="24"/>
                <w:rFonts w:hAnsiTheme="minorEastAsia" w:eastAsiaTheme="minorEastAsia"/>
              </w:rPr>
              <w:t>。本项目矿粉均为外购。</w:t>
            </w:r>
          </w:p>
          <w:p w14:paraId="771434CC">
            <w:pPr>
              <w:jc w:val="left"/>
              <w:contextualSpacing/>
              <w:spacing w:line="360" w:lineRule="auto"/>
              <w:ind w:firstLine="482" w:firstLineChars="200"/>
              <w:rPr>
                <w:b w:val="1"/>
                <w:color w:val="auto"/>
                <w:sz w:val="24"/>
                <w:kern w:val="0"/>
              </w:rPr>
            </w:pPr>
            <w:r>
              <w:rPr>
                <w:b w:val="1"/>
                <w:color w:val="auto"/>
                <w:sz w:val="24"/>
                <w:kern w:val="0"/>
              </w:rPr>
              <w:t>4、产品方案</w:t>
            </w:r>
          </w:p>
          <w:p w14:paraId="1297AE1B">
            <w:pPr>
              <w:jc w:val="left"/>
              <w:contextualSpacing/>
              <w:spacing w:line="360" w:lineRule="auto"/>
              <w:ind w:firstLine="480" w:firstLineChars="200"/>
              <w:rPr>
                <w:color w:val="auto"/>
                <w:sz w:val="24"/>
                <w:bCs/>
                <w:kern w:val="0"/>
              </w:rPr>
            </w:pPr>
            <w:r>
              <w:rPr>
                <w:color w:val="auto"/>
                <w:sz w:val="24"/>
                <w:bCs/>
                <w:kern w:val="0"/>
              </w:rPr>
              <w:t>本项目产品方案见下表。</w:t>
            </w:r>
          </w:p>
          <w:p w14:paraId="5FB55BBD">
            <w:pPr>
              <w:widowControl w:val="1"/>
              <w:jc w:val="center"/>
              <w:contextualSpacing/>
              <w:shd w:val="clear" w:color="auto" w:fill="FFFFFF"/>
              <w:rPr>
                <w:b w:val="1"/>
                <w:color w:val="auto"/>
                <w:sz w:val="24"/>
                <w:bCs/>
                <w:kern w:val="0"/>
              </w:rPr>
            </w:pPr>
          </w:p>
          <w:p w14:paraId="5FBED34F">
            <w:pPr>
              <w:widowControl w:val="1"/>
              <w:jc w:val="center"/>
              <w:contextualSpacing/>
              <w:shd w:val="clear" w:color="auto" w:fill="FFFFFF"/>
              <w:rPr>
                <w:b w:val="1"/>
                <w:color w:val="auto"/>
                <w:sz w:val="24"/>
                <w:bCs/>
                <w:kern w:val="0"/>
              </w:rPr>
            </w:pPr>
            <w:r>
              <w:rPr>
                <w:b w:val="1"/>
                <w:color w:val="auto"/>
                <w:sz w:val="24"/>
                <w:bCs/>
                <w:kern w:val="0"/>
              </w:rPr>
              <w:t>表2-4 产品方案一览表</w:t>
            </w:r>
          </w:p>
          <w:tbl>
            <w:tblPr>
              <w:tblStyle w:val="27"/>
              <w:tblW w:w="4667"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2348.000000"/>
              <w:gridCol w:w="2691.000000"/>
              <w:gridCol w:w="1166.000000"/>
              <w:gridCol w:w="1630.000000"/>
            </w:tblGrid>
            <w:tr w14:paraId="67526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6" w:hRule="atLeast"/>
                <w:jc w:val="center"/>
              </w:trPr>
              <w:tc>
                <w:tcPr>
                  <w:tcW w:w="1498" w:type="pct"/>
                  <w:vAlign w:val="center"/>
                </w:tcPr>
                <w:p w14:paraId="2A08EF8B">
                  <w:pPr>
                    <w:jc w:val="center"/>
                    <w:contextualSpacing/>
                    <w:spacing w:line="0" w:lineRule="atLeast"/>
                    <w:rPr>
                      <w:color w:val="auto"/>
                      <w:kern w:val="0"/>
                      <w:szCs w:val="21"/>
                    </w:rPr>
                  </w:pPr>
                  <w:r>
                    <w:rPr>
                      <w:color w:val="auto"/>
                      <w:kern w:val="0"/>
                      <w:szCs w:val="21"/>
                    </w:rPr>
                    <w:t>名称</w:t>
                  </w:r>
                </w:p>
              </w:tc>
              <w:tc>
                <w:tcPr>
                  <w:tcW w:w="1717" w:type="pct"/>
                  <w:vAlign w:val="center"/>
                </w:tcPr>
                <w:p w14:paraId="0351984D">
                  <w:pPr>
                    <w:jc w:val="center"/>
                    <w:contextualSpacing/>
                    <w:spacing w:line="0" w:lineRule="atLeast"/>
                    <w:rPr>
                      <w:color w:val="auto"/>
                      <w:kern w:val="0"/>
                      <w:szCs w:val="21"/>
                    </w:rPr>
                  </w:pPr>
                  <w:r>
                    <w:rPr>
                      <w:color w:val="auto"/>
                      <w:kern w:val="0"/>
                      <w:szCs w:val="21"/>
                    </w:rPr>
                    <w:t>数量</w:t>
                  </w:r>
                </w:p>
              </w:tc>
              <w:tc>
                <w:tcPr>
                  <w:tcW w:w="744" w:type="pct"/>
                  <w:vAlign w:val="center"/>
                </w:tcPr>
                <w:p w14:paraId="28FA27C6">
                  <w:pPr>
                    <w:jc w:val="center"/>
                    <w:contextualSpacing/>
                    <w:spacing w:line="0" w:lineRule="atLeast"/>
                    <w:rPr>
                      <w:color w:val="auto"/>
                      <w:kern w:val="0"/>
                      <w:szCs w:val="21"/>
                    </w:rPr>
                  </w:pPr>
                  <w:r>
                    <w:rPr>
                      <w:color w:val="auto"/>
                      <w:kern w:val="0"/>
                      <w:szCs w:val="21"/>
                    </w:rPr>
                    <w:t>单位</w:t>
                  </w:r>
                </w:p>
              </w:tc>
              <w:tc>
                <w:tcPr>
                  <w:tcW w:w="1040" w:type="pct"/>
                  <w:vAlign w:val="center"/>
                </w:tcPr>
                <w:p w14:paraId="6C37E47D">
                  <w:pPr>
                    <w:jc w:val="center"/>
                    <w:contextualSpacing/>
                    <w:spacing w:line="0" w:lineRule="atLeast"/>
                    <w:rPr>
                      <w:color w:val="auto"/>
                      <w:kern w:val="0"/>
                      <w:szCs w:val="21"/>
                    </w:rPr>
                  </w:pPr>
                  <w:r>
                    <w:rPr>
                      <w:color w:val="auto"/>
                      <w:kern w:val="0"/>
                      <w:szCs w:val="21"/>
                    </w:rPr>
                    <w:t>备注</w:t>
                  </w:r>
                </w:p>
              </w:tc>
            </w:tr>
            <w:tr w14:paraId="00C04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10" w:hRule="atLeast"/>
                <w:jc w:val="center"/>
              </w:trPr>
              <w:tc>
                <w:tcPr>
                  <w:tcW w:w="1498" w:type="pct"/>
                  <w:vAlign w:val="center"/>
                </w:tcPr>
                <w:p w14:paraId="309C425B">
                  <w:pPr>
                    <w:jc w:val="center"/>
                    <w:contextualSpacing/>
                    <w:spacing w:line="0" w:lineRule="atLeast"/>
                    <w:rPr>
                      <w:color w:val="auto"/>
                      <w:kern w:val="0"/>
                      <w:szCs w:val="21"/>
                    </w:rPr>
                  </w:pPr>
                  <w:r>
                    <w:rPr>
                      <w:color w:val="auto"/>
                      <w:szCs w:val="21"/>
                      <w:rFonts w:eastAsiaTheme="minorEastAsia"/>
                    </w:rPr>
                    <w:t>沥青混凝土</w:t>
                  </w:r>
                </w:p>
              </w:tc>
              <w:tc>
                <w:tcPr>
                  <w:tcW w:w="1717" w:type="pct"/>
                  <w:vAlign w:val="center"/>
                  <w:shd w:val="clear" w:color="auto" w:fill="auto"/>
                </w:tcPr>
                <w:p w14:paraId="02F2E097">
                  <w:pPr>
                    <w:jc w:val="center"/>
                    <w:contextualSpacing/>
                    <w:spacing w:line="0" w:lineRule="atLeast"/>
                    <w:rPr>
                      <w:i w:val="0"/>
                      <w:u w:val="none"/>
                      <w:color w:val="auto"/>
                      <w:sz w:val="22"/>
                      <w:lang w:val="en-US" w:eastAsia="zh-CN" w:bidi="ar-SA"/>
                      <w:iCs w:val="0"/>
                      <w:kern w:val="2"/>
                      <w:szCs w:val="22"/>
                      <w:rFonts w:ascii="宋体" w:hAnsi="宋体" w:eastAsia="宋体" w:cs="宋体" w:hint="eastAsia"/>
                    </w:rPr>
                  </w:pPr>
                  <w:r>
                    <w:rPr>
                      <w:color w:val="auto"/>
                      <w:lang w:val="en-US" w:eastAsia="zh-CN"/>
                      <w:kern w:val="0"/>
                      <w:szCs w:val="21"/>
                      <w:rFonts w:hint="eastAsia"/>
                    </w:rPr>
                    <w:t>332995</w:t>
                  </w:r>
                </w:p>
              </w:tc>
              <w:tc>
                <w:tcPr>
                  <w:tcW w:w="744" w:type="pct"/>
                  <w:vAlign w:val="center"/>
                </w:tcPr>
                <w:p w14:paraId="4725663A">
                  <w:pPr>
                    <w:jc w:val="center"/>
                    <w:contextualSpacing/>
                    <w:spacing w:line="0" w:lineRule="atLeast"/>
                    <w:rPr>
                      <w:color w:val="auto"/>
                      <w:kern w:val="0"/>
                      <w:szCs w:val="21"/>
                    </w:rPr>
                  </w:pPr>
                  <w:r>
                    <w:rPr>
                      <w:color w:val="auto"/>
                      <w:bCs/>
                      <w:kern w:val="0"/>
                      <w:szCs w:val="21"/>
                    </w:rPr>
                    <w:t>t</w:t>
                  </w:r>
                  <w:r>
                    <w:rPr>
                      <w:color w:val="auto"/>
                      <w:kern w:val="0"/>
                      <w:szCs w:val="21"/>
                    </w:rPr>
                    <w:t>/a</w:t>
                  </w:r>
                </w:p>
              </w:tc>
              <w:tc>
                <w:tcPr>
                  <w:tcW w:w="1040" w:type="pct"/>
                  <w:vAlign w:val="center"/>
                </w:tcPr>
                <w:p w14:paraId="1F4907EE">
                  <w:pPr>
                    <w:jc w:val="center"/>
                    <w:contextualSpacing/>
                    <w:spacing w:line="0" w:lineRule="atLeast"/>
                    <w:rPr>
                      <w:color w:val="auto"/>
                      <w:kern w:val="0"/>
                      <w:szCs w:val="21"/>
                    </w:rPr>
                  </w:pPr>
                  <w:r>
                    <w:rPr>
                      <w:color w:val="auto"/>
                      <w:kern w:val="0"/>
                      <w:szCs w:val="21"/>
                    </w:rPr>
                    <w:t>/</w:t>
                  </w:r>
                </w:p>
              </w:tc>
            </w:tr>
          </w:tbl>
          <w:p w14:paraId="653D631E">
            <w:pPr>
              <w:widowControl w:val="1"/>
              <w:jc w:val="center"/>
              <w:contextualSpacing/>
              <w:shd w:val="clear" w:color="auto" w:fill="FFFFFF"/>
              <w:rPr>
                <w:b w:val="1"/>
                <w:color w:val="auto"/>
                <w:sz w:val="24"/>
                <w:lang w:eastAsia="zh-CN"/>
                <w:bCs/>
                <w:kern w:val="0"/>
                <w:rFonts w:eastAsia="宋体" w:hint="eastAsia"/>
              </w:rPr>
            </w:pPr>
            <w:r>
              <w:rPr>
                <w:b w:val="1"/>
                <w:color w:val="auto"/>
                <w:sz w:val="24"/>
                <w:bCs/>
                <w:kern w:val="0"/>
              </w:rPr>
              <w:t>表2-</w:t>
            </w:r>
            <w:r>
              <w:rPr>
                <w:b w:val="1"/>
                <w:color w:val="auto"/>
                <w:sz w:val="24"/>
                <w:lang w:val="en-US" w:eastAsia="zh-CN"/>
                <w:bCs/>
                <w:kern w:val="0"/>
                <w:rFonts w:hint="eastAsia"/>
              </w:rPr>
              <w:t>5</w:t>
            </w:r>
            <w:r>
              <w:rPr>
                <w:b w:val="1"/>
                <w:color w:val="auto"/>
                <w:sz w:val="24"/>
                <w:bCs/>
                <w:kern w:val="0"/>
              </w:rPr>
              <w:t xml:space="preserve"> </w:t>
            </w:r>
            <w:r>
              <w:rPr>
                <w:b w:val="1"/>
                <w:color w:val="auto"/>
                <w:sz w:val="24"/>
                <w:lang w:val="en-US" w:eastAsia="zh-CN"/>
                <w:bCs/>
                <w:kern w:val="0"/>
                <w:rFonts w:hint="eastAsia"/>
              </w:rPr>
              <w:t>物料平衡</w:t>
            </w:r>
            <w:r>
              <w:rPr>
                <w:b w:val="1"/>
                <w:color w:val="auto"/>
                <w:sz w:val="24"/>
                <w:bCs/>
                <w:kern w:val="0"/>
              </w:rPr>
              <w:t>表</w:t>
            </w:r>
            <w:r>
              <w:rPr>
                <w:b w:val="1"/>
                <w:color w:val="auto"/>
                <w:sz w:val="24"/>
                <w:lang w:eastAsia="zh-CN"/>
                <w:bCs/>
                <w:kern w:val="0"/>
                <w:rFonts w:hint="eastAsia"/>
              </w:rPr>
              <w:t>（</w:t>
            </w:r>
            <w:r>
              <w:rPr>
                <w:b w:val="1"/>
                <w:color w:val="auto"/>
                <w:sz w:val="24"/>
                <w:lang w:val="en-US" w:eastAsia="zh-CN"/>
                <w:bCs/>
                <w:kern w:val="0"/>
                <w:rFonts w:hint="eastAsia"/>
              </w:rPr>
              <w:t>t/a</w:t>
            </w:r>
            <w:r>
              <w:rPr>
                <w:b w:val="1"/>
                <w:color w:val="auto"/>
                <w:sz w:val="24"/>
                <w:lang w:eastAsia="zh-CN"/>
                <w:bCs/>
                <w:kern w:val="0"/>
                <w:rFonts w:hint="eastAsia"/>
              </w:rPr>
              <w:t>）</w:t>
            </w:r>
          </w:p>
          <w:tbl>
            <w:tblPr>
              <w:tblStyle w:val="27"/>
              <w:tblW w:w="4667"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2348.000000"/>
              <w:gridCol w:w="2073.000000"/>
              <w:gridCol w:w="1784.000000"/>
              <w:gridCol w:w="1630.000000"/>
            </w:tblGrid>
            <w:tr w14:paraId="059D9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6" w:hRule="atLeast"/>
                <w:jc w:val="center"/>
              </w:trPr>
              <w:tc>
                <w:tcPr>
                  <w:tcW w:w="1498" w:type="pct"/>
                  <w:vAlign w:val="center"/>
                </w:tcPr>
                <w:p w14:paraId="4662034E">
                  <w:pPr>
                    <w:jc w:val="center"/>
                    <w:contextualSpacing/>
                    <w:spacing w:line="0" w:lineRule="atLeast"/>
                    <w:rPr>
                      <w:color w:val="auto"/>
                      <w:lang w:eastAsia="zh-CN"/>
                      <w:kern w:val="0"/>
                      <w:szCs w:val="21"/>
                      <w:rFonts w:eastAsia="宋体" w:hint="eastAsia"/>
                    </w:rPr>
                  </w:pPr>
                  <w:r>
                    <w:rPr>
                      <w:color w:val="auto"/>
                      <w:lang w:val="en-US" w:eastAsia="zh-CN"/>
                      <w:kern w:val="0"/>
                      <w:szCs w:val="21"/>
                      <w:rFonts w:hint="eastAsia"/>
                    </w:rPr>
                    <w:t>进料</w:t>
                  </w:r>
                </w:p>
              </w:tc>
              <w:tc>
                <w:tcPr>
                  <w:tcW w:w="1322" w:type="pct"/>
                  <w:vAlign w:val="center"/>
                </w:tcPr>
                <w:p w14:paraId="6992D805">
                  <w:pPr>
                    <w:jc w:val="center"/>
                    <w:contextualSpacing/>
                    <w:spacing w:line="0" w:lineRule="atLeast"/>
                    <w:rPr>
                      <w:color w:val="auto"/>
                      <w:kern w:val="0"/>
                      <w:szCs w:val="21"/>
                    </w:rPr>
                  </w:pPr>
                  <w:r>
                    <w:rPr>
                      <w:color w:val="auto"/>
                      <w:kern w:val="0"/>
                      <w:szCs w:val="21"/>
                    </w:rPr>
                    <w:t>数量</w:t>
                  </w:r>
                </w:p>
              </w:tc>
              <w:tc>
                <w:tcPr>
                  <w:tcW w:w="1138" w:type="pct"/>
                  <w:vAlign w:val="center"/>
                </w:tcPr>
                <w:p w14:paraId="303901DC">
                  <w:pPr>
                    <w:jc w:val="center"/>
                    <w:contextualSpacing/>
                    <w:spacing w:line="0" w:lineRule="atLeast"/>
                    <w:rPr>
                      <w:color w:val="auto"/>
                      <w:lang w:eastAsia="zh-CN"/>
                      <w:kern w:val="0"/>
                      <w:szCs w:val="21"/>
                      <w:rFonts w:eastAsia="宋体" w:hint="eastAsia"/>
                    </w:rPr>
                  </w:pPr>
                  <w:r>
                    <w:rPr>
                      <w:color w:val="auto"/>
                      <w:lang w:val="en-US" w:eastAsia="zh-CN"/>
                      <w:kern w:val="0"/>
                      <w:szCs w:val="21"/>
                      <w:rFonts w:hint="eastAsia"/>
                    </w:rPr>
                    <w:t>出料</w:t>
                  </w:r>
                </w:p>
              </w:tc>
              <w:tc>
                <w:tcPr>
                  <w:tcW w:w="1040" w:type="pct"/>
                  <w:vAlign w:val="center"/>
                </w:tcPr>
                <w:p w14:paraId="700B52BA">
                  <w:pPr>
                    <w:jc w:val="center"/>
                    <w:contextualSpacing/>
                    <w:spacing w:line="0" w:lineRule="atLeast"/>
                    <w:rPr>
                      <w:color w:val="auto"/>
                      <w:kern w:val="0"/>
                      <w:szCs w:val="21"/>
                    </w:rPr>
                  </w:pPr>
                  <w:r>
                    <w:rPr>
                      <w:color w:val="auto"/>
                      <w:kern w:val="0"/>
                      <w:szCs w:val="21"/>
                    </w:rPr>
                    <w:t>数量</w:t>
                  </w:r>
                </w:p>
              </w:tc>
            </w:tr>
            <w:tr w14:paraId="57427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10" w:hRule="atLeast"/>
                <w:jc w:val="center"/>
              </w:trPr>
              <w:tc>
                <w:tcPr>
                  <w:tcW w:w="1498" w:type="pct"/>
                  <w:vAlign w:val="center"/>
                </w:tcPr>
                <w:p w14:paraId="1D77A1EF">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碎石</w:t>
                  </w:r>
                </w:p>
              </w:tc>
              <w:tc>
                <w:tcPr>
                  <w:tcW w:w="1322" w:type="pct"/>
                  <w:vAlign w:val="center"/>
                  <w:shd w:val="clear" w:color="auto" w:fill="auto"/>
                </w:tcPr>
                <w:p w14:paraId="1F9C4A74">
                  <w:pPr>
                    <w:widowControl w:val="1"/>
                    <w:keepNext w:val="0"/>
                    <w:keepLines w:val="0"/>
                    <w:jc w:val="center"/>
                    <w:suppressLineNumbers w:val="0"/>
                    <w:rPr>
                      <w:i w:val="0"/>
                      <w:u w:val="none"/>
                      <w:color w:val="auto"/>
                      <w:sz w:val="22"/>
                      <w:lang w:val="en-US" w:eastAsia="zh-CN" w:bidi="ar-SA"/>
                      <w:iCs w:val="0"/>
                      <w:kern w:val="2"/>
                      <w:szCs w:val="22"/>
                      <w:rFonts w:ascii="宋体" w:hAnsi="宋体" w:eastAsia="宋体" w:cs="宋体" w:hint="eastAsia"/>
                    </w:rPr>
                  </w:pPr>
                  <w:r>
                    <w:rPr>
                      <w:i w:val="0"/>
                      <w:u w:val="none"/>
                      <w:color w:val="auto"/>
                      <w:sz w:val="21"/>
                      <w:lang w:val="en-US" w:eastAsia="zh-CN" w:bidi="ar"/>
                      <w:iCs w:val="0"/>
                      <w:kern w:val="0"/>
                      <w:szCs w:val="21"/>
                      <w:rFonts w:ascii="Times New Roman" w:hAnsi="Times New Roman" w:eastAsia="宋体" w:cs="Times New Roman" w:hint="default"/>
                    </w:rPr>
                    <w:t>205000</w:t>
                  </w:r>
                </w:p>
              </w:tc>
              <w:tc>
                <w:tcPr>
                  <w:tcW w:w="1138" w:type="pct"/>
                  <w:vAlign w:val="center"/>
                </w:tcPr>
                <w:p w14:paraId="4A59AF9C">
                  <w:pPr>
                    <w:jc w:val="center"/>
                    <w:contextualSpacing/>
                    <w:spacing w:line="0" w:lineRule="atLeast"/>
                    <w:rPr>
                      <w:color w:val="auto"/>
                      <w:lang w:val="en-US" w:eastAsia="zh-CN"/>
                      <w:kern w:val="0"/>
                      <w:szCs w:val="21"/>
                      <w:rFonts w:eastAsia="宋体" w:hint="eastAsia"/>
                    </w:rPr>
                  </w:pPr>
                  <w:r>
                    <w:rPr>
                      <w:color w:val="auto"/>
                      <w:lang w:val="en-US" w:eastAsia="zh-CN"/>
                      <w:bCs/>
                      <w:kern w:val="0"/>
                      <w:szCs w:val="21"/>
                      <w:rFonts w:hint="eastAsia"/>
                    </w:rPr>
                    <w:t>成品</w:t>
                  </w:r>
                </w:p>
              </w:tc>
              <w:tc>
                <w:tcPr>
                  <w:tcW w:w="1040" w:type="pct"/>
                  <w:vAlign w:val="center"/>
                </w:tcPr>
                <w:p w14:paraId="15E46E8F">
                  <w:pPr>
                    <w:jc w:val="center"/>
                    <w:contextualSpacing/>
                    <w:spacing w:line="0" w:lineRule="atLeast"/>
                    <w:rPr>
                      <w:color w:val="auto"/>
                      <w:lang w:val="en-US" w:eastAsia="zh-CN"/>
                      <w:kern w:val="0"/>
                      <w:szCs w:val="21"/>
                      <w:rFonts w:eastAsia="宋体" w:hint="default"/>
                    </w:rPr>
                  </w:pPr>
                  <w:r>
                    <w:rPr>
                      <w:color w:val="auto"/>
                      <w:lang w:val="en-US" w:eastAsia="zh-CN"/>
                      <w:kern w:val="0"/>
                      <w:szCs w:val="21"/>
                      <w:rFonts w:hint="eastAsia"/>
                    </w:rPr>
                    <w:t>332995.3281</w:t>
                  </w:r>
                </w:p>
              </w:tc>
            </w:tr>
            <w:tr w14:paraId="174FE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10" w:hRule="atLeast"/>
                <w:jc w:val="center"/>
              </w:trPr>
              <w:tc>
                <w:tcPr>
                  <w:tcW w:w="1498" w:type="pct"/>
                  <w:vAlign w:val="center"/>
                </w:tcPr>
                <w:p w14:paraId="54F15D16">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矿粉</w:t>
                  </w:r>
                </w:p>
              </w:tc>
              <w:tc>
                <w:tcPr>
                  <w:tcW w:w="1322" w:type="pct"/>
                  <w:vAlign w:val="center"/>
                  <w:shd w:val="clear" w:color="auto" w:fill="auto"/>
                </w:tcPr>
                <w:p w14:paraId="79404EF1">
                  <w:pPr>
                    <w:widowControl w:val="1"/>
                    <w:keepNext w:val="0"/>
                    <w:keepLines w:val="0"/>
                    <w:jc w:val="center"/>
                    <w:suppressLineNumbers w:val="0"/>
                    <w:rPr>
                      <w:i w:val="0"/>
                      <w:u w:val="none"/>
                      <w:color w:val="auto"/>
                      <w:highlight w:val="green"/>
                      <w:sz w:val="22"/>
                      <w:lang w:val="en-US" w:eastAsia="zh-CN" w:bidi="ar"/>
                      <w:iCs w:val="0"/>
                      <w:kern w:val="0"/>
                      <w:szCs w:val="22"/>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1</w:t>
                  </w:r>
                  <w:r>
                    <w:rPr>
                      <w:i w:val="0"/>
                      <w:u w:val="none"/>
                      <w:color w:val="auto"/>
                      <w:sz w:val="21"/>
                      <w:lang w:val="en-US" w:eastAsia="zh-CN" w:bidi="ar"/>
                      <w:iCs w:val="0"/>
                      <w:kern w:val="0"/>
                      <w:szCs w:val="21"/>
                      <w:rFonts w:cs="Times New Roman" w:hint="eastAsia"/>
                    </w:rPr>
                    <w:t>5000</w:t>
                  </w:r>
                </w:p>
              </w:tc>
              <w:tc>
                <w:tcPr>
                  <w:tcW w:w="1138" w:type="pct"/>
                  <w:vAlign w:val="center"/>
                </w:tcPr>
                <w:p w14:paraId="6B07B734">
                  <w:pPr>
                    <w:jc w:val="center"/>
                    <w:contextualSpacing/>
                    <w:spacing w:line="0" w:lineRule="atLeast"/>
                    <w:rPr>
                      <w:color w:val="auto"/>
                      <w:lang w:val="en-US" w:eastAsia="zh-CN"/>
                      <w:bCs/>
                      <w:kern w:val="0"/>
                      <w:szCs w:val="21"/>
                      <w:rFonts w:eastAsia="宋体" w:hint="eastAsia"/>
                    </w:rPr>
                  </w:pPr>
                  <w:r>
                    <w:rPr>
                      <w:color w:val="auto"/>
                      <w:lang w:val="en-US" w:eastAsia="zh-CN"/>
                      <w:kern w:val="0"/>
                      <w:szCs w:val="21"/>
                      <w:rFonts w:hint="eastAsia"/>
                    </w:rPr>
                    <w:t>粉尘（含沥青烟）</w:t>
                  </w:r>
                </w:p>
              </w:tc>
              <w:tc>
                <w:tcPr>
                  <w:tcW w:w="1040" w:type="pct"/>
                  <w:vAlign w:val="center"/>
                </w:tcPr>
                <w:p w14:paraId="7C69BD29">
                  <w:pPr>
                    <w:jc w:val="center"/>
                    <w:contextualSpacing/>
                    <w:spacing w:line="0" w:lineRule="atLeast"/>
                    <w:rPr>
                      <w:color w:val="auto"/>
                      <w:kern w:val="0"/>
                      <w:szCs w:val="21"/>
                    </w:rPr>
                  </w:pPr>
                  <w:r>
                    <w:rPr>
                      <w:i w:val="0"/>
                      <w:u w:val="none"/>
                      <w:color w:val="auto"/>
                      <w:sz w:val="21"/>
                      <w:lang w:val="en-US" w:eastAsia="zh-CN" w:bidi="ar"/>
                      <w:iCs w:val="0"/>
                      <w:kern w:val="0"/>
                      <w:szCs w:val="21"/>
                      <w:rFonts w:ascii="Times New Roman" w:hAnsi="Times New Roman" w:eastAsia="宋体" w:cs="Times New Roman" w:hint="eastAsia"/>
                    </w:rPr>
                    <w:t>4.6719</w:t>
                  </w:r>
                </w:p>
              </w:tc>
            </w:tr>
            <w:tr w14:paraId="571CE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10" w:hRule="atLeast"/>
                <w:jc w:val="center"/>
              </w:trPr>
              <w:tc>
                <w:tcPr>
                  <w:tcW w:w="1498" w:type="pct"/>
                  <w:vAlign w:val="center"/>
                </w:tcPr>
                <w:p w14:paraId="1178C364">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沥青</w:t>
                  </w:r>
                </w:p>
              </w:tc>
              <w:tc>
                <w:tcPr>
                  <w:tcW w:w="1322" w:type="pct"/>
                  <w:vAlign w:val="center"/>
                  <w:shd w:val="clear" w:color="auto" w:fill="auto"/>
                </w:tcPr>
                <w:p w14:paraId="15870645">
                  <w:pPr>
                    <w:widowControl w:val="1"/>
                    <w:keepNext w:val="0"/>
                    <w:keepLines w:val="0"/>
                    <w:jc w:val="center"/>
                    <w:suppressLineNumbers w:val="0"/>
                    <w:rPr>
                      <w:i w:val="0"/>
                      <w:u w:val="none"/>
                      <w:color w:val="auto"/>
                      <w:highlight w:val="green"/>
                      <w:sz w:val="22"/>
                      <w:lang w:val="en-US" w:eastAsia="zh-CN" w:bidi="ar"/>
                      <w:iCs w:val="0"/>
                      <w:kern w:val="0"/>
                      <w:szCs w:val="22"/>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13</w:t>
                  </w:r>
                  <w:r>
                    <w:rPr>
                      <w:i w:val="0"/>
                      <w:u w:val="none"/>
                      <w:color w:val="auto"/>
                      <w:sz w:val="21"/>
                      <w:lang w:val="en-US" w:eastAsia="zh-CN" w:bidi="ar"/>
                      <w:iCs w:val="0"/>
                      <w:kern w:val="0"/>
                      <w:szCs w:val="21"/>
                      <w:rFonts w:cs="Times New Roman" w:hint="eastAsia"/>
                    </w:rPr>
                    <w:t>000</w:t>
                  </w:r>
                </w:p>
              </w:tc>
              <w:tc>
                <w:tcPr>
                  <w:tcW w:w="1138" w:type="pct"/>
                  <w:vAlign w:val="center"/>
                </w:tcPr>
                <w:p w14:paraId="1D4847AB">
                  <w:pPr>
                    <w:jc w:val="center"/>
                    <w:contextualSpacing/>
                    <w:spacing w:line="0" w:lineRule="atLeast"/>
                    <w:rPr>
                      <w:color w:val="auto"/>
                      <w:lang w:val="en-US" w:eastAsia="zh-CN"/>
                      <w:bCs/>
                      <w:kern w:val="0"/>
                      <w:szCs w:val="21"/>
                      <w:rFonts w:eastAsia="宋体" w:hint="eastAsia"/>
                    </w:rPr>
                  </w:pPr>
                </w:p>
              </w:tc>
              <w:tc>
                <w:tcPr>
                  <w:tcW w:w="1040" w:type="pct"/>
                  <w:vAlign w:val="center"/>
                </w:tcPr>
                <w:p w14:paraId="35ABEDC2">
                  <w:pPr>
                    <w:jc w:val="center"/>
                    <w:contextualSpacing/>
                    <w:spacing w:line="0" w:lineRule="atLeast"/>
                    <w:rPr>
                      <w:color w:val="auto"/>
                      <w:kern w:val="0"/>
                      <w:szCs w:val="21"/>
                    </w:rPr>
                  </w:pPr>
                </w:p>
              </w:tc>
            </w:tr>
            <w:tr w14:paraId="4D721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10" w:hRule="atLeast"/>
                <w:jc w:val="center"/>
              </w:trPr>
              <w:tc>
                <w:tcPr>
                  <w:tcW w:w="1498" w:type="pct"/>
                  <w:vAlign w:val="center"/>
                </w:tcPr>
                <w:p w14:paraId="6DAC6814">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eastAsia"/>
                    </w:rPr>
                    <w:t>机制砂</w:t>
                  </w:r>
                </w:p>
              </w:tc>
              <w:tc>
                <w:tcPr>
                  <w:tcW w:w="1322" w:type="pct"/>
                  <w:vAlign w:val="center"/>
                  <w:shd w:val="clear" w:color="auto" w:fill="auto"/>
                </w:tcPr>
                <w:p w14:paraId="084D6462">
                  <w:pPr>
                    <w:widowControl w:val="1"/>
                    <w:keepNext w:val="0"/>
                    <w:keepLines w:val="0"/>
                    <w:jc w:val="center"/>
                    <w:suppressLineNumbers w:val="0"/>
                    <w:rPr>
                      <w:i w:val="0"/>
                      <w:u w:val="none"/>
                      <w:color w:val="auto"/>
                      <w:highlight w:val="green"/>
                      <w:sz w:val="22"/>
                      <w:lang w:val="en-US" w:eastAsia="zh-CN" w:bidi="ar"/>
                      <w:iCs w:val="0"/>
                      <w:kern w:val="0"/>
                      <w:szCs w:val="22"/>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100</w:t>
                  </w:r>
                  <w:r>
                    <w:rPr>
                      <w:i w:val="0"/>
                      <w:u w:val="none"/>
                      <w:color w:val="auto"/>
                      <w:sz w:val="21"/>
                      <w:lang w:val="en-US" w:eastAsia="zh-CN" w:bidi="ar"/>
                      <w:iCs w:val="0"/>
                      <w:kern w:val="0"/>
                      <w:szCs w:val="21"/>
                      <w:rFonts w:cs="Times New Roman" w:hint="eastAsia"/>
                    </w:rPr>
                    <w:t>00</w:t>
                  </w:r>
                  <w:r>
                    <w:rPr>
                      <w:i w:val="0"/>
                      <w:u w:val="none"/>
                      <w:color w:val="auto"/>
                      <w:sz w:val="21"/>
                      <w:lang w:val="en-US" w:eastAsia="zh-CN" w:bidi="ar"/>
                      <w:iCs w:val="0"/>
                      <w:kern w:val="0"/>
                      <w:szCs w:val="21"/>
                      <w:rFonts w:ascii="Times New Roman" w:hAnsi="Times New Roman" w:eastAsia="宋体" w:cs="Times New Roman" w:hint="default"/>
                    </w:rPr>
                    <w:t>0</w:t>
                  </w:r>
                </w:p>
              </w:tc>
              <w:tc>
                <w:tcPr>
                  <w:tcW w:w="1138" w:type="pct"/>
                  <w:vAlign w:val="center"/>
                </w:tcPr>
                <w:p w14:paraId="03467D8D">
                  <w:pPr>
                    <w:jc w:val="center"/>
                    <w:contextualSpacing/>
                    <w:spacing w:line="0" w:lineRule="atLeast"/>
                    <w:rPr>
                      <w:color w:val="auto"/>
                      <w:bCs/>
                      <w:kern w:val="0"/>
                      <w:szCs w:val="21"/>
                    </w:rPr>
                  </w:pPr>
                </w:p>
              </w:tc>
              <w:tc>
                <w:tcPr>
                  <w:tcW w:w="1040" w:type="pct"/>
                  <w:vAlign w:val="center"/>
                </w:tcPr>
                <w:p w14:paraId="7C13188A">
                  <w:pPr>
                    <w:jc w:val="center"/>
                    <w:contextualSpacing/>
                    <w:spacing w:line="0" w:lineRule="atLeast"/>
                    <w:rPr>
                      <w:color w:val="auto"/>
                      <w:kern w:val="0"/>
                      <w:szCs w:val="21"/>
                    </w:rPr>
                  </w:pPr>
                </w:p>
              </w:tc>
            </w:tr>
            <w:tr w14:paraId="08760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10" w:hRule="atLeast"/>
                <w:jc w:val="center"/>
              </w:trPr>
              <w:tc>
                <w:tcPr>
                  <w:tcW w:w="1498" w:type="pct"/>
                  <w:vAlign w:val="center"/>
                </w:tcPr>
                <w:p w14:paraId="446BCBA3">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cs="Times New Roman" w:hint="eastAsia"/>
                    </w:rPr>
                    <w:t>合计</w:t>
                  </w:r>
                </w:p>
              </w:tc>
              <w:tc>
                <w:tcPr>
                  <w:tcW w:w="1322" w:type="pct"/>
                  <w:vAlign w:val="center"/>
                  <w:shd w:val="clear" w:color="auto" w:fill="auto"/>
                </w:tcPr>
                <w:p w14:paraId="6DA4682C">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eastAsia"/>
                    </w:rPr>
                    <w:t>333000</w:t>
                  </w:r>
                </w:p>
              </w:tc>
              <w:tc>
                <w:tcPr>
                  <w:tcW w:w="1138" w:type="pct"/>
                  <w:vAlign w:val="center"/>
                </w:tcPr>
                <w:p w14:paraId="14D72395">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p>
              </w:tc>
              <w:tc>
                <w:tcPr>
                  <w:tcW w:w="1040" w:type="pct"/>
                  <w:vAlign w:val="center"/>
                  <w:shd w:val="clear" w:color="auto" w:fill="auto"/>
                </w:tcPr>
                <w:p w14:paraId="64981279">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eastAsia"/>
                    </w:rPr>
                  </w:pPr>
                  <w:r>
                    <w:rPr>
                      <w:i w:val="0"/>
                      <w:u w:val="none"/>
                      <w:color w:val="auto"/>
                      <w:sz w:val="21"/>
                      <w:lang w:val="en-US" w:eastAsia="zh-CN" w:bidi="ar"/>
                      <w:iCs w:val="0"/>
                      <w:kern w:val="0"/>
                      <w:szCs w:val="21"/>
                      <w:rFonts w:ascii="Times New Roman" w:hAnsi="Times New Roman" w:eastAsia="宋体" w:cs="Times New Roman" w:hint="eastAsia"/>
                    </w:rPr>
                    <w:t>333000</w:t>
                  </w:r>
                </w:p>
              </w:tc>
            </w:tr>
          </w:tbl>
          <w:p w14:paraId="623CF247">
            <w:pPr>
              <w:jc w:val="left"/>
              <w:contextualSpacing/>
              <w:spacing w:line="360" w:lineRule="auto"/>
              <w:ind w:firstLine="482" w:firstLineChars="200"/>
              <w:rPr>
                <w:b w:val="1"/>
                <w:color w:val="auto"/>
                <w:sz w:val="24"/>
                <w:kern w:val="0"/>
              </w:rPr>
            </w:pPr>
            <w:r>
              <w:rPr>
                <w:b w:val="1"/>
                <w:color w:val="auto"/>
                <w:sz w:val="24"/>
                <w:kern w:val="0"/>
              </w:rPr>
              <w:t>5、公用工程</w:t>
            </w:r>
          </w:p>
          <w:p w14:paraId="1C7633FB">
            <w:pPr>
              <w:contextualSpacing/>
              <w:spacing w:line="360" w:lineRule="auto"/>
              <w:ind w:firstLine="480" w:firstLineChars="200"/>
              <w:rPr>
                <w:color w:val="auto"/>
                <w:sz w:val="24"/>
              </w:rPr>
            </w:pPr>
            <w:r>
              <w:rPr>
                <w:color w:val="auto"/>
                <w:sz w:val="24"/>
              </w:rPr>
              <w:t>（1）供水：本项目用水</w:t>
            </w:r>
            <w:r>
              <w:rPr>
                <w:color w:val="auto"/>
                <w:sz w:val="24"/>
                <w:rFonts w:hint="eastAsia"/>
              </w:rPr>
              <w:t>采用</w:t>
            </w:r>
            <w:r>
              <w:rPr>
                <w:color w:val="auto"/>
                <w:sz w:val="24"/>
              </w:rPr>
              <w:t>厂区</w:t>
            </w:r>
            <w:r>
              <w:rPr>
                <w:color w:val="auto"/>
                <w:sz w:val="24"/>
                <w:rFonts w:hint="eastAsia"/>
              </w:rPr>
              <w:t>自</w:t>
            </w:r>
            <w:r>
              <w:rPr>
                <w:color w:val="auto"/>
                <w:sz w:val="24"/>
              </w:rPr>
              <w:t>打井。</w:t>
            </w:r>
          </w:p>
          <w:p w14:paraId="6AEA4287">
            <w:pPr>
              <w:contextualSpacing/>
              <w:spacing w:line="360" w:lineRule="auto"/>
              <w:ind w:firstLine="480" w:firstLineChars="200"/>
              <w:rPr>
                <w:color w:val="auto"/>
                <w:sz w:val="24"/>
              </w:rPr>
            </w:pPr>
            <w:r>
              <w:rPr>
                <w:color w:val="auto"/>
                <w:sz w:val="24"/>
                <w:rFonts w:hint="eastAsia"/>
              </w:rPr>
              <w:t>本项目生产不用水，项目沥青混凝土车辆全部租赁，不涉及车辆清洗用水；厂区</w:t>
            </w:r>
            <w:r>
              <w:rPr>
                <w:color w:val="auto"/>
                <w:sz w:val="24"/>
              </w:rPr>
              <w:t>铲装集堆过程洒水喷淋</w:t>
            </w:r>
            <w:r>
              <w:rPr>
                <w:color w:val="auto"/>
                <w:sz w:val="24"/>
                <w:rFonts w:hint="eastAsia"/>
              </w:rPr>
              <w:t>，日常不进行地面冲洗，不产生冲洗废水；项目用水主要为生活用水、喷淋降尘用水。</w:t>
            </w:r>
          </w:p>
          <w:p w14:paraId="457C197E">
            <w:pPr>
              <w:contextualSpacing/>
              <w:spacing w:line="360" w:lineRule="auto"/>
              <w:ind w:firstLine="480" w:firstLineChars="200"/>
              <w:rPr>
                <w:color w:val="auto"/>
                <w:sz w:val="24"/>
              </w:rPr>
            </w:pPr>
            <w:r>
              <w:rPr>
                <w:color w:val="auto"/>
                <w:sz w:val="24"/>
              </w:rPr>
              <w:t>生活用水量计算参照黑龙江省地方标准《用水定额》（DB23/T</w:t>
            </w:r>
            <w:r>
              <w:rPr>
                <w:color w:val="auto"/>
                <w:sz w:val="24"/>
                <w:rFonts w:hint="eastAsia"/>
              </w:rPr>
              <w:t xml:space="preserve"> </w:t>
            </w:r>
            <w:r>
              <w:rPr>
                <w:color w:val="auto"/>
                <w:sz w:val="24"/>
              </w:rPr>
              <w:t>727-2021），员工的生活用水采用</w:t>
            </w:r>
            <w:r>
              <w:rPr>
                <w:color w:val="auto"/>
                <w:sz w:val="24"/>
                <w:rFonts w:hint="eastAsia"/>
              </w:rPr>
              <w:t>8</w:t>
            </w:r>
            <w:r>
              <w:rPr>
                <w:color w:val="auto"/>
                <w:sz w:val="24"/>
              </w:rPr>
              <w:t>0L/人•d，员工人数为</w:t>
            </w:r>
            <w:r>
              <w:rPr>
                <w:color w:val="auto"/>
                <w:sz w:val="24"/>
                <w:lang w:val="en-US" w:eastAsia="zh-CN"/>
                <w:rFonts w:hint="eastAsia"/>
              </w:rPr>
              <w:t>6</w:t>
            </w:r>
            <w:r>
              <w:rPr>
                <w:color w:val="auto"/>
                <w:sz w:val="24"/>
                <w:rFonts w:hint="eastAsia"/>
              </w:rPr>
              <w:t>人</w:t>
            </w:r>
            <w:r>
              <w:rPr>
                <w:color w:val="auto"/>
                <w:sz w:val="24"/>
                <w:rFonts w:hint="eastAsia"/>
              </w:rPr>
              <w:t>，</w:t>
            </w:r>
            <w:r>
              <w:rPr>
                <w:color w:val="auto"/>
                <w:sz w:val="24"/>
              </w:rPr>
              <w:t>生活用水量为</w:t>
            </w:r>
            <w:r>
              <w:rPr>
                <w:color w:val="auto"/>
                <w:sz w:val="24"/>
                <w:lang w:val="en-US" w:eastAsia="zh-CN"/>
                <w:rFonts w:hint="eastAsia"/>
              </w:rPr>
              <w:t>0.48</w:t>
            </w:r>
            <w:r>
              <w:rPr>
                <w:color w:val="auto"/>
                <w:sz w:val="24"/>
              </w:rPr>
              <w:t>t/d，</w:t>
            </w:r>
            <w:r>
              <w:rPr>
                <w:color w:val="auto"/>
                <w:sz w:val="24"/>
                <w:lang w:val="en-US" w:eastAsia="zh-CN"/>
                <w:rFonts w:hint="eastAsia"/>
              </w:rPr>
              <w:t>115.2</w:t>
            </w:r>
            <w:r>
              <w:rPr>
                <w:color w:val="auto"/>
                <w:sz w:val="24"/>
              </w:rPr>
              <w:t>t</w:t>
            </w:r>
            <w:r>
              <w:rPr>
                <w:color w:val="auto"/>
                <w:sz w:val="24"/>
              </w:rPr>
              <w:t>/a</w:t>
            </w:r>
            <w:r>
              <w:rPr>
                <w:color w:val="auto"/>
                <w:sz w:val="24"/>
                <w:rFonts w:hint="eastAsia"/>
              </w:rPr>
              <w:t>；生产用水为堆场</w:t>
            </w:r>
            <w:r>
              <w:rPr>
                <w:color w:val="auto"/>
                <w:sz w:val="24"/>
              </w:rPr>
              <w:t>、</w:t>
            </w:r>
            <w:r>
              <w:rPr>
                <w:color w:val="auto"/>
                <w:sz w:val="24"/>
                <w:rFonts w:hint="eastAsia"/>
              </w:rPr>
              <w:t>铲装集堆、道路</w:t>
            </w:r>
            <w:r>
              <w:rPr>
                <w:color w:val="auto"/>
                <w:sz w:val="24"/>
              </w:rPr>
              <w:t>等降尘用水</w:t>
            </w:r>
            <w:r>
              <w:rPr>
                <w:color w:val="auto"/>
                <w:sz w:val="24"/>
                <w:rFonts w:hint="eastAsia"/>
              </w:rPr>
              <w:t>，用水量约为</w:t>
            </w:r>
            <w:r>
              <w:rPr>
                <w:color w:val="auto"/>
                <w:sz w:val="24"/>
                <w:rFonts w:hint="eastAsia"/>
              </w:rPr>
              <w:t>351.6</w:t>
            </w:r>
            <w:r>
              <w:rPr>
                <w:color w:val="auto"/>
                <w:sz w:val="24"/>
                <w:lang w:val="en-US" w:eastAsia="zh-CN"/>
                <w:rFonts w:hint="eastAsia"/>
              </w:rPr>
              <w:t>t/a</w:t>
            </w:r>
            <w:r>
              <w:rPr>
                <w:color w:val="auto"/>
                <w:sz w:val="24"/>
                <w:rFonts w:hint="eastAsia"/>
              </w:rPr>
              <w:t>。</w:t>
            </w:r>
          </w:p>
          <w:p w14:paraId="72BDD0FD">
            <w:pPr>
              <w:widowControl w:val="1"/>
              <w:contextualSpacing/>
              <w:spacing w:line="360" w:lineRule="auto"/>
              <w:ind w:firstLine="480" w:firstLineChars="200"/>
              <w:rPr>
                <w:color w:val="auto"/>
                <w:sz w:val="24"/>
                <w:kern w:val="0"/>
              </w:rPr>
            </w:pPr>
            <w:r>
              <w:rPr>
                <w:color w:val="auto"/>
                <w:sz w:val="24"/>
              </w:rPr>
              <w:t>（2）</w:t>
            </w:r>
            <w:r>
              <w:rPr>
                <w:color w:val="auto"/>
                <w:sz w:val="24"/>
                <w:kern w:val="0"/>
              </w:rPr>
              <w:t>排水：本项目无</w:t>
            </w:r>
            <w:r>
              <w:rPr>
                <w:color w:val="auto"/>
                <w:sz w:val="24"/>
              </w:rPr>
              <w:t>生产废水产生</w:t>
            </w:r>
            <w:r>
              <w:rPr>
                <w:color w:val="auto"/>
                <w:sz w:val="24"/>
                <w:kern w:val="0"/>
              </w:rPr>
              <w:t>；</w:t>
            </w:r>
            <w:r>
              <w:rPr>
                <w:color w:val="auto"/>
                <w:sz w:val="24"/>
              </w:rPr>
              <w:t>生活污水产生量按用水量的80%计，为</w:t>
            </w:r>
            <w:r>
              <w:rPr>
                <w:color w:val="auto"/>
                <w:sz w:val="24"/>
              </w:rPr>
              <w:t>0.</w:t>
            </w:r>
            <w:r>
              <w:rPr>
                <w:color w:val="auto"/>
                <w:sz w:val="24"/>
                <w:lang w:val="en-US" w:eastAsia="zh-CN"/>
                <w:rFonts w:hint="eastAsia"/>
              </w:rPr>
              <w:t>384</w:t>
            </w:r>
            <w:r>
              <w:rPr>
                <w:color w:val="auto"/>
                <w:sz w:val="24"/>
              </w:rPr>
              <w:t>t/d，</w:t>
            </w:r>
            <w:r>
              <w:rPr>
                <w:color w:val="auto"/>
                <w:sz w:val="24"/>
                <w:lang w:val="en-US" w:eastAsia="zh-CN"/>
                <w:rFonts w:hint="eastAsia"/>
              </w:rPr>
              <w:t>92.16</w:t>
            </w:r>
            <w:r>
              <w:rPr>
                <w:color w:val="auto"/>
                <w:sz w:val="24"/>
              </w:rPr>
              <w:t>t/a，生活污水排入防渗旱厕，定期清掏，外运堆肥，不外排</w:t>
            </w:r>
            <w:r>
              <w:rPr>
                <w:color w:val="auto"/>
                <w:sz w:val="24"/>
                <w:kern w:val="0"/>
              </w:rPr>
              <w:t>。</w:t>
            </w:r>
          </w:p>
          <w:p w14:paraId="01576970">
            <w:pPr>
              <w:widowControl w:val="1"/>
              <w:contextualSpacing/>
              <w:spacing w:line="360" w:lineRule="auto"/>
              <w:ind w:firstLine="480" w:firstLineChars="200"/>
              <w:rPr>
                <w:color w:val="auto"/>
                <w:sz w:val="24"/>
                <w:kern w:val="0"/>
              </w:rPr>
            </w:pPr>
            <w:r>
              <w:rPr>
                <w:color w:val="auto"/>
                <w:sz w:val="24"/>
                <w:kern w:val="0"/>
                <w:rFonts w:hint="eastAsia"/>
              </w:rPr>
              <w:t>初期雨水</w:t>
            </w:r>
          </w:p>
          <w:p w14:paraId="62D5034D">
            <w:pPr>
              <w:spacing w:line="360" w:lineRule="auto"/>
              <w:ind w:firstLine="480" w:firstLineChars="200"/>
              <w:rPr>
                <w:color w:val="auto"/>
                <w:sz w:val="24"/>
              </w:rPr>
            </w:pPr>
            <w:r>
              <w:rPr>
                <w:color w:val="auto"/>
                <w:sz w:val="24"/>
              </w:rPr>
              <w:t>初期雨水的估算方法，以暴雨量的前15min雨量作为初期雨水量。本评价采用暴雨强度及雨水流量计算公式进行估算，计算公式如下：</w:t>
            </w:r>
          </w:p>
          <w:p w14:paraId="2B334ED6">
            <w:pPr>
              <w:spacing w:line="360" w:lineRule="auto"/>
              <w:ind w:firstLine="480" w:firstLineChars="200"/>
              <w:rPr>
                <w:color w:val="auto"/>
                <w:sz w:val="24"/>
              </w:rPr>
            </w:pPr>
            <w:r>
              <w:rPr>
                <w:color w:val="auto"/>
                <w:sz w:val="24"/>
              </w:rPr>
              <w:t>V=q×ψ×F×t×60/1000</w:t>
            </w:r>
          </w:p>
          <w:p w14:paraId="3366BAEB">
            <w:pPr>
              <w:spacing w:line="360" w:lineRule="auto"/>
              <w:ind w:firstLine="480" w:firstLineChars="200"/>
              <w:rPr>
                <w:color w:val="auto"/>
                <w:sz w:val="24"/>
              </w:rPr>
            </w:pPr>
            <w:r>
              <w:rPr>
                <w:color w:val="auto"/>
                <w:sz w:val="24"/>
              </w:rPr>
              <w:t>式中：</w:t>
            </w:r>
          </w:p>
          <w:p w14:paraId="27BA45BC">
            <w:pPr>
              <w:spacing w:line="360" w:lineRule="auto"/>
              <w:ind w:firstLine="480" w:firstLineChars="200"/>
              <w:rPr>
                <w:color w:val="auto"/>
                <w:sz w:val="24"/>
              </w:rPr>
            </w:pPr>
            <w:r>
              <w:rPr>
                <w:color w:val="auto"/>
                <w:sz w:val="24"/>
              </w:rPr>
              <w:t>t——降雨历时，min，取15；</w:t>
            </w:r>
          </w:p>
          <w:p w14:paraId="31A7CE5C">
            <w:pPr>
              <w:spacing w:line="360" w:lineRule="auto"/>
              <w:ind w:firstLine="480" w:firstLineChars="200"/>
              <w:rPr>
                <w:color w:val="auto"/>
                <w:sz w:val="24"/>
              </w:rPr>
            </w:pPr>
            <w:r>
              <w:rPr>
                <w:color w:val="auto"/>
                <w:sz w:val="24"/>
              </w:rPr>
              <w:t>F——汇水面积，hm</w:t>
            </w:r>
            <w:r>
              <w:rPr>
                <w:vertAlign w:val="superscript"/>
                <w:color w:val="auto"/>
                <w:sz w:val="24"/>
              </w:rPr>
              <w:t>2</w:t>
            </w:r>
            <w:r>
              <w:rPr>
                <w:color w:val="auto"/>
                <w:sz w:val="24"/>
              </w:rPr>
              <w:t>，本项目汇水面积取</w:t>
            </w:r>
            <w:r>
              <w:rPr>
                <w:color w:val="auto"/>
                <w:sz w:val="24"/>
                <w:rFonts w:hint="eastAsia"/>
              </w:rPr>
              <w:t>0.5</w:t>
            </w:r>
            <w:r>
              <w:rPr>
                <w:color w:val="auto"/>
                <w:sz w:val="24"/>
              </w:rPr>
              <w:t>；</w:t>
            </w:r>
          </w:p>
          <w:p w14:paraId="323A756F">
            <w:pPr>
              <w:spacing w:line="360" w:lineRule="auto"/>
              <w:ind w:firstLine="480" w:firstLineChars="200"/>
              <w:rPr>
                <w:color w:val="auto"/>
                <w:sz w:val="24"/>
              </w:rPr>
            </w:pPr>
            <w:r>
              <w:rPr>
                <w:color w:val="auto"/>
                <w:sz w:val="24"/>
              </w:rPr>
              <w:t>ψ——径流系数，取0.3；</w:t>
            </w:r>
          </w:p>
          <w:p w14:paraId="1D7BB438">
            <w:pPr>
              <w:spacing w:line="360" w:lineRule="auto"/>
              <w:ind w:firstLine="480" w:firstLineChars="200"/>
              <w:rPr>
                <w:color w:val="auto"/>
                <w:sz w:val="24"/>
              </w:rPr>
            </w:pPr>
            <w:r>
              <w:rPr>
                <w:color w:val="auto"/>
                <w:sz w:val="24"/>
              </w:rPr>
              <w:t>q——设计暴雨强度，L/(s•hm</w:t>
            </w:r>
            <w:r>
              <w:rPr>
                <w:vertAlign w:val="superscript"/>
                <w:color w:val="auto"/>
                <w:sz w:val="24"/>
              </w:rPr>
              <w:t>2</w:t>
            </w:r>
            <w:r>
              <w:rPr>
                <w:color w:val="auto"/>
                <w:sz w:val="24"/>
              </w:rPr>
              <w:t>)，</w:t>
            </w:r>
          </w:p>
          <w:p w14:paraId="4AF67466">
            <w:pPr>
              <w:spacing w:line="360" w:lineRule="auto"/>
              <w:ind w:firstLine="480" w:firstLineChars="200"/>
              <w:rPr>
                <w:color w:val="auto"/>
                <w:sz w:val="24"/>
              </w:rPr>
            </w:pPr>
            <w:r>
              <w:rPr>
                <w:color w:val="auto"/>
                <w:sz w:val="24"/>
              </w:rPr>
              <w:t>暴雨强度</w:t>
            </w:r>
            <w:r>
              <w:rPr>
                <w:color w:val="auto"/>
                <w:sz w:val="24"/>
                <w:rFonts w:hint="eastAsia"/>
              </w:rPr>
              <w:t>q</w:t>
            </w:r>
            <w:r>
              <w:rPr>
                <w:color w:val="auto"/>
                <w:sz w:val="24"/>
              </w:rPr>
              <w:t>采取</w:t>
            </w:r>
            <w:r>
              <w:rPr>
                <w:color w:val="auto"/>
                <w:sz w:val="24"/>
                <w:lang w:val="en-US" w:eastAsia="zh-CN"/>
                <w:rFonts w:hint="eastAsia"/>
              </w:rPr>
              <w:t>伊春</w:t>
            </w:r>
            <w:r>
              <w:rPr>
                <w:color w:val="auto"/>
                <w:sz w:val="24"/>
              </w:rPr>
              <w:t>市暴雨强度计算公式：</w:t>
            </w:r>
          </w:p>
          <w:p w14:paraId="67D12B04">
            <w:pPr>
              <w:jc w:val="center"/>
              <w:spacing w:line="360" w:lineRule="auto"/>
              <w:ind w:firstLine="480" w:firstLineChars="200"/>
              <w:rPr>
                <w:color w:val="auto"/>
                <w:sz w:val="24"/>
              </w:rPr>
            </w:pPr>
            <w:r>
              <w:rPr>
                <w:color w:val="auto"/>
                <w:sz w:val="24"/>
              </w:rPr>
              <w:drawing>
                <wp:inline distT="0" distB="0" distL="0" distR="0">
                  <wp:extent cx="1350645" cy="414655"/>
                  <wp:docPr id="1" name="_x0000_i1025"/>
                  <a:graphic xmlns:a="http://schemas.openxmlformats.org/drawingml/2006/main">
                    <a:graphicData uri="http://schemas.openxmlformats.org/drawingml/2006/picture">
                      <pic:pic xmlns:pic="http://schemas.openxmlformats.org/drawingml/2006/picture">
                        <pic:nvPicPr>
                          <pic:cNvPr id="0" name="图片 0"/>
                          <pic:cNvPicPr/>
                        </pic:nvPicPr>
                        <pic:blipFill>
                          <a:blip r:embed="rId9"/>
                          <a:stretch>
                            <a:fillRect/>
                          </a:stretch>
                        </pic:blipFill>
                        <pic:spPr>
                          <a:xfrm>
                            <a:off x="0" y="0"/>
                            <a:ext cx="1350645" cy="414655"/>
                          </a:xfrm>
                          <a:prstGeom prst="rect">
                            <a:avLst/>
                          </a:prstGeom>
                        </pic:spPr>
                      </pic:pic>
                    </a:graphicData>
                  </a:graphic>
                </wp:inline>
              </w:drawing>
            </w:r>
          </w:p>
          <w:p w14:paraId="1516A9E3">
            <w:pPr>
              <w:widowControl w:val="1"/>
              <w:contextualSpacing/>
              <w:spacing w:line="360" w:lineRule="auto"/>
              <w:ind w:firstLine="480" w:firstLineChars="200"/>
              <w:rPr>
                <w:color w:val="auto"/>
                <w:sz w:val="24"/>
                <w:kern w:val="0"/>
              </w:rPr>
            </w:pPr>
            <w:r>
              <w:rPr>
                <w:color w:val="auto"/>
                <w:sz w:val="24"/>
              </w:rPr>
              <w:t>其中P为设计重现期，取2a，t为降雨历时，取15min，径流系数取0.3，厂区汇水面积</w:t>
            </w:r>
            <w:r>
              <w:rPr>
                <w:color w:val="auto"/>
                <w:sz w:val="24"/>
                <w:lang w:val="en-US" w:eastAsia="zh-CN"/>
                <w:rFonts w:hint="eastAsia"/>
              </w:rPr>
              <w:t>约</w:t>
            </w:r>
            <w:r>
              <w:rPr>
                <w:color w:val="auto"/>
                <w:sz w:val="24"/>
              </w:rPr>
              <w:t>为</w:t>
            </w:r>
            <w:r>
              <w:rPr>
                <w:color w:val="auto"/>
                <w:sz w:val="24"/>
                <w:rFonts w:hint="eastAsia"/>
              </w:rPr>
              <w:t>0.5</w:t>
            </w:r>
            <w:r>
              <w:rPr>
                <w:color w:val="auto"/>
                <w:sz w:val="24"/>
              </w:rPr>
              <w:t>hm</w:t>
            </w:r>
            <w:r>
              <w:rPr>
                <w:vertAlign w:val="superscript"/>
                <w:color w:val="auto"/>
                <w:sz w:val="24"/>
              </w:rPr>
              <w:t>2</w:t>
            </w:r>
            <w:r>
              <w:rPr>
                <w:color w:val="auto"/>
                <w:sz w:val="24"/>
              </w:rPr>
              <w:t>，经计算，暴雨强度q值为</w:t>
            </w:r>
            <w:r>
              <w:rPr>
                <w:color w:val="auto"/>
                <w:sz w:val="24"/>
                <w:rFonts w:hint="eastAsia"/>
              </w:rPr>
              <w:t>217</w:t>
            </w:r>
            <w:r>
              <w:rPr>
                <w:color w:val="auto"/>
                <w:sz w:val="24"/>
              </w:rPr>
              <w:t>L/(s•hm</w:t>
            </w:r>
            <w:r>
              <w:rPr>
                <w:vertAlign w:val="superscript"/>
                <w:color w:val="auto"/>
                <w:sz w:val="24"/>
              </w:rPr>
              <w:t>2</w:t>
            </w:r>
            <w:r>
              <w:rPr>
                <w:color w:val="auto"/>
                <w:sz w:val="24"/>
              </w:rPr>
              <w:t>)，则初期雨水量为2</w:t>
            </w:r>
            <w:r>
              <w:rPr>
                <w:color w:val="auto"/>
                <w:sz w:val="24"/>
                <w:rFonts w:hint="eastAsia"/>
              </w:rPr>
              <w:t>17</w:t>
            </w:r>
            <w:r>
              <w:rPr>
                <w:color w:val="auto"/>
                <w:sz w:val="24"/>
              </w:rPr>
              <w:t>×0.3×</w:t>
            </w:r>
            <w:r>
              <w:rPr>
                <w:color w:val="auto"/>
                <w:sz w:val="24"/>
                <w:rFonts w:hint="eastAsia"/>
              </w:rPr>
              <w:t>0.5</w:t>
            </w:r>
            <w:r>
              <w:rPr>
                <w:color w:val="auto"/>
                <w:sz w:val="24"/>
              </w:rPr>
              <w:t>×15×60÷1000=</w:t>
            </w:r>
            <w:r>
              <w:rPr>
                <w:color w:val="auto"/>
                <w:sz w:val="24"/>
                <w:rFonts w:hint="eastAsia"/>
              </w:rPr>
              <w:t>29.3</w:t>
            </w:r>
            <w:r>
              <w:rPr>
                <w:color w:val="auto"/>
                <w:sz w:val="24"/>
              </w:rPr>
              <w:t>m</w:t>
            </w:r>
            <w:r>
              <w:rPr>
                <w:vertAlign w:val="superscript"/>
                <w:color w:val="auto"/>
                <w:sz w:val="24"/>
              </w:rPr>
              <w:t>3</w:t>
            </w:r>
            <w:r>
              <w:rPr>
                <w:color w:val="auto"/>
                <w:sz w:val="24"/>
              </w:rPr>
              <w:t>/次。初期雨水经厂区四周排水沟汇入</w:t>
            </w:r>
            <w:r>
              <w:rPr>
                <w:color w:val="auto"/>
                <w:sz w:val="24"/>
                <w:rFonts w:hint="eastAsia"/>
              </w:rPr>
              <w:t>厂区</w:t>
            </w:r>
            <w:r>
              <w:rPr>
                <w:color w:val="auto"/>
                <w:sz w:val="24"/>
              </w:rPr>
              <w:t>初期雨水池隔油沉淀后，用于</w:t>
            </w:r>
            <w:r>
              <w:rPr>
                <w:color w:val="auto"/>
                <w:sz w:val="24"/>
                <w:rFonts w:hint="eastAsia"/>
              </w:rPr>
              <w:t>洒水降尘</w:t>
            </w:r>
            <w:r>
              <w:rPr>
                <w:color w:val="auto"/>
                <w:sz w:val="24"/>
              </w:rPr>
              <w:t>，不外排。本项目每年</w:t>
            </w:r>
            <w:r>
              <w:rPr>
                <w:color w:val="auto"/>
                <w:sz w:val="24"/>
                <w:rFonts w:hint="eastAsia"/>
              </w:rPr>
              <w:t>5月到10月降雨，平均每月收集2次初期雨水，初期雨水量为351.6</w:t>
            </w:r>
            <w:r>
              <w:rPr>
                <w:color w:val="auto"/>
                <w:sz w:val="24"/>
              </w:rPr>
              <w:t>m</w:t>
            </w:r>
            <w:r>
              <w:rPr>
                <w:vertAlign w:val="superscript"/>
                <w:color w:val="auto"/>
                <w:sz w:val="24"/>
              </w:rPr>
              <w:t>3</w:t>
            </w:r>
            <w:r>
              <w:rPr>
                <w:color w:val="auto"/>
                <w:sz w:val="24"/>
              </w:rPr>
              <w:t>/</w:t>
            </w:r>
            <w:r>
              <w:rPr>
                <w:color w:val="auto"/>
                <w:sz w:val="24"/>
                <w:rFonts w:hint="eastAsia"/>
              </w:rPr>
              <w:t>a</w:t>
            </w:r>
            <w:r>
              <w:rPr>
                <w:color w:val="auto"/>
                <w:sz w:val="24"/>
              </w:rPr>
              <w:t>。</w:t>
            </w:r>
          </w:p>
          <w:p w14:paraId="51B62D00">
            <w:pPr>
              <w:jc w:val="center"/>
              <w:contextualSpacing/>
              <w:spacing w:line="360" w:lineRule="auto"/>
              <w:rPr>
                <w:b w:val="1"/>
                <w:color w:val="auto"/>
                <w:sz w:val="24"/>
                <w:rFonts w:eastAsiaTheme="minorEastAsia"/>
              </w:rPr>
            </w:pPr>
            <w:r>
              <w:rPr>
                <w:color w:val="auto"/>
                <w:sz w:val="24"/>
                <w:rFonts w:eastAsiaTheme="minorEastAsia"/>
              </w:rPr>
              <w:drawing>
                <wp:inline distT="0" distB="0" distL="0" distR="0">
                  <wp:extent cx="5289550" cy="1717040"/>
                  <wp:docPr id="2" name="docshapegroup"/>
                  <a:graphic xmlns:a="http://schemas.openxmlformats.org/drawingml/2006/main">
                    <a:graphicData uri="http://schemas.microsoft.com/office/word/2010/wordprocessingGroup">
                      <wpg:wgp>
                        <wpg:cNvGrpSpPr/>
                        <wpg:grpSpPr>
                          <a:xfrm>
                            <a:off x="0" y="0"/>
                            <a:ext cx="5289550" cy="1717040"/>
                            <a:chOff x="17211676" y="27832050"/>
                            <a:chExt cx="79343248" cy="25755600"/>
                          </a:xfrm>
                        </wpg:grpSpPr>
                        <wps:wsp>
                          <wps:cNvSpPr/>
                          <wps:spPr>
                            <a:xfrm>
                              <a:off x="17211676" y="27832050"/>
                              <a:ext cx="79343248" cy="25755600"/>
                            </a:xfrm>
                            <a:prstGeom prst="rect">
                              <a:avLst/>
                            </a:prstGeom>
                            <a:solidFill>
                              <a:srgbClr val="FFFFFF"/>
                            </a:solidFill>
                          </wps:spPr>
                          <wps:bodyPr rot="0" vert="horz" wrap="square" lIns="91440" tIns="45720" rIns="91440" bIns="45720" anchor="t" anchorCtr="0"/>
                        </wps:wsp>
                        <wps:wsp>
                          <wps:cNvSpPr/>
                          <wps:spPr>
                            <a:xfrm>
                              <a:off x="20078700" y="39557324"/>
                              <a:ext cx="10191750" cy="4448175"/>
                            </a:xfrm>
                            <a:prstGeom prst="rect">
                              <a:avLst/>
                            </a:prstGeom>
                            <a:solidFill>
                              <a:srgbClr val="FFFFFF"/>
                            </a:solidFill>
                            <a:ln w="12700">
                              <a:solidFill>
                                <a:srgbClr val="000000"/>
                              </a:solidFill>
                            </a:ln>
                          </wps:spPr>
                          <wps:txbx>
                            <w:txbxContent>
                              <w:p w14:paraId="73A46149">
                                <w:pPr>
                                  <w:jc w:val="center"/>
                                </w:pPr>
                                <w:r>
                                  <w:t>新鲜水</w:t>
                                </w:r>
                              </w:p>
                            </w:txbxContent>
                          </wps:txbx>
                          <wps:bodyPr rot="0" vert="horz" wrap="square" lIns="91440" tIns="45720" rIns="91440" bIns="45720" anchor="t" anchorCtr="0"/>
                        </wps:wsp>
                        <wps:wsp>
                          <wps:cNvSpPr/>
                          <wps:spPr>
                            <a:xfrm>
                              <a:off x="30270450" y="41881424"/>
                              <a:ext cx="5848350" cy="19050"/>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flipV="1">
                              <a:off x="36214048" y="41071800"/>
                              <a:ext cx="371475" cy="6515100"/>
                            </a:xfrm>
                            <a:prstGeom prst="straightConnector1">
                              <a:avLst/>
                            </a:prstGeom>
                            <a:ln w="12700">
                              <a:solidFill>
                                <a:srgbClr val="000000"/>
                              </a:solidFill>
                            </a:ln>
                          </wps:spPr>
                          <wps:bodyPr rot="0" vert="horz" wrap="square" lIns="91440" tIns="45720" rIns="91440" bIns="45720" anchor="t" anchorCtr="0"/>
                        </wps:wsp>
                        <wps:wsp>
                          <wps:cNvSpPr/>
                          <wps:spPr>
                            <a:xfrm>
                              <a:off x="36442648" y="47482124"/>
                              <a:ext cx="5848350" cy="285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46748700" y="33708976"/>
                              <a:ext cx="13287375" cy="4448175"/>
                            </a:xfrm>
                            <a:prstGeom prst="rect">
                              <a:avLst/>
                            </a:prstGeom>
                            <a:solidFill>
                              <a:srgbClr val="FFFFFF"/>
                            </a:solidFill>
                            <a:ln w="12700">
                              <a:solidFill>
                                <a:srgbClr val="000000"/>
                              </a:solidFill>
                            </a:ln>
                          </wps:spPr>
                          <wps:txbx>
                            <w:txbxContent>
                              <w:p w14:paraId="27480BBC">
                                <w:pPr>
                                  <w:jc w:val="center"/>
                                </w:pPr>
                                <w:r>
                                  <w:rPr>
                                    <w:rFonts w:hint="eastAsia"/>
                                  </w:rPr>
                                  <w:t>喷淋用水</w:t>
                                </w:r>
                              </w:p>
                            </w:txbxContent>
                          </wps:txbx>
                          <wps:bodyPr rot="0" vert="horz" wrap="square" lIns="91440" tIns="45720" rIns="91440" bIns="45720" anchor="t" anchorCtr="0"/>
                        </wps:wsp>
                        <wps:wsp>
                          <wps:cNvSpPr/>
                          <wps:spPr>
                            <a:xfrm>
                              <a:off x="42452924" y="45367576"/>
                              <a:ext cx="13287375" cy="4438650"/>
                            </a:xfrm>
                            <a:prstGeom prst="rect">
                              <a:avLst/>
                            </a:prstGeom>
                            <a:solidFill>
                              <a:srgbClr val="FFFFFF"/>
                            </a:solidFill>
                            <a:ln w="12700">
                              <a:solidFill>
                                <a:srgbClr val="000000"/>
                              </a:solidFill>
                            </a:ln>
                          </wps:spPr>
                          <wps:txbx>
                            <w:txbxContent>
                              <w:p w14:paraId="0BBE439B">
                                <w:pPr>
                                  <w:jc w:val="center"/>
                                </w:pPr>
                                <w:r>
                                  <w:rPr>
                                    <w:rFonts w:hint="eastAsia"/>
                                  </w:rPr>
                                  <w:t>生活用水</w:t>
                                </w:r>
                              </w:p>
                            </w:txbxContent>
                          </wps:txbx>
                          <wps:bodyPr rot="0" vert="horz" wrap="square" lIns="91440" tIns="45720" rIns="91440" bIns="45720" anchor="t" anchorCtr="0"/>
                        </wps:wsp>
                        <wps:wsp>
                          <wps:cNvSpPr/>
                          <wps:spPr>
                            <a:xfrm rot="16200000">
                              <a:off x="54321076" y="29975176"/>
                              <a:ext cx="3038475" cy="4438650"/>
                            </a:xfrm>
                            <a:prstGeom prst="curvedConnector2">
                              <a:avLst/>
                            </a:prstGeom>
                            <a:ln w="12700">
                              <a:solidFill>
                                <a:srgbClr val="000000"/>
                              </a:solidFill>
                              <a:prstDash val="dash"/>
                              <a:tailEnd type="triangle" len="med" w="med"/>
                            </a:ln>
                          </wps:spPr>
                          <wps:bodyPr rot="16200000" vert="horz" wrap="square" lIns="91440" tIns="45720" rIns="91440" bIns="45720" anchor="t" anchorCtr="0"/>
                        </wps:wsp>
                        <wps:wsp>
                          <wps:cNvSpPr/>
                          <wps:spPr>
                            <a:xfrm>
                              <a:off x="56864248" y="28870276"/>
                              <a:ext cx="12268200" cy="4419600"/>
                            </a:xfrm>
                            <a:prstGeom prst="rect">
                              <a:avLst/>
                            </a:prstGeom>
                          </wps:spPr>
                          <wps:txbx>
                            <w:txbxContent>
                              <w:p w14:paraId="35CCBBE2">
                                <w:pPr>
                                  <w:jc w:val="center"/>
                                  <w:rPr>
                                    <w:lang w:val="en-US" w:eastAsia="zh-CN"/>
                                    <w:rFonts w:eastAsia="宋体" w:hint="default"/>
                                  </w:rPr>
                                </w:pPr>
                                <w:r>
                                  <w:rPr>
                                    <w:rFonts w:hint="eastAsia"/>
                                  </w:rPr>
                                  <w:t>损失：</w:t>
                                </w:r>
                                <w:r>
                                  <w:rPr>
                                    <w:lang w:val="en-US" w:eastAsia="zh-CN"/>
                                    <w:rFonts w:hint="eastAsia"/>
                                  </w:rPr>
                                  <w:t>1.46</w:t>
                                </w:r>
                              </w:p>
                            </w:txbxContent>
                          </wps:txbx>
                          <wps:bodyPr rot="0" vert="horz" wrap="square" lIns="91440" tIns="45720" rIns="91440" bIns="45720" anchor="t" anchorCtr="0"/>
                        </wps:wsp>
                        <wps:wsp>
                          <wps:cNvSpPr/>
                          <wps:spPr>
                            <a:xfrm>
                              <a:off x="55854600" y="47482124"/>
                              <a:ext cx="8334375" cy="1047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rot="16200000">
                              <a:off x="49682400" y="41471848"/>
                              <a:ext cx="3038475" cy="4438650"/>
                            </a:xfrm>
                            <a:prstGeom prst="curvedConnector2">
                              <a:avLst/>
                            </a:prstGeom>
                            <a:ln w="12700">
                              <a:solidFill>
                                <a:srgbClr val="000000"/>
                              </a:solidFill>
                              <a:prstDash val="dash"/>
                              <a:tailEnd type="triangle" len="med" w="med"/>
                            </a:ln>
                          </wps:spPr>
                          <wps:bodyPr rot="16200000" vert="horz" wrap="square" lIns="91440" tIns="45720" rIns="91440" bIns="45720" anchor="t" anchorCtr="0"/>
                        </wps:wsp>
                        <wps:wsp>
                          <wps:cNvSpPr/>
                          <wps:spPr>
                            <a:xfrm>
                              <a:off x="52101752" y="40452676"/>
                              <a:ext cx="12268200" cy="3752850"/>
                            </a:xfrm>
                            <a:prstGeom prst="rect">
                              <a:avLst/>
                            </a:prstGeom>
                          </wps:spPr>
                          <wps:txbx>
                            <w:txbxContent>
                              <w:p w14:paraId="4A8AEB1D">
                                <w:pPr>
                                  <w:jc w:val="center"/>
                                  <w:rPr>
                                    <w:lang w:val="en-US" w:eastAsia="zh-CN"/>
                                    <w:rFonts w:eastAsia="宋体" w:hint="default"/>
                                  </w:rPr>
                                </w:pPr>
                                <w:r>
                                  <w:rPr>
                                    <w:rFonts w:hint="eastAsia"/>
                                  </w:rPr>
                                  <w:t>损失：0.</w:t>
                                </w:r>
                                <w:r>
                                  <w:rPr>
                                    <w:lang w:val="en-US" w:eastAsia="zh-CN"/>
                                    <w:rFonts w:hint="eastAsia"/>
                                  </w:rPr>
                                  <w:t>096</w:t>
                                </w:r>
                              </w:p>
                            </w:txbxContent>
                          </wps:txbx>
                          <wps:bodyPr rot="0" vert="horz" wrap="square" lIns="91440" tIns="45720" rIns="91440" bIns="45720" anchor="t" anchorCtr="0"/>
                        </wps:wsp>
                        <wps:wsp>
                          <wps:cNvSpPr/>
                          <wps:spPr>
                            <a:xfrm>
                              <a:off x="64027048" y="43748324"/>
                              <a:ext cx="29565600" cy="7553325"/>
                            </a:xfrm>
                            <a:prstGeom prst="rect">
                              <a:avLst/>
                            </a:prstGeom>
                            <a:solidFill>
                              <a:srgbClr val="FFFFFF"/>
                            </a:solidFill>
                            <a:ln w="12700">
                              <a:solidFill>
                                <a:srgbClr val="000000"/>
                              </a:solidFill>
                            </a:ln>
                          </wps:spPr>
                          <wps:txbx>
                            <w:txbxContent>
                              <w:p w14:paraId="78442DEE">
                                <w:pPr>
                                  <w:rPr>
                                    <w:color w:val="000000" w:themeColor="text1"/>
                                    <w:szCs w:val="21"/>
                                  </w:rPr>
                                </w:pPr>
                                <w:r>
                                  <w:rPr>
                                    <w:color w:val="000000" w:themeColor="text1"/>
                                    <w:szCs w:val="21"/>
                                    <w:rFonts w:hint="eastAsia"/>
                                  </w:rPr>
                                  <w:t>生活污水</w:t>
                                </w:r>
                                <w:r>
                                  <w:rPr>
                                    <w:color w:val="000000" w:themeColor="text1"/>
                                    <w:szCs w:val="21"/>
                                    <w:rFonts w:hAnsiTheme="minorEastAsia" w:eastAsiaTheme="minorEastAsia"/>
                                  </w:rPr>
                                  <w:t>排入防渗</w:t>
                                </w:r>
                                <w:r>
                                  <w:rPr>
                                    <w:color w:val="000000" w:themeColor="text1"/>
                                    <w:szCs w:val="21"/>
                                    <w:rFonts w:hint="eastAsia" w:hAnsiTheme="minorEastAsia" w:eastAsiaTheme="minorEastAsia"/>
                                  </w:rPr>
                                  <w:t>旱厕</w:t>
                                </w:r>
                                <w:r>
                                  <w:rPr>
                                    <w:color w:val="000000" w:themeColor="text1"/>
                                    <w:szCs w:val="21"/>
                                    <w:rFonts w:hAnsiTheme="minorEastAsia" w:eastAsiaTheme="minorEastAsia"/>
                                  </w:rPr>
                                  <w:t>，</w:t>
                                </w:r>
                                <w:r>
                                  <w:rPr>
                                    <w:color w:val="000000" w:themeColor="text1"/>
                                    <w:szCs w:val="21"/>
                                    <w:rFonts w:hint="eastAsia" w:hAnsiTheme="minorEastAsia" w:eastAsiaTheme="minorEastAsia"/>
                                  </w:rPr>
                                  <w:t>定期清掏，</w:t>
                                </w:r>
                                <w:r>
                                  <w:rPr>
                                    <w:color w:val="000000" w:themeColor="text1"/>
                                    <w:szCs w:val="21"/>
                                    <w:rFonts w:hAnsiTheme="minorEastAsia" w:eastAsiaTheme="minorEastAsia"/>
                                  </w:rPr>
                                  <w:t>外运堆肥，不外排</w:t>
                                </w:r>
                              </w:p>
                            </w:txbxContent>
                          </wps:txbx>
                          <wps:bodyPr rot="0" vert="horz" wrap="square" lIns="91440" tIns="45720" rIns="91440" bIns="45720" anchor="t" anchorCtr="0"/>
                        </wps:wsp>
                        <wps:wsp>
                          <wps:cNvSpPr/>
                          <wps:spPr>
                            <a:xfrm>
                              <a:off x="32575500" y="43834048"/>
                              <a:ext cx="12268200" cy="4419600"/>
                            </a:xfrm>
                            <a:prstGeom prst="rect">
                              <a:avLst/>
                            </a:prstGeom>
                          </wps:spPr>
                          <wps:txbx>
                            <w:txbxContent>
                              <w:p w14:paraId="175947BC">
                                <w:pPr>
                                  <w:jc w:val="center"/>
                                  <w:rPr>
                                    <w:lang w:val="en-US" w:eastAsia="zh-CN"/>
                                    <w:rFonts w:eastAsia="宋体" w:hint="default"/>
                                  </w:rPr>
                                </w:pPr>
                                <w:r>
                                  <w:rPr>
                                    <w:lang w:val="en-US" w:eastAsia="zh-CN"/>
                                    <w:rFonts w:hint="eastAsia"/>
                                  </w:rPr>
                                  <w:t>0.48</w:t>
                                </w:r>
                              </w:p>
                            </w:txbxContent>
                          </wps:txbx>
                          <wps:bodyPr rot="0" vert="horz" wrap="square" lIns="91440" tIns="45720" rIns="91440" bIns="45720" anchor="t" anchorCtr="0"/>
                        </wps:wsp>
                        <wps:wsp>
                          <wps:cNvSpPr/>
                          <wps:spPr>
                            <a:xfrm>
                              <a:off x="53625752" y="44405552"/>
                              <a:ext cx="12268200" cy="4419600"/>
                            </a:xfrm>
                            <a:prstGeom prst="rect">
                              <a:avLst/>
                            </a:prstGeom>
                          </wps:spPr>
                          <wps:txbx>
                            <w:txbxContent>
                              <w:p w14:paraId="126A6D1D">
                                <w:pPr>
                                  <w:jc w:val="center"/>
                                  <w:rPr>
                                    <w:lang w:val="en-US" w:eastAsia="zh-CN"/>
                                    <w:rFonts w:eastAsia="宋体" w:hint="default"/>
                                  </w:rPr>
                                </w:pPr>
                                <w:r>
                                  <w:rPr>
                                    <w:rFonts w:hint="eastAsia"/>
                                  </w:rPr>
                                  <w:t>0.</w:t>
                                </w:r>
                                <w:r>
                                  <w:rPr>
                                    <w:lang w:val="en-US" w:eastAsia="zh-CN"/>
                                    <w:rFonts w:hint="eastAsia"/>
                                  </w:rPr>
                                  <w:t>384</w:t>
                                </w:r>
                              </w:p>
                            </w:txbxContent>
                          </wps:txbx>
                          <wps:bodyPr rot="0" vert="horz" wrap="square" lIns="91440" tIns="45720" rIns="91440" bIns="45720" anchor="t" anchorCtr="0"/>
                        </wps:wsp>
                        <wps:wsp>
                          <wps:cNvSpPr/>
                          <wps:spPr>
                            <a:xfrm>
                              <a:off x="29184600" y="38862000"/>
                              <a:ext cx="7400925" cy="4410075"/>
                            </a:xfrm>
                            <a:prstGeom prst="rect">
                              <a:avLst/>
                            </a:prstGeom>
                          </wps:spPr>
                          <wps:txbx>
                            <w:txbxContent>
                              <w:p w14:paraId="78CD64E7">
                                <w:pPr>
                                  <w:jc w:val="center"/>
                                  <w:rPr>
                                    <w:lang w:val="en-US" w:eastAsia="zh-CN"/>
                                    <w:rFonts w:eastAsia="宋体" w:hint="default"/>
                                  </w:rPr>
                                </w:pPr>
                                <w:r>
                                  <w:rPr>
                                    <w:lang w:val="en-US" w:eastAsia="zh-CN"/>
                                    <w:rFonts w:hint="eastAsia"/>
                                  </w:rPr>
                                  <w:t>0.48</w:t>
                                </w:r>
                              </w:p>
                            </w:txbxContent>
                          </wps:txbx>
                          <wps:bodyPr rot="0" vert="horz" wrap="square" lIns="91440" tIns="45720" rIns="91440" bIns="45720" anchor="t" anchorCtr="0"/>
                        </wps:wsp>
                        <wps:wsp>
                          <wps:cNvSpPr/>
                          <wps:spPr>
                            <a:xfrm>
                              <a:off x="18945224" y="32127824"/>
                              <a:ext cx="11144250" cy="4448175"/>
                            </a:xfrm>
                            <a:prstGeom prst="rect">
                              <a:avLst/>
                            </a:prstGeom>
                            <a:solidFill>
                              <a:srgbClr val="FFFFFF"/>
                            </a:solidFill>
                            <a:ln w="12700">
                              <a:solidFill>
                                <a:srgbClr val="000000"/>
                              </a:solidFill>
                            </a:ln>
                          </wps:spPr>
                          <wps:txbx>
                            <w:txbxContent>
                              <w:p w14:paraId="688522DF">
                                <w:pPr>
                                  <w:jc w:val="center"/>
                                </w:pPr>
                                <w:r>
                                  <w:rPr>
                                    <w:rFonts w:hint="eastAsia"/>
                                  </w:rPr>
                                  <w:t>初期</w:t>
                                </w:r>
                                <w:r>
                                  <w:t>雨水</w:t>
                                </w:r>
                              </w:p>
                            </w:txbxContent>
                          </wps:txbx>
                          <wps:bodyPr rot="0" vert="horz" wrap="square" lIns="91440" tIns="45720" rIns="91440" bIns="45720" anchor="t" anchorCtr="0"/>
                        </wps:wsp>
                        <wps:wsp>
                          <wps:cNvSpPr/>
                          <wps:spPr>
                            <a:xfrm>
                              <a:off x="29994224" y="34290000"/>
                              <a:ext cx="16830676" cy="952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34699576" y="30851476"/>
                              <a:ext cx="6248400" cy="4419600"/>
                            </a:xfrm>
                            <a:prstGeom prst="rect">
                              <a:avLst/>
                            </a:prstGeom>
                          </wps:spPr>
                          <wps:txbx>
                            <w:txbxContent>
                              <w:p w14:paraId="45069105">
                                <w:pPr>
                                  <w:jc w:val="center"/>
                                  <w:rPr>
                                    <w:lang w:val="en-US" w:eastAsia="zh-CN"/>
                                    <w:rFonts w:eastAsia="宋体" w:hint="default"/>
                                  </w:rPr>
                                </w:pPr>
                                <w:r>
                                  <w:rPr>
                                    <w:rFonts w:hint="eastAsia"/>
                                  </w:rPr>
                                  <w:t>1.</w:t>
                                </w:r>
                                <w:r>
                                  <w:rPr>
                                    <w:lang w:val="en-US" w:eastAsia="zh-CN"/>
                                    <w:rFonts w:hint="eastAsia"/>
                                  </w:rPr>
                                  <w:t>46</w:t>
                                </w:r>
                              </w:p>
                            </w:txbxContent>
                          </wps:txbx>
                          <wps:bodyPr rot="0" vert="horz" wrap="square" lIns="91440" tIns="45720" rIns="91440" bIns="45720" anchor="t" anchorCtr="0"/>
                        </wps:wsp>
                      </wpg:wgp>
                    </a:graphicData>
                  </a:graphic>
                </wp:inline>
              </w:drawing>
            </w:r>
          </w:p>
          <w:p w14:paraId="437FFD8A">
            <w:pPr>
              <w:jc w:val="center"/>
              <w:contextualSpacing/>
              <w:spacing w:line="360" w:lineRule="auto"/>
              <w:rPr>
                <w:b w:val="1"/>
                <w:color w:val="auto"/>
                <w:sz w:val="24"/>
                <w:rFonts w:eastAsiaTheme="minorEastAsia"/>
              </w:rPr>
            </w:pPr>
            <w:r>
              <w:rPr>
                <w:b w:val="1"/>
                <w:color w:val="auto"/>
                <w:sz w:val="24"/>
                <w:rFonts w:hAnsiTheme="minorEastAsia" w:eastAsiaTheme="minorEastAsia"/>
              </w:rPr>
              <w:t>图</w:t>
            </w:r>
            <w:r>
              <w:rPr>
                <w:b w:val="1"/>
                <w:color w:val="auto"/>
                <w:sz w:val="24"/>
                <w:rFonts w:eastAsiaTheme="minorEastAsia"/>
              </w:rPr>
              <w:t>2-</w:t>
            </w:r>
            <w:r>
              <w:rPr>
                <w:b w:val="1"/>
                <w:color w:val="auto"/>
                <w:sz w:val="24"/>
                <w:lang w:val="en-US" w:eastAsia="zh-CN"/>
                <w:rFonts w:hint="eastAsia" w:eastAsiaTheme="minorEastAsia"/>
              </w:rPr>
              <w:t>1</w:t>
            </w:r>
            <w:r>
              <w:rPr>
                <w:b w:val="1"/>
                <w:color w:val="auto"/>
                <w:sz w:val="24"/>
                <w:rFonts w:hAnsiTheme="minorEastAsia" w:eastAsiaTheme="minorEastAsia"/>
              </w:rPr>
              <w:t>项目水量平衡图</w:t>
            </w:r>
            <w:r>
              <w:rPr>
                <w:b w:val="1"/>
                <w:color w:val="auto"/>
                <w:sz w:val="24"/>
                <w:rFonts w:eastAsiaTheme="minorEastAsia"/>
              </w:rPr>
              <w:t xml:space="preserve">  </w:t>
            </w:r>
            <w:r>
              <w:rPr>
                <w:b w:val="1"/>
                <w:color w:val="auto"/>
                <w:sz w:val="24"/>
                <w:rFonts w:hAnsiTheme="minorEastAsia" w:eastAsiaTheme="minorEastAsia"/>
              </w:rPr>
              <w:t>单位：</w:t>
            </w:r>
            <w:r>
              <w:rPr>
                <w:b w:val="1"/>
                <w:color w:val="auto"/>
                <w:sz w:val="24"/>
                <w:rFonts w:eastAsiaTheme="minorEastAsia"/>
              </w:rPr>
              <w:t>t/d</w:t>
            </w:r>
          </w:p>
          <w:p w14:paraId="668D3139">
            <w:pPr>
              <w:jc w:val="left"/>
              <w:contextualSpacing/>
              <w:spacing w:line="360" w:lineRule="auto"/>
              <w:ind w:firstLine="480" w:firstLineChars="200"/>
              <w:rPr>
                <w:color w:val="auto"/>
                <w:sz w:val="24"/>
                <w:kern w:val="0"/>
              </w:rPr>
            </w:pPr>
            <w:r>
              <w:rPr>
                <w:color w:val="auto"/>
                <w:sz w:val="24"/>
                <w:bCs/>
                <w:kern w:val="0"/>
              </w:rPr>
              <w:t>（3）供热：本项目</w:t>
            </w:r>
            <w:r>
              <w:rPr>
                <w:color w:val="auto"/>
                <w:sz w:val="24"/>
                <w:bCs/>
                <w:kern w:val="0"/>
                <w:rFonts w:hint="eastAsia"/>
              </w:rPr>
              <w:t>冬季采用电取暖，</w:t>
            </w:r>
            <w:r>
              <w:rPr>
                <w:color w:val="auto"/>
                <w:sz w:val="24"/>
                <w:bCs/>
                <w:kern w:val="0"/>
              </w:rPr>
              <w:t>1台</w:t>
            </w:r>
            <w:r>
              <w:rPr>
                <w:color w:val="auto"/>
                <w:sz w:val="24"/>
                <w:bCs/>
                <w:kern w:val="0"/>
                <w:rFonts w:hint="eastAsia"/>
              </w:rPr>
              <w:t>28MW</w:t>
            </w:r>
            <w:r>
              <w:rPr>
                <w:color w:val="auto"/>
                <w:sz w:val="24"/>
                <w:bCs/>
                <w:kern w:val="0"/>
              </w:rPr>
              <w:t>燃</w:t>
            </w:r>
            <w:r>
              <w:rPr>
                <w:color w:val="auto"/>
                <w:sz w:val="24"/>
                <w:bCs/>
                <w:kern w:val="0"/>
                <w:rFonts w:hint="eastAsia"/>
              </w:rPr>
              <w:t>天然气</w:t>
            </w:r>
            <w:r>
              <w:rPr>
                <w:color w:val="auto"/>
                <w:sz w:val="24"/>
                <w:bCs/>
                <w:kern w:val="0"/>
              </w:rPr>
              <w:t>燃烧器</w:t>
            </w:r>
            <w:r>
              <w:rPr>
                <w:color w:val="auto"/>
                <w:sz w:val="24"/>
                <w:bCs/>
                <w:kern w:val="0"/>
              </w:rPr>
              <w:t>提供</w:t>
            </w:r>
            <w:r>
              <w:rPr>
                <w:color w:val="auto"/>
                <w:sz w:val="24"/>
                <w:bCs/>
                <w:kern w:val="0"/>
                <w:rFonts w:hint="eastAsia"/>
              </w:rPr>
              <w:t>热量</w:t>
            </w:r>
            <w:r>
              <w:rPr>
                <w:color w:val="auto"/>
                <w:sz w:val="24"/>
                <w:bCs/>
                <w:kern w:val="0"/>
              </w:rPr>
              <w:t>用于加热碎石。沥青罐内的沥青通过1台</w:t>
            </w:r>
            <w:r>
              <w:rPr>
                <w:color w:val="auto"/>
                <w:sz w:val="24"/>
                <w:lang w:val="en-US" w:eastAsia="zh-CN"/>
                <w:bCs/>
                <w:kern w:val="0"/>
                <w:rFonts w:hint="eastAsia"/>
              </w:rPr>
              <w:t>1.5t/h燃气</w:t>
            </w:r>
            <w:r>
              <w:rPr>
                <w:color w:val="auto"/>
                <w:sz w:val="24"/>
                <w:bCs/>
                <w:kern w:val="0"/>
              </w:rPr>
              <w:t>导热油炉间接加热，使其维持在150℃</w:t>
            </w:r>
            <w:r>
              <w:rPr>
                <w:color w:val="auto"/>
                <w:sz w:val="24"/>
                <w:bCs/>
                <w:kern w:val="0"/>
                <w:rFonts w:hint="eastAsia"/>
              </w:rPr>
              <w:t>-160</w:t>
            </w:r>
            <w:r>
              <w:rPr>
                <w:color w:val="auto"/>
                <w:sz w:val="24"/>
                <w:bCs/>
                <w:kern w:val="0"/>
              </w:rPr>
              <w:t>℃。</w:t>
            </w:r>
          </w:p>
          <w:p w14:paraId="78E33C05">
            <w:pPr>
              <w:jc w:val="left"/>
              <w:contextualSpacing/>
              <w:spacing w:line="360" w:lineRule="auto"/>
              <w:ind w:firstLine="480" w:firstLineChars="200"/>
              <w:rPr>
                <w:color w:val="auto"/>
                <w:sz w:val="24"/>
                <w:kern w:val="0"/>
              </w:rPr>
            </w:pPr>
            <w:r>
              <w:rPr>
                <w:color w:val="auto"/>
                <w:sz w:val="24"/>
                <w:kern w:val="0"/>
              </w:rPr>
              <w:t>（4）供电：由当地供电系统提供。</w:t>
            </w:r>
          </w:p>
          <w:p w14:paraId="5A4AA1EC">
            <w:pPr>
              <w:jc w:val="left"/>
              <w:contextualSpacing/>
              <w:spacing w:line="360" w:lineRule="auto"/>
              <w:ind w:firstLine="482" w:firstLineChars="200"/>
              <w:rPr>
                <w:b w:val="1"/>
                <w:color w:val="auto"/>
                <w:sz w:val="24"/>
                <w:kern w:val="0"/>
              </w:rPr>
            </w:pPr>
            <w:r>
              <w:rPr>
                <w:b w:val="1"/>
                <w:color w:val="auto"/>
                <w:sz w:val="24"/>
                <w:kern w:val="0"/>
              </w:rPr>
              <w:t>5、劳动定员及工作制度</w:t>
            </w:r>
          </w:p>
          <w:p w14:paraId="1B88BD1D">
            <w:pPr>
              <w:jc w:val="left"/>
              <w:contextualSpacing/>
              <w:spacing w:line="360" w:lineRule="auto"/>
              <w:ind w:firstLine="480" w:firstLineChars="200"/>
              <w:rPr>
                <w:color w:val="auto"/>
                <w:sz w:val="24"/>
                <w:kern w:val="0"/>
              </w:rPr>
            </w:pPr>
            <w:r>
              <w:rPr>
                <w:color w:val="auto"/>
                <w:sz w:val="24"/>
              </w:rPr>
              <w:t>本项目员工人数为</w:t>
            </w:r>
            <w:r>
              <w:rPr>
                <w:color w:val="auto"/>
                <w:sz w:val="24"/>
                <w:lang w:val="en-US" w:eastAsia="zh-CN"/>
                <w:rFonts w:hint="eastAsia"/>
              </w:rPr>
              <w:t>6</w:t>
            </w:r>
            <w:r>
              <w:rPr>
                <w:color w:val="auto"/>
                <w:sz w:val="24"/>
              </w:rPr>
              <w:t>人，</w:t>
            </w:r>
            <w:r>
              <w:rPr>
                <w:color w:val="auto"/>
                <w:sz w:val="24"/>
                <w:lang w:val="en-US" w:eastAsia="zh-CN"/>
                <w:rFonts w:hint="eastAsia"/>
              </w:rPr>
              <w:t>4</w:t>
            </w:r>
            <w:r>
              <w:rPr>
                <w:color w:val="auto"/>
                <w:sz w:val="24"/>
              </w:rPr>
              <w:t>月到11月年工作2</w:t>
            </w:r>
            <w:r>
              <w:rPr>
                <w:color w:val="auto"/>
                <w:sz w:val="24"/>
                <w:lang w:val="en-US" w:eastAsia="zh-CN"/>
                <w:rFonts w:hint="eastAsia"/>
              </w:rPr>
              <w:t>4</w:t>
            </w:r>
            <w:r>
              <w:rPr>
                <w:color w:val="auto"/>
                <w:sz w:val="24"/>
              </w:rPr>
              <w:t>0天，</w:t>
            </w:r>
            <w:r>
              <w:rPr>
                <w:color w:val="auto"/>
                <w:sz w:val="24"/>
                <w:rFonts w:hint="eastAsia"/>
              </w:rPr>
              <w:t>1</w:t>
            </w:r>
            <w:r>
              <w:rPr>
                <w:color w:val="auto"/>
                <w:sz w:val="24"/>
                <w:rFonts w:ascii="宋体" w:hAnsi="宋体" w:hint="eastAsia"/>
              </w:rPr>
              <w:t>班制，每班</w:t>
            </w:r>
            <w:r>
              <w:rPr>
                <w:color w:val="auto"/>
                <w:sz w:val="24"/>
                <w:rFonts w:hint="eastAsia"/>
              </w:rPr>
              <w:t>10</w:t>
            </w:r>
            <w:r>
              <w:rPr>
                <w:color w:val="auto"/>
                <w:sz w:val="24"/>
                <w:rFonts w:ascii="宋体" w:hAnsi="宋体" w:hint="eastAsia"/>
              </w:rPr>
              <w:t>小时</w:t>
            </w:r>
            <w:r>
              <w:rPr>
                <w:color w:val="auto"/>
                <w:sz w:val="24"/>
              </w:rPr>
              <w:t>。</w:t>
            </w:r>
          </w:p>
          <w:p w14:paraId="43503C18">
            <w:pPr>
              <w:jc w:val="left"/>
              <w:contextualSpacing/>
              <w:spacing w:line="360" w:lineRule="auto"/>
              <w:ind w:firstLine="482" w:firstLineChars="200"/>
              <w:rPr>
                <w:b w:val="1"/>
                <w:color w:val="auto"/>
                <w:sz w:val="24"/>
                <w:kern w:val="0"/>
              </w:rPr>
            </w:pPr>
            <w:r>
              <w:rPr>
                <w:b w:val="1"/>
                <w:color w:val="auto"/>
                <w:sz w:val="24"/>
                <w:kern w:val="0"/>
              </w:rPr>
              <w:t>6、厂区平面布置</w:t>
            </w:r>
          </w:p>
          <w:p w14:paraId="2B5B9F18">
            <w:pPr>
              <w:jc w:val="left"/>
              <w:contextualSpacing/>
              <w:spacing w:line="360" w:lineRule="auto"/>
              <w:ind w:firstLine="480" w:firstLineChars="200"/>
              <w:rPr>
                <w:color w:val="auto"/>
                <w:sz w:val="24"/>
                <w:kern w:val="0"/>
              </w:rPr>
            </w:pPr>
            <w:r>
              <w:rPr>
                <w:color w:val="auto"/>
                <w:sz w:val="24"/>
                <w:kern w:val="0"/>
              </w:rPr>
              <w:t>本项目</w:t>
            </w:r>
            <w:r>
              <w:rPr>
                <w:color w:val="auto"/>
                <w:sz w:val="24"/>
                <w:kern w:val="0"/>
                <w:rFonts w:hint="eastAsia"/>
              </w:rPr>
              <w:t>碎石堆场位于厂区</w:t>
            </w:r>
            <w:r>
              <w:rPr>
                <w:color w:val="auto"/>
                <w:sz w:val="24"/>
                <w:lang w:val="en-US" w:eastAsia="zh-CN"/>
                <w:kern w:val="0"/>
                <w:rFonts w:hint="eastAsia"/>
              </w:rPr>
              <w:t>北</w:t>
            </w:r>
            <w:r>
              <w:rPr>
                <w:color w:val="auto"/>
                <w:sz w:val="24"/>
                <w:kern w:val="0"/>
                <w:rFonts w:hint="eastAsia"/>
              </w:rPr>
              <w:t>侧，</w:t>
            </w:r>
            <w:r>
              <w:rPr>
                <w:color w:val="auto"/>
                <w:sz w:val="24"/>
                <w:kern w:val="0"/>
              </w:rPr>
              <w:t>搅拌站位于</w:t>
            </w:r>
            <w:r>
              <w:rPr>
                <w:color w:val="auto"/>
                <w:sz w:val="24"/>
                <w:kern w:val="0"/>
                <w:rFonts w:hint="eastAsia"/>
              </w:rPr>
              <w:t>厂区中部，沥青罐位于</w:t>
            </w:r>
            <w:r>
              <w:rPr>
                <w:color w:val="auto"/>
                <w:sz w:val="24"/>
                <w:kern w:val="0"/>
              </w:rPr>
              <w:t>搅拌站</w:t>
            </w:r>
            <w:r>
              <w:rPr>
                <w:color w:val="auto"/>
                <w:sz w:val="24"/>
                <w:lang w:val="en-US" w:eastAsia="zh-CN"/>
                <w:kern w:val="0"/>
                <w:rFonts w:hint="eastAsia"/>
              </w:rPr>
              <w:t>东</w:t>
            </w:r>
            <w:r>
              <w:rPr>
                <w:color w:val="auto"/>
                <w:sz w:val="24"/>
                <w:kern w:val="0"/>
              </w:rPr>
              <w:t>侧，</w:t>
            </w:r>
            <w:r>
              <w:rPr>
                <w:color w:val="auto"/>
                <w:sz w:val="24"/>
                <w:lang w:val="en-US" w:eastAsia="zh-CN"/>
                <w:kern w:val="0"/>
                <w:rFonts w:hint="eastAsia"/>
              </w:rPr>
              <w:t>上料仓</w:t>
            </w:r>
            <w:r>
              <w:rPr>
                <w:color w:val="auto"/>
                <w:sz w:val="24"/>
                <w:kern w:val="0"/>
                <w:rFonts w:hint="eastAsia"/>
              </w:rPr>
              <w:t>位于</w:t>
            </w:r>
            <w:r>
              <w:rPr>
                <w:color w:val="auto"/>
                <w:sz w:val="24"/>
                <w:kern w:val="0"/>
              </w:rPr>
              <w:t>搅拌站</w:t>
            </w:r>
            <w:r>
              <w:rPr>
                <w:color w:val="auto"/>
                <w:sz w:val="24"/>
                <w:lang w:val="en-US" w:eastAsia="zh-CN"/>
                <w:kern w:val="0"/>
                <w:rFonts w:hint="eastAsia"/>
              </w:rPr>
              <w:t>西</w:t>
            </w:r>
            <w:r>
              <w:rPr>
                <w:color w:val="auto"/>
                <w:sz w:val="24"/>
                <w:kern w:val="0"/>
              </w:rPr>
              <w:t>侧，距离</w:t>
            </w:r>
            <w:r>
              <w:rPr>
                <w:color w:val="auto"/>
                <w:sz w:val="24"/>
                <w:kern w:val="0"/>
                <w:rFonts w:hint="eastAsia"/>
              </w:rPr>
              <w:t>搅拌站</w:t>
            </w:r>
            <w:r>
              <w:rPr>
                <w:color w:val="auto"/>
                <w:sz w:val="24"/>
                <w:kern w:val="0"/>
              </w:rPr>
              <w:t>较近，便于运输</w:t>
            </w:r>
            <w:r>
              <w:rPr>
                <w:color w:val="auto"/>
                <w:sz w:val="24"/>
                <w:kern w:val="0"/>
                <w:rFonts w:hint="eastAsia"/>
              </w:rPr>
              <w:t>，</w:t>
            </w:r>
            <w:r>
              <w:rPr>
                <w:color w:val="auto"/>
                <w:sz w:val="24"/>
                <w:kern w:val="0"/>
              </w:rPr>
              <w:t>地秤位于厂区</w:t>
            </w:r>
            <w:r>
              <w:rPr>
                <w:color w:val="auto"/>
                <w:sz w:val="24"/>
                <w:lang w:val="en-US" w:eastAsia="zh-CN"/>
                <w:kern w:val="0"/>
                <w:rFonts w:hint="eastAsia"/>
              </w:rPr>
              <w:t>东南</w:t>
            </w:r>
            <w:r>
              <w:rPr>
                <w:color w:val="auto"/>
                <w:sz w:val="24"/>
                <w:kern w:val="0"/>
              </w:rPr>
              <w:t>侧，正对大门，</w:t>
            </w:r>
            <w:r>
              <w:rPr>
                <w:color w:val="auto"/>
                <w:sz w:val="24"/>
                <w:lang w:val="en-US" w:eastAsia="zh-CN"/>
                <w:kern w:val="0"/>
                <w:rFonts w:hint="eastAsia"/>
              </w:rPr>
              <w:t>办公</w:t>
            </w:r>
            <w:r>
              <w:rPr>
                <w:color w:val="auto"/>
                <w:sz w:val="24"/>
                <w:kern w:val="0"/>
              </w:rPr>
              <w:t>室位于</w:t>
            </w:r>
            <w:r>
              <w:rPr>
                <w:color w:val="auto"/>
                <w:sz w:val="24"/>
                <w:kern w:val="0"/>
                <w:rFonts w:hint="eastAsia"/>
              </w:rPr>
              <w:t>厂区西</w:t>
            </w:r>
            <w:r>
              <w:rPr>
                <w:color w:val="auto"/>
                <w:sz w:val="24"/>
                <w:lang w:val="en-US" w:eastAsia="zh-CN"/>
                <w:kern w:val="0"/>
                <w:rFonts w:hint="eastAsia"/>
              </w:rPr>
              <w:t>南</w:t>
            </w:r>
            <w:r>
              <w:rPr>
                <w:color w:val="auto"/>
                <w:sz w:val="24"/>
                <w:kern w:val="0"/>
              </w:rPr>
              <w:t>侧，</w:t>
            </w:r>
            <w:r>
              <w:rPr>
                <w:color w:val="auto"/>
                <w:sz w:val="24"/>
                <w:kern w:val="0"/>
                <w:rFonts w:hint="eastAsia"/>
              </w:rPr>
              <w:t>危废贮存</w:t>
            </w:r>
            <w:r>
              <w:rPr>
                <w:color w:val="auto"/>
                <w:sz w:val="24"/>
                <w:kern w:val="0"/>
              </w:rPr>
              <w:t>位于</w:t>
            </w:r>
            <w:r>
              <w:rPr>
                <w:color w:val="auto"/>
                <w:sz w:val="24"/>
                <w:kern w:val="0"/>
                <w:rFonts w:hint="eastAsia"/>
              </w:rPr>
              <w:t>厂区</w:t>
            </w:r>
            <w:r>
              <w:rPr>
                <w:color w:val="auto"/>
                <w:sz w:val="24"/>
                <w:lang w:val="en-US" w:eastAsia="zh-CN"/>
                <w:kern w:val="0"/>
                <w:rFonts w:hint="eastAsia"/>
              </w:rPr>
              <w:t>东</w:t>
            </w:r>
            <w:r>
              <w:rPr>
                <w:color w:val="auto"/>
                <w:sz w:val="24"/>
                <w:kern w:val="0"/>
              </w:rPr>
              <w:t>侧</w:t>
            </w:r>
            <w:r>
              <w:rPr>
                <w:color w:val="auto"/>
                <w:sz w:val="24"/>
                <w:kern w:val="0"/>
                <w:rFonts w:hint="eastAsia"/>
              </w:rPr>
              <w:t>，</w:t>
            </w:r>
            <w:r>
              <w:rPr>
                <w:color w:val="auto"/>
                <w:sz w:val="24"/>
                <w:kern w:val="0"/>
              </w:rPr>
              <w:t>位于常年主导风向的</w:t>
            </w:r>
            <w:r>
              <w:rPr>
                <w:color w:val="auto"/>
                <w:sz w:val="24"/>
                <w:lang w:val="en-US" w:eastAsia="zh-CN"/>
                <w:kern w:val="0"/>
                <w:rFonts w:hint="eastAsia"/>
              </w:rPr>
              <w:t>上</w:t>
            </w:r>
            <w:r>
              <w:rPr>
                <w:color w:val="auto"/>
                <w:sz w:val="24"/>
                <w:kern w:val="0"/>
              </w:rPr>
              <w:t>风向，总体布局合理</w:t>
            </w:r>
            <w:r>
              <w:rPr>
                <w:color w:val="auto"/>
                <w:sz w:val="24"/>
                <w:kern w:val="0"/>
              </w:rPr>
              <w:t>。厂区平面布置图见附图</w:t>
            </w:r>
            <w:r>
              <w:rPr>
                <w:color w:val="auto"/>
                <w:sz w:val="24"/>
                <w:kern w:val="0"/>
                <w:rFonts w:hint="eastAsia"/>
              </w:rPr>
              <w:t>2</w:t>
            </w:r>
            <w:r>
              <w:rPr>
                <w:color w:val="auto"/>
                <w:sz w:val="24"/>
                <w:kern w:val="0"/>
              </w:rPr>
              <w:t>。</w:t>
            </w:r>
          </w:p>
          <w:p w14:paraId="21EE15AC">
            <w:pPr>
              <w:jc w:val="left"/>
              <w:contextualSpacing/>
              <w:spacing w:line="360" w:lineRule="auto"/>
              <w:ind w:firstLine="482" w:firstLineChars="200"/>
              <w:rPr>
                <w:color w:val="auto"/>
                <w:sz w:val="24"/>
                <w:kern w:val="0"/>
              </w:rPr>
            </w:pPr>
            <w:r>
              <w:rPr>
                <w:b w:val="1"/>
                <w:color w:val="auto"/>
                <w:sz w:val="24"/>
                <w:kern w:val="0"/>
                <w:rFonts w:hint="eastAsia"/>
              </w:rPr>
              <w:t>8</w:t>
            </w:r>
            <w:r>
              <w:rPr>
                <w:b w:val="1"/>
                <w:color w:val="auto"/>
                <w:sz w:val="24"/>
                <w:kern w:val="0"/>
              </w:rPr>
              <w:t>、</w:t>
            </w:r>
            <w:r>
              <w:rPr>
                <w:b w:val="1"/>
                <w:color w:val="auto"/>
                <w:sz w:val="24"/>
                <w:kern w:val="0"/>
                <w:rFonts w:hint="eastAsia"/>
              </w:rPr>
              <w:t>环保</w:t>
            </w:r>
            <w:r>
              <w:rPr>
                <w:b w:val="1"/>
                <w:color w:val="auto"/>
                <w:sz w:val="24"/>
                <w:kern w:val="0"/>
              </w:rPr>
              <w:t>投资</w:t>
            </w:r>
          </w:p>
          <w:p w14:paraId="6463844F">
            <w:pPr>
              <w:jc w:val="left"/>
              <w:contextualSpacing/>
              <w:spacing w:line="360" w:lineRule="auto"/>
              <w:ind w:firstLine="480" w:firstLineChars="200"/>
              <w:rPr>
                <w:color w:val="auto"/>
                <w:sz w:val="24"/>
                <w:rFonts w:ascii="宋体" w:hAnsi="宋体"/>
              </w:rPr>
            </w:pPr>
            <w:r>
              <w:rPr>
                <w:color w:val="auto"/>
                <w:sz w:val="24"/>
                <w:rFonts w:ascii="宋体" w:hAnsi="宋体" w:hint="eastAsia"/>
              </w:rPr>
              <w:t>本项目总投资</w:t>
            </w:r>
            <w:r>
              <w:rPr>
                <w:color w:val="auto"/>
                <w:sz w:val="24"/>
                <w:rFonts w:hint="eastAsia"/>
              </w:rPr>
              <w:t>4</w:t>
            </w:r>
            <w:r>
              <w:rPr>
                <w:color w:val="auto"/>
                <w:sz w:val="24"/>
                <w:lang w:val="en-US" w:eastAsia="zh-CN"/>
                <w:rFonts w:hint="eastAsia"/>
              </w:rPr>
              <w:t>6</w:t>
            </w:r>
            <w:r>
              <w:rPr>
                <w:color w:val="auto"/>
                <w:sz w:val="24"/>
                <w:rFonts w:hint="eastAsia"/>
              </w:rPr>
              <w:t>0</w:t>
            </w:r>
            <w:r>
              <w:rPr>
                <w:color w:val="auto"/>
                <w:sz w:val="24"/>
                <w:rFonts w:ascii="宋体" w:hAnsi="宋体" w:hint="eastAsia"/>
              </w:rPr>
              <w:t>万元，其中环保投资</w:t>
            </w:r>
            <w:r>
              <w:rPr>
                <w:color w:val="auto"/>
                <w:sz w:val="24"/>
                <w:rFonts w:hint="eastAsia"/>
              </w:rPr>
              <w:t>120</w:t>
            </w:r>
            <w:r>
              <w:rPr>
                <w:color w:val="auto"/>
                <w:sz w:val="24"/>
                <w:rFonts w:ascii="宋体" w:hAnsi="宋体" w:hint="eastAsia"/>
              </w:rPr>
              <w:t>万元，占工程总投资的</w:t>
            </w:r>
            <w:r>
              <w:rPr>
                <w:color w:val="auto"/>
                <w:sz w:val="24"/>
                <w:rFonts w:hint="eastAsia"/>
              </w:rPr>
              <w:t>26.</w:t>
            </w:r>
            <w:r>
              <w:rPr>
                <w:color w:val="auto"/>
                <w:sz w:val="24"/>
                <w:lang w:val="en-US" w:eastAsia="zh-CN"/>
                <w:rFonts w:hint="eastAsia"/>
              </w:rPr>
              <w:t>1</w:t>
            </w:r>
            <w:r>
              <w:rPr>
                <w:color w:val="auto"/>
                <w:sz w:val="24"/>
                <w:rFonts w:hint="eastAsia"/>
              </w:rPr>
              <w:t>%</w:t>
            </w:r>
            <w:r>
              <w:rPr>
                <w:color w:val="auto"/>
                <w:sz w:val="24"/>
                <w:rFonts w:ascii="宋体" w:hAnsi="宋体" w:hint="eastAsia"/>
              </w:rPr>
              <w:t>。项目环保投资见下表。</w:t>
            </w:r>
          </w:p>
          <w:p w14:paraId="212AB4B8">
            <w:pPr>
              <w:jc w:val="center"/>
              <w:contextualSpacing/>
              <w:ind w:firstLine="482" w:firstLineChars="200"/>
              <w:rPr>
                <w:color w:val="auto"/>
                <w:sz w:val="24"/>
                <w:kern w:val="0"/>
              </w:rPr>
            </w:pPr>
            <w:r>
              <w:rPr>
                <w:b w:val="1"/>
                <w:color w:val="auto"/>
                <w:sz w:val="24"/>
                <w:rFonts w:hint="eastAsia"/>
              </w:rPr>
              <w:t>表2</w:t>
            </w:r>
            <w:r>
              <w:rPr>
                <w:b w:val="1"/>
                <w:color w:val="auto"/>
                <w:sz w:val="24"/>
              </w:rPr>
              <w:t>-</w:t>
            </w:r>
            <w:r>
              <w:rPr>
                <w:b w:val="1"/>
                <w:color w:val="auto"/>
                <w:sz w:val="24"/>
                <w:lang w:val="en-US" w:eastAsia="zh-CN"/>
                <w:rFonts w:hint="eastAsia"/>
              </w:rPr>
              <w:t>6</w:t>
            </w:r>
            <w:r>
              <w:rPr>
                <w:b w:val="1"/>
                <w:color w:val="auto"/>
                <w:sz w:val="24"/>
                <w:rFonts w:hint="eastAsia"/>
              </w:rPr>
              <w:t>环保投资一览表</w:t>
            </w:r>
          </w:p>
          <w:tbl>
            <w:tblPr>
              <w:tblStyle w:val="27"/>
              <w:tblW w:w="5000" w:type="pct"/>
              <w:jc w:val="center"/>
              <w:tblLayout w:type="fixed"/>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
            <w:tblGrid>
              <w:gridCol w:w="974.000000"/>
              <w:gridCol w:w="1219.000000"/>
              <w:gridCol w:w="4484.000000"/>
              <w:gridCol w:w="1717.000000"/>
            </w:tblGrid>
            <w:tr w14:paraId="779FA8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60" w:hRule="atLeast"/>
                <w:jc w:val="center"/>
              </w:trPr>
              <w:tc>
                <w:tcPr>
                  <w:tcW w:w="1306" w:type="pct"/>
                  <w:gridSpan w:val="2"/>
                  <w:vMerge w:val="restart"/>
                  <w:vAlign w:val="center"/>
                  <w:tcBorders>
                    <w:top w:val="single" w:color="000000" w:sz="12" w:space="0"/>
                    <w:left w:val="nil"/>
                    <w:bottom w:val="single" w:color="000000" w:sz="4" w:space="0"/>
                    <w:right w:val="single" w:color="000000" w:sz="4" w:space="0"/>
                  </w:tcBorders>
                </w:tcPr>
                <w:p w14:paraId="4AA90382">
                  <w:pPr>
                    <w:jc w:val="center"/>
                    <w:contextualSpacing/>
                    <w:rPr>
                      <w:color w:val="auto"/>
                      <w:szCs w:val="21"/>
                      <w:rFonts w:eastAsiaTheme="minorEastAsia"/>
                    </w:rPr>
                  </w:pPr>
                  <w:r>
                    <w:rPr>
                      <w:color w:val="auto"/>
                      <w:rFonts w:eastAsiaTheme="minorEastAsia"/>
                    </w:rPr>
                    <w:t>项目</w:t>
                  </w:r>
                </w:p>
              </w:tc>
              <w:tc>
                <w:tcPr>
                  <w:tcW w:w="3694" w:type="pct"/>
                  <w:gridSpan w:val="2"/>
                  <w:vAlign w:val="center"/>
                  <w:tcBorders>
                    <w:top w:val="single" w:color="000000" w:sz="12" w:space="0"/>
                    <w:left w:val="single" w:color="000000" w:sz="4" w:space="0"/>
                    <w:bottom w:val="single" w:color="000000" w:sz="4" w:space="0"/>
                    <w:right w:val="nil"/>
                  </w:tcBorders>
                </w:tcPr>
                <w:p w14:paraId="666D3617">
                  <w:pPr>
                    <w:jc w:val="center"/>
                    <w:contextualSpacing/>
                    <w:rPr>
                      <w:color w:val="auto"/>
                      <w:szCs w:val="21"/>
                      <w:rFonts w:eastAsiaTheme="minorEastAsia"/>
                    </w:rPr>
                  </w:pPr>
                  <w:r>
                    <w:rPr>
                      <w:color w:val="auto"/>
                      <w:rFonts w:eastAsiaTheme="minorEastAsia"/>
                    </w:rPr>
                    <w:t>设计</w:t>
                  </w:r>
                </w:p>
              </w:tc>
            </w:tr>
            <w:tr w14:paraId="0BDD55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25" w:hRule="atLeast"/>
                <w:jc w:val="center"/>
              </w:trPr>
              <w:tc>
                <w:tcPr>
                  <w:tcW w:w="1306" w:type="pct"/>
                  <w:gridSpan w:val="2"/>
                  <w:vMerge w:val="continue"/>
                  <w:vAlign w:val="center"/>
                  <w:tcBorders>
                    <w:top w:val="single" w:color="000000" w:sz="12" w:space="0"/>
                    <w:left w:val="nil"/>
                    <w:bottom w:val="single" w:color="000000" w:sz="4" w:space="0"/>
                    <w:right w:val="single" w:color="000000" w:sz="4" w:space="0"/>
                  </w:tcBorders>
                </w:tcPr>
                <w:p w14:paraId="7A74C957">
                  <w:pPr>
                    <w:widowControl w:val="1"/>
                    <w:jc w:val="left"/>
                    <w:rPr>
                      <w:color w:val="auto"/>
                      <w:szCs w:val="21"/>
                      <w:rFonts w:eastAsiaTheme="minorEastAsia"/>
                    </w:rPr>
                  </w:pPr>
                </w:p>
              </w:tc>
              <w:tc>
                <w:tcPr>
                  <w:tcW w:w="2671" w:type="pct"/>
                  <w:vAlign w:val="center"/>
                  <w:tcBorders>
                    <w:top w:val="single" w:color="000000" w:sz="4" w:space="0"/>
                    <w:left w:val="single" w:color="000000" w:sz="4" w:space="0"/>
                    <w:bottom w:val="single" w:color="000000" w:sz="4" w:space="0"/>
                    <w:right w:val="single" w:color="auto" w:sz="4" w:space="0"/>
                  </w:tcBorders>
                </w:tcPr>
                <w:p w14:paraId="72348AF0">
                  <w:pPr>
                    <w:jc w:val="center"/>
                    <w:contextualSpacing/>
                    <w:rPr>
                      <w:color w:val="auto"/>
                      <w:szCs w:val="21"/>
                      <w:rFonts w:eastAsiaTheme="minorEastAsia"/>
                    </w:rPr>
                  </w:pPr>
                  <w:r>
                    <w:rPr>
                      <w:color w:val="auto"/>
                      <w:rFonts w:eastAsiaTheme="minorEastAsia"/>
                    </w:rPr>
                    <w:t>环保投资措施</w:t>
                  </w:r>
                </w:p>
              </w:tc>
              <w:tc>
                <w:tcPr>
                  <w:tcW w:w="1023" w:type="pct"/>
                  <w:vAlign w:val="center"/>
                  <w:tcBorders>
                    <w:top w:val="single" w:color="000000" w:sz="4" w:space="0"/>
                    <w:left w:val="nil"/>
                    <w:bottom w:val="single" w:color="000000" w:sz="4" w:space="0"/>
                    <w:right w:val="nil"/>
                  </w:tcBorders>
                </w:tcPr>
                <w:p w14:paraId="0E6B221D">
                  <w:pPr>
                    <w:jc w:val="center"/>
                    <w:contextualSpacing/>
                    <w:rPr>
                      <w:color w:val="auto"/>
                      <w:szCs w:val="21"/>
                      <w:rFonts w:eastAsiaTheme="minorEastAsia"/>
                    </w:rPr>
                  </w:pPr>
                  <w:r>
                    <w:rPr>
                      <w:color w:val="auto"/>
                      <w:rFonts w:eastAsiaTheme="minorEastAsia"/>
                    </w:rPr>
                    <w:t>投资（万元）</w:t>
                  </w:r>
                </w:p>
              </w:tc>
            </w:tr>
            <w:tr w14:paraId="2DB9A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545" w:hRule="atLeast"/>
                <w:jc w:val="center"/>
              </w:trPr>
              <w:tc>
                <w:tcPr>
                  <w:tcW w:w="580" w:type="pct"/>
                  <w:vMerge w:val="restart"/>
                  <w:vAlign w:val="center"/>
                  <w:tcBorders>
                    <w:top w:val="single" w:color="000000" w:sz="4" w:space="0"/>
                    <w:left w:val="nil"/>
                    <w:right w:val="single" w:color="000000" w:sz="4" w:space="0"/>
                  </w:tcBorders>
                </w:tcPr>
                <w:p w14:paraId="633F2A68">
                  <w:pPr>
                    <w:jc w:val="center"/>
                    <w:contextualSpacing/>
                    <w:rPr>
                      <w:color w:val="auto"/>
                      <w:szCs w:val="21"/>
                      <w:rFonts w:eastAsiaTheme="minorEastAsia"/>
                    </w:rPr>
                  </w:pPr>
                  <w:r>
                    <w:rPr>
                      <w:color w:val="auto"/>
                      <w:rFonts w:eastAsiaTheme="minorEastAsia"/>
                    </w:rPr>
                    <w:t>运营期</w:t>
                  </w:r>
                </w:p>
              </w:tc>
              <w:tc>
                <w:tcPr>
                  <w:tcW w:w="726" w:type="pct"/>
                  <w:vMerge w:val="restart"/>
                  <w:vAlign w:val="center"/>
                  <w:tcBorders>
                    <w:top w:val="single" w:color="000000" w:sz="4" w:space="0"/>
                    <w:left w:val="single" w:color="000000" w:sz="4" w:space="0"/>
                    <w:right w:val="single" w:color="000000" w:sz="4" w:space="0"/>
                  </w:tcBorders>
                </w:tcPr>
                <w:p w14:paraId="4CFAD8D4">
                  <w:pPr>
                    <w:jc w:val="center"/>
                    <w:contextualSpacing/>
                    <w:rPr>
                      <w:color w:val="auto"/>
                      <w:szCs w:val="21"/>
                      <w:rFonts w:eastAsiaTheme="minorEastAsia"/>
                    </w:rPr>
                  </w:pPr>
                  <w:r>
                    <w:rPr>
                      <w:color w:val="auto"/>
                      <w:rFonts w:eastAsiaTheme="minorEastAsia"/>
                    </w:rPr>
                    <w:t>废气</w:t>
                  </w:r>
                </w:p>
              </w:tc>
              <w:tc>
                <w:tcPr>
                  <w:tcW w:w="2671" w:type="pct"/>
                  <w:vAlign w:val="center"/>
                  <w:tcBorders>
                    <w:top w:val="single" w:color="000000" w:sz="4" w:space="0"/>
                    <w:left w:val="single" w:color="000000" w:sz="4" w:space="0"/>
                    <w:right w:val="single" w:color="auto" w:sz="4" w:space="0"/>
                  </w:tcBorders>
                </w:tcPr>
                <w:p w14:paraId="558F76F5">
                  <w:pPr>
                    <w:jc w:val="center"/>
                    <w:contextualSpacing/>
                    <w:rPr>
                      <w:color w:val="auto"/>
                      <w:szCs w:val="21"/>
                      <w:rFonts w:eastAsiaTheme="minorEastAsia"/>
                    </w:rPr>
                  </w:pPr>
                  <w:r>
                    <w:rPr>
                      <w:color w:val="auto"/>
                      <w:szCs w:val="21"/>
                      <w:rFonts w:hint="eastAsia" w:eastAsiaTheme="minorEastAsia"/>
                    </w:rPr>
                    <w:t>1套除尘系统+连接管道+</w:t>
                  </w:r>
                  <w:r>
                    <w:rPr>
                      <w:color w:val="auto"/>
                      <w:szCs w:val="21"/>
                      <w:rFonts w:eastAsiaTheme="minorEastAsia"/>
                    </w:rPr>
                    <w:t>15m高排气筒、低氮燃烧器</w:t>
                  </w:r>
                  <w:r>
                    <w:rPr>
                      <w:color w:val="auto"/>
                      <w:szCs w:val="21"/>
                      <w:rFonts w:hint="eastAsia" w:eastAsiaTheme="minorEastAsia"/>
                    </w:rPr>
                    <w:t>+</w:t>
                  </w:r>
                  <w:r>
                    <w:rPr>
                      <w:color w:val="auto"/>
                      <w:szCs w:val="21"/>
                      <w:rFonts w:eastAsiaTheme="minorEastAsia"/>
                    </w:rPr>
                    <w:t>1</w:t>
                  </w:r>
                  <w:r>
                    <w:rPr>
                      <w:color w:val="auto"/>
                      <w:szCs w:val="21"/>
                      <w:rFonts w:hint="eastAsia" w:eastAsiaTheme="minorEastAsia"/>
                    </w:rPr>
                    <w:t>2</w:t>
                  </w:r>
                  <w:r>
                    <w:rPr>
                      <w:color w:val="auto"/>
                      <w:szCs w:val="21"/>
                      <w:rFonts w:eastAsiaTheme="minorEastAsia"/>
                    </w:rPr>
                    <w:t>m高排气筒、</w:t>
                  </w:r>
                  <w:r>
                    <w:rPr>
                      <w:color w:val="auto"/>
                      <w:bCs/>
                      <w:szCs w:val="21"/>
                      <w:rFonts w:hint="eastAsia" w:eastAsiaTheme="minorEastAsia"/>
                    </w:rPr>
                    <w:t>气浮旋流塔+三维一体化废气处理设备+</w:t>
                  </w:r>
                  <w:r>
                    <w:rPr>
                      <w:color w:val="auto"/>
                      <w:szCs w:val="21"/>
                      <w:rFonts w:eastAsiaTheme="minorEastAsia"/>
                    </w:rPr>
                    <w:t>15m高排气筒</w:t>
                  </w:r>
                </w:p>
              </w:tc>
              <w:tc>
                <w:tcPr>
                  <w:tcW w:w="1023" w:type="pct"/>
                  <w:vAlign w:val="center"/>
                  <w:tcBorders>
                    <w:top w:val="single" w:color="000000" w:sz="4" w:space="0"/>
                    <w:left w:val="nil"/>
                    <w:right w:val="nil"/>
                  </w:tcBorders>
                </w:tcPr>
                <w:p w14:paraId="0F9C3FF7">
                  <w:pPr>
                    <w:jc w:val="center"/>
                    <w:contextualSpacing/>
                    <w:rPr>
                      <w:color w:val="auto"/>
                      <w:szCs w:val="21"/>
                      <w:rFonts w:eastAsiaTheme="minorEastAsia"/>
                    </w:rPr>
                  </w:pPr>
                  <w:r>
                    <w:rPr>
                      <w:color w:val="auto"/>
                      <w:rFonts w:hint="eastAsia" w:eastAsiaTheme="minorEastAsia"/>
                    </w:rPr>
                    <w:t>85</w:t>
                  </w:r>
                </w:p>
              </w:tc>
            </w:tr>
            <w:tr w14:paraId="3EFA0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202" w:hRule="atLeast"/>
                <w:jc w:val="center"/>
              </w:trPr>
              <w:tc>
                <w:tcPr>
                  <w:tcW w:w="580" w:type="pct"/>
                  <w:vMerge w:val="continue"/>
                  <w:vAlign w:val="center"/>
                  <w:tcBorders>
                    <w:left w:val="nil"/>
                    <w:right w:val="single" w:color="000000" w:sz="4" w:space="0"/>
                  </w:tcBorders>
                </w:tcPr>
                <w:p w14:paraId="1653A413">
                  <w:pPr>
                    <w:jc w:val="center"/>
                    <w:contextualSpacing/>
                    <w:rPr>
                      <w:color w:val="auto"/>
                      <w:rFonts w:eastAsiaTheme="minorEastAsia"/>
                    </w:rPr>
                  </w:pPr>
                </w:p>
              </w:tc>
              <w:tc>
                <w:tcPr>
                  <w:tcW w:w="726" w:type="pct"/>
                  <w:vMerge w:val="continue"/>
                  <w:vAlign w:val="center"/>
                  <w:tcBorders>
                    <w:left w:val="single" w:color="000000" w:sz="4" w:space="0"/>
                    <w:right w:val="single" w:color="000000" w:sz="4" w:space="0"/>
                  </w:tcBorders>
                </w:tcPr>
                <w:p w14:paraId="2D8A22BC">
                  <w:pPr>
                    <w:jc w:val="center"/>
                    <w:contextualSpacing/>
                    <w:rPr>
                      <w:color w:val="auto"/>
                      <w:rFonts w:eastAsiaTheme="minorEastAsia"/>
                    </w:rPr>
                  </w:pPr>
                </w:p>
              </w:tc>
              <w:tc>
                <w:tcPr>
                  <w:tcW w:w="2671" w:type="pct"/>
                  <w:vAlign w:val="center"/>
                  <w:tcBorders>
                    <w:top w:val="single" w:color="000000" w:sz="4" w:space="0"/>
                    <w:left w:val="single" w:color="000000" w:sz="4" w:space="0"/>
                    <w:bottom w:val="single" w:color="000000" w:sz="4" w:space="0"/>
                    <w:right w:val="single" w:color="auto" w:sz="4" w:space="0"/>
                  </w:tcBorders>
                </w:tcPr>
                <w:p w14:paraId="2D93D41D">
                  <w:pPr>
                    <w:jc w:val="center"/>
                    <w:contextualSpacing/>
                    <w:rPr>
                      <w:color w:val="auto"/>
                      <w:szCs w:val="21"/>
                      <w:rFonts w:eastAsiaTheme="minorEastAsia"/>
                    </w:rPr>
                  </w:pPr>
                  <w:r>
                    <w:rPr>
                      <w:color w:val="auto"/>
                      <w:szCs w:val="21"/>
                      <w:rFonts w:eastAsiaTheme="minorEastAsia"/>
                    </w:rPr>
                    <w:t>水管、洒水装置</w:t>
                  </w:r>
                  <w:r>
                    <w:rPr>
                      <w:color w:val="auto"/>
                      <w:szCs w:val="21"/>
                      <w:rFonts w:hint="eastAsia" w:eastAsiaTheme="minorEastAsia"/>
                    </w:rPr>
                    <w:t>、防风抑尘网、苫布</w:t>
                  </w:r>
                </w:p>
              </w:tc>
              <w:tc>
                <w:tcPr>
                  <w:tcW w:w="1023" w:type="pct"/>
                  <w:vAlign w:val="center"/>
                  <w:tcBorders>
                    <w:left w:val="nil"/>
                    <w:right w:val="nil"/>
                  </w:tcBorders>
                </w:tcPr>
                <w:p w14:paraId="039E6560">
                  <w:pPr>
                    <w:jc w:val="center"/>
                    <w:contextualSpacing/>
                    <w:rPr>
                      <w:color w:val="auto"/>
                      <w:rFonts w:eastAsiaTheme="minorEastAsia"/>
                    </w:rPr>
                  </w:pPr>
                  <w:r>
                    <w:rPr>
                      <w:color w:val="auto"/>
                      <w:rFonts w:hint="eastAsia" w:eastAsiaTheme="minorEastAsia"/>
                    </w:rPr>
                    <w:t>5</w:t>
                  </w:r>
                </w:p>
              </w:tc>
            </w:tr>
            <w:tr w14:paraId="41736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122" w:hRule="atLeast"/>
                <w:jc w:val="center"/>
              </w:trPr>
              <w:tc>
                <w:tcPr>
                  <w:tcW w:w="580" w:type="pct"/>
                  <w:vMerge w:val="continue"/>
                  <w:vAlign w:val="center"/>
                  <w:tcBorders>
                    <w:left w:val="nil"/>
                    <w:right w:val="single" w:color="000000" w:sz="4" w:space="0"/>
                  </w:tcBorders>
                </w:tcPr>
                <w:p w14:paraId="1AA6879E">
                  <w:pPr>
                    <w:widowControl w:val="1"/>
                    <w:jc w:val="left"/>
                    <w:rPr>
                      <w:color w:val="auto"/>
                      <w:szCs w:val="21"/>
                      <w:rFonts w:eastAsiaTheme="minorEastAsia"/>
                    </w:rPr>
                  </w:pPr>
                </w:p>
              </w:tc>
              <w:tc>
                <w:tcPr>
                  <w:tcW w:w="726" w:type="pct"/>
                  <w:vAlign w:val="center"/>
                  <w:tcBorders>
                    <w:top w:val="single" w:color="000000" w:sz="4" w:space="0"/>
                    <w:left w:val="single" w:color="000000" w:sz="4" w:space="0"/>
                    <w:bottom w:val="single" w:color="000000" w:sz="4" w:space="0"/>
                    <w:right w:val="single" w:color="000000" w:sz="4" w:space="0"/>
                  </w:tcBorders>
                </w:tcPr>
                <w:p w14:paraId="7E48A3D4">
                  <w:pPr>
                    <w:jc w:val="center"/>
                    <w:contextualSpacing/>
                    <w:rPr>
                      <w:color w:val="auto"/>
                      <w:szCs w:val="21"/>
                      <w:rFonts w:eastAsiaTheme="minorEastAsia"/>
                    </w:rPr>
                  </w:pPr>
                  <w:r>
                    <w:rPr>
                      <w:color w:val="auto"/>
                      <w:rFonts w:eastAsiaTheme="minorEastAsia"/>
                    </w:rPr>
                    <w:t>废水</w:t>
                  </w:r>
                </w:p>
              </w:tc>
              <w:tc>
                <w:tcPr>
                  <w:tcW w:w="2671" w:type="pct"/>
                  <w:vAlign w:val="center"/>
                  <w:tcBorders>
                    <w:top w:val="single" w:color="000000" w:sz="4" w:space="0"/>
                    <w:left w:val="single" w:color="000000" w:sz="4" w:space="0"/>
                    <w:bottom w:val="single" w:color="000000" w:sz="4" w:space="0"/>
                    <w:right w:val="single" w:color="auto" w:sz="4" w:space="0"/>
                  </w:tcBorders>
                </w:tcPr>
                <w:p w14:paraId="2A1F5628">
                  <w:pPr>
                    <w:jc w:val="center"/>
                    <w:contextualSpacing/>
                    <w:rPr>
                      <w:color w:val="auto"/>
                      <w:szCs w:val="21"/>
                      <w:rFonts w:eastAsiaTheme="minorEastAsia"/>
                    </w:rPr>
                  </w:pPr>
                  <w:r>
                    <w:rPr>
                      <w:color w:val="auto"/>
                      <w:rFonts w:hint="eastAsia" w:eastAsiaTheme="minorEastAsia"/>
                    </w:rPr>
                    <w:t>初期雨水池、旱厕清掏</w:t>
                  </w:r>
                </w:p>
              </w:tc>
              <w:tc>
                <w:tcPr>
                  <w:tcW w:w="1023" w:type="pct"/>
                  <w:vAlign w:val="center"/>
                  <w:tcBorders>
                    <w:top w:val="single" w:color="000000" w:sz="4" w:space="0"/>
                    <w:left w:val="nil"/>
                    <w:bottom w:val="single" w:color="000000" w:sz="4" w:space="0"/>
                    <w:right w:val="nil"/>
                  </w:tcBorders>
                </w:tcPr>
                <w:p w14:paraId="4B780520">
                  <w:pPr>
                    <w:jc w:val="center"/>
                    <w:contextualSpacing/>
                    <w:rPr>
                      <w:color w:val="auto"/>
                      <w:szCs w:val="21"/>
                      <w:rFonts w:eastAsiaTheme="minorEastAsia"/>
                    </w:rPr>
                  </w:pPr>
                  <w:r>
                    <w:rPr>
                      <w:color w:val="auto"/>
                      <w:rFonts w:hint="eastAsia" w:eastAsiaTheme="minorEastAsia"/>
                    </w:rPr>
                    <w:t>4</w:t>
                  </w:r>
                </w:p>
              </w:tc>
            </w:tr>
            <w:tr w14:paraId="016D8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122" w:hRule="atLeast"/>
                <w:jc w:val="center"/>
              </w:trPr>
              <w:tc>
                <w:tcPr>
                  <w:tcW w:w="580" w:type="pct"/>
                  <w:vMerge w:val="continue"/>
                  <w:vAlign w:val="center"/>
                  <w:tcBorders>
                    <w:left w:val="nil"/>
                    <w:right w:val="single" w:color="000000" w:sz="4" w:space="0"/>
                  </w:tcBorders>
                </w:tcPr>
                <w:p w14:paraId="2790C28B">
                  <w:pPr>
                    <w:widowControl w:val="1"/>
                    <w:jc w:val="left"/>
                    <w:rPr>
                      <w:color w:val="auto"/>
                      <w:szCs w:val="21"/>
                      <w:rFonts w:eastAsiaTheme="minorEastAsia"/>
                    </w:rPr>
                  </w:pPr>
                </w:p>
              </w:tc>
              <w:tc>
                <w:tcPr>
                  <w:tcW w:w="726" w:type="pct"/>
                  <w:vAlign w:val="center"/>
                  <w:tcBorders>
                    <w:top w:val="single" w:color="000000" w:sz="4" w:space="0"/>
                    <w:left w:val="single" w:color="000000" w:sz="4" w:space="0"/>
                    <w:bottom w:val="single" w:color="000000" w:sz="4" w:space="0"/>
                    <w:right w:val="single" w:color="000000" w:sz="4" w:space="0"/>
                  </w:tcBorders>
                </w:tcPr>
                <w:p w14:paraId="1F5E56D2">
                  <w:pPr>
                    <w:jc w:val="center"/>
                    <w:contextualSpacing/>
                    <w:rPr>
                      <w:color w:val="auto"/>
                      <w:szCs w:val="21"/>
                      <w:rFonts w:eastAsiaTheme="minorEastAsia"/>
                    </w:rPr>
                  </w:pPr>
                  <w:r>
                    <w:rPr>
                      <w:color w:val="auto"/>
                      <w:rFonts w:eastAsiaTheme="minorEastAsia"/>
                    </w:rPr>
                    <w:t>噪声</w:t>
                  </w:r>
                </w:p>
              </w:tc>
              <w:tc>
                <w:tcPr>
                  <w:tcW w:w="2671" w:type="pct"/>
                  <w:vAlign w:val="center"/>
                  <w:tcBorders>
                    <w:top w:val="single" w:color="000000" w:sz="4" w:space="0"/>
                    <w:left w:val="single" w:color="000000" w:sz="4" w:space="0"/>
                    <w:bottom w:val="single" w:color="000000" w:sz="4" w:space="0"/>
                    <w:right w:val="single" w:color="auto" w:sz="4" w:space="0"/>
                  </w:tcBorders>
                </w:tcPr>
                <w:p w14:paraId="1E3C35F7">
                  <w:pPr>
                    <w:jc w:val="center"/>
                    <w:contextualSpacing/>
                    <w:rPr>
                      <w:color w:val="auto"/>
                      <w:szCs w:val="21"/>
                      <w:rFonts w:eastAsiaTheme="minorEastAsia"/>
                    </w:rPr>
                  </w:pPr>
                  <w:r>
                    <w:rPr>
                      <w:color w:val="auto"/>
                      <w:rFonts w:eastAsiaTheme="minorEastAsia"/>
                    </w:rPr>
                    <w:t>低噪声设备、基础减振、车辆限速行驶措施</w:t>
                  </w:r>
                </w:p>
              </w:tc>
              <w:tc>
                <w:tcPr>
                  <w:tcW w:w="1023" w:type="pct"/>
                  <w:vAlign w:val="center"/>
                  <w:tcBorders>
                    <w:top w:val="single" w:color="000000" w:sz="4" w:space="0"/>
                    <w:left w:val="nil"/>
                    <w:bottom w:val="single" w:color="000000" w:sz="4" w:space="0"/>
                    <w:right w:val="nil"/>
                  </w:tcBorders>
                </w:tcPr>
                <w:p w14:paraId="4D15FE18">
                  <w:pPr>
                    <w:jc w:val="center"/>
                    <w:contextualSpacing/>
                    <w:rPr>
                      <w:color w:val="auto"/>
                      <w:szCs w:val="21"/>
                      <w:rFonts w:eastAsiaTheme="minorEastAsia"/>
                    </w:rPr>
                  </w:pPr>
                  <w:r>
                    <w:rPr>
                      <w:color w:val="auto"/>
                      <w:rFonts w:hint="eastAsia" w:eastAsiaTheme="minorEastAsia"/>
                    </w:rPr>
                    <w:t>2</w:t>
                  </w:r>
                </w:p>
              </w:tc>
            </w:tr>
            <w:tr w14:paraId="21D1C2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122" w:hRule="atLeast"/>
                <w:jc w:val="center"/>
              </w:trPr>
              <w:tc>
                <w:tcPr>
                  <w:tcW w:w="580" w:type="pct"/>
                  <w:vMerge w:val="continue"/>
                  <w:vAlign w:val="center"/>
                  <w:tcBorders>
                    <w:left w:val="nil"/>
                    <w:right w:val="single" w:color="000000" w:sz="4" w:space="0"/>
                  </w:tcBorders>
                </w:tcPr>
                <w:p w14:paraId="41F2264F">
                  <w:pPr>
                    <w:widowControl w:val="1"/>
                    <w:jc w:val="left"/>
                    <w:rPr>
                      <w:color w:val="auto"/>
                      <w:szCs w:val="21"/>
                      <w:rFonts w:eastAsiaTheme="minorEastAsia"/>
                    </w:rPr>
                  </w:pPr>
                </w:p>
              </w:tc>
              <w:tc>
                <w:tcPr>
                  <w:tcW w:w="726" w:type="pct"/>
                  <w:vAlign w:val="center"/>
                  <w:tcBorders>
                    <w:top w:val="single" w:color="000000" w:sz="4" w:space="0"/>
                    <w:left w:val="single" w:color="000000" w:sz="4" w:space="0"/>
                    <w:bottom w:val="single" w:color="000000" w:sz="4" w:space="0"/>
                    <w:right w:val="single" w:color="000000" w:sz="4" w:space="0"/>
                  </w:tcBorders>
                </w:tcPr>
                <w:p w14:paraId="1BC14E5D">
                  <w:pPr>
                    <w:jc w:val="center"/>
                    <w:contextualSpacing/>
                    <w:rPr>
                      <w:color w:val="auto"/>
                      <w:szCs w:val="21"/>
                      <w:rFonts w:eastAsiaTheme="minorEastAsia"/>
                    </w:rPr>
                  </w:pPr>
                  <w:r>
                    <w:rPr>
                      <w:color w:val="auto"/>
                      <w:rFonts w:eastAsiaTheme="minorEastAsia"/>
                    </w:rPr>
                    <w:t>固废</w:t>
                  </w:r>
                </w:p>
              </w:tc>
              <w:tc>
                <w:tcPr>
                  <w:tcW w:w="2671" w:type="pct"/>
                  <w:vAlign w:val="center"/>
                  <w:tcBorders>
                    <w:top w:val="single" w:color="000000" w:sz="4" w:space="0"/>
                    <w:left w:val="single" w:color="000000" w:sz="4" w:space="0"/>
                    <w:bottom w:val="single" w:color="000000" w:sz="4" w:space="0"/>
                    <w:right w:val="single" w:color="auto" w:sz="4" w:space="0"/>
                  </w:tcBorders>
                </w:tcPr>
                <w:p w14:paraId="06361773">
                  <w:pPr>
                    <w:jc w:val="center"/>
                    <w:contextualSpacing/>
                    <w:rPr>
                      <w:color w:val="auto"/>
                      <w:lang w:val="en-US" w:eastAsia="zh-CN"/>
                      <w:szCs w:val="21"/>
                      <w:rFonts w:hint="eastAsia" w:eastAsiaTheme="minorEastAsia"/>
                    </w:rPr>
                  </w:pPr>
                  <w:r>
                    <w:rPr>
                      <w:color w:val="auto"/>
                      <w:rFonts w:eastAsiaTheme="minorEastAsia"/>
                    </w:rPr>
                    <w:t>垃圾桶、</w:t>
                  </w:r>
                  <w:r>
                    <w:rPr>
                      <w:color w:val="auto"/>
                      <w:rFonts w:hint="eastAsia" w:eastAsiaTheme="minorEastAsia"/>
                    </w:rPr>
                    <w:t>危废</w:t>
                  </w:r>
                  <w:r>
                    <w:rPr>
                      <w:color w:val="auto"/>
                      <w:rFonts w:eastAsiaTheme="minorEastAsia"/>
                    </w:rPr>
                    <w:t>贮存</w:t>
                  </w:r>
                  <w:r>
                    <w:rPr>
                      <w:color w:val="auto"/>
                      <w:lang w:val="en-US" w:eastAsia="zh-CN"/>
                      <w:rFonts w:hint="eastAsia" w:eastAsiaTheme="minorEastAsia"/>
                    </w:rPr>
                    <w:t>点</w:t>
                  </w:r>
                </w:p>
              </w:tc>
              <w:tc>
                <w:tcPr>
                  <w:tcW w:w="1023" w:type="pct"/>
                  <w:vAlign w:val="center"/>
                  <w:tcBorders>
                    <w:top w:val="single" w:color="000000" w:sz="4" w:space="0"/>
                    <w:left w:val="nil"/>
                    <w:bottom w:val="single" w:color="000000" w:sz="4" w:space="0"/>
                    <w:right w:val="nil"/>
                  </w:tcBorders>
                </w:tcPr>
                <w:p w14:paraId="678D1AE8">
                  <w:pPr>
                    <w:jc w:val="center"/>
                    <w:contextualSpacing/>
                    <w:rPr>
                      <w:color w:val="auto"/>
                      <w:szCs w:val="21"/>
                      <w:rFonts w:eastAsiaTheme="minorEastAsia"/>
                    </w:rPr>
                  </w:pPr>
                  <w:r>
                    <w:rPr>
                      <w:color w:val="auto"/>
                      <w:rFonts w:hint="eastAsia" w:eastAsiaTheme="minorEastAsia"/>
                    </w:rPr>
                    <w:t>4</w:t>
                  </w:r>
                </w:p>
              </w:tc>
            </w:tr>
            <w:tr w14:paraId="70B33C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72" w:hRule="atLeast"/>
                <w:jc w:val="center"/>
              </w:trPr>
              <w:tc>
                <w:tcPr>
                  <w:tcW w:w="580" w:type="pct"/>
                  <w:vMerge w:val="continue"/>
                  <w:vAlign w:val="center"/>
                  <w:tcBorders>
                    <w:left w:val="nil"/>
                    <w:bottom w:val="single" w:color="000000" w:sz="4" w:space="0"/>
                    <w:right w:val="single" w:color="000000" w:sz="4" w:space="0"/>
                  </w:tcBorders>
                </w:tcPr>
                <w:p w14:paraId="70941106">
                  <w:pPr>
                    <w:widowControl w:val="1"/>
                    <w:jc w:val="left"/>
                    <w:rPr>
                      <w:color w:val="auto"/>
                      <w:szCs w:val="21"/>
                      <w:rFonts w:eastAsiaTheme="minorEastAsia"/>
                    </w:rPr>
                  </w:pPr>
                </w:p>
              </w:tc>
              <w:tc>
                <w:tcPr>
                  <w:tcW w:w="726" w:type="pct"/>
                  <w:vAlign w:val="center"/>
                  <w:tcBorders>
                    <w:top w:val="single" w:color="000000" w:sz="4" w:space="0"/>
                    <w:left w:val="single" w:color="000000" w:sz="4" w:space="0"/>
                    <w:bottom w:val="single" w:color="000000" w:sz="4" w:space="0"/>
                    <w:right w:val="single" w:color="000000" w:sz="4" w:space="0"/>
                  </w:tcBorders>
                </w:tcPr>
                <w:p w14:paraId="21B804F0">
                  <w:pPr>
                    <w:jc w:val="center"/>
                    <w:contextualSpacing/>
                    <w:rPr>
                      <w:color w:val="auto"/>
                      <w:szCs w:val="21"/>
                      <w:rFonts w:eastAsiaTheme="minorEastAsia"/>
                    </w:rPr>
                  </w:pPr>
                  <w:r>
                    <w:rPr>
                      <w:color w:val="auto"/>
                      <w:rFonts w:eastAsiaTheme="minorEastAsia"/>
                    </w:rPr>
                    <w:t>环保设备</w:t>
                  </w:r>
                </w:p>
              </w:tc>
              <w:tc>
                <w:tcPr>
                  <w:tcW w:w="2671" w:type="pct"/>
                  <w:vAlign w:val="center"/>
                  <w:tcBorders>
                    <w:top w:val="single" w:color="000000" w:sz="4" w:space="0"/>
                    <w:left w:val="single" w:color="000000" w:sz="4" w:space="0"/>
                    <w:bottom w:val="single" w:color="000000" w:sz="4" w:space="0"/>
                    <w:right w:val="single" w:color="auto" w:sz="4" w:space="0"/>
                  </w:tcBorders>
                </w:tcPr>
                <w:p w14:paraId="6022AC0E">
                  <w:pPr>
                    <w:jc w:val="center"/>
                    <w:contextualSpacing/>
                    <w:rPr>
                      <w:color w:val="auto"/>
                      <w:szCs w:val="21"/>
                      <w:rFonts w:eastAsiaTheme="minorEastAsia"/>
                    </w:rPr>
                  </w:pPr>
                  <w:r>
                    <w:rPr>
                      <w:color w:val="auto"/>
                      <w:rFonts w:eastAsiaTheme="minorEastAsia"/>
                    </w:rPr>
                    <w:t>运行维护、验收、监测</w:t>
                  </w:r>
                </w:p>
              </w:tc>
              <w:tc>
                <w:tcPr>
                  <w:tcW w:w="1023" w:type="pct"/>
                  <w:vAlign w:val="center"/>
                  <w:tcBorders>
                    <w:top w:val="single" w:color="000000" w:sz="4" w:space="0"/>
                    <w:left w:val="nil"/>
                    <w:bottom w:val="single" w:color="000000" w:sz="4" w:space="0"/>
                    <w:right w:val="nil"/>
                  </w:tcBorders>
                </w:tcPr>
                <w:p w14:paraId="3C614959">
                  <w:pPr>
                    <w:jc w:val="center"/>
                    <w:contextualSpacing/>
                    <w:rPr>
                      <w:color w:val="auto"/>
                      <w:szCs w:val="21"/>
                      <w:rFonts w:eastAsiaTheme="minorEastAsia"/>
                    </w:rPr>
                  </w:pPr>
                  <w:r>
                    <w:rPr>
                      <w:color w:val="auto"/>
                      <w:rFonts w:hint="eastAsia" w:eastAsiaTheme="minorEastAsia"/>
                    </w:rPr>
                    <w:t>20</w:t>
                  </w:r>
                </w:p>
              </w:tc>
            </w:tr>
            <w:tr w14:paraId="6EE381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type="dxa" w:w="0.000000"/>
                  <w:bottom w:type="dxa" w:w="0.000000"/>
                  <w:left w:type="dxa" w:w="108.000000"/>
                  <w:right w:type="dxa" w:w="108.000000"/>
                </w:tblCellMar>
              </w:tblPrEx>
              <w:trPr>
                <w:trHeight w:val="60" w:hRule="atLeast"/>
                <w:jc w:val="center"/>
              </w:trPr>
              <w:tc>
                <w:tcPr>
                  <w:tcW w:w="1306" w:type="pct"/>
                  <w:gridSpan w:val="2"/>
                  <w:vAlign w:val="center"/>
                  <w:tcBorders>
                    <w:top w:val="single" w:color="000000" w:sz="4" w:space="0"/>
                    <w:left w:val="nil"/>
                    <w:bottom w:val="single" w:color="000000" w:sz="12" w:space="0"/>
                    <w:right w:val="single" w:color="000000" w:sz="4" w:space="0"/>
                  </w:tcBorders>
                </w:tcPr>
                <w:p w14:paraId="036E0C29">
                  <w:pPr>
                    <w:jc w:val="center"/>
                    <w:contextualSpacing/>
                    <w:rPr>
                      <w:color w:val="auto"/>
                      <w:szCs w:val="21"/>
                      <w:rFonts w:eastAsiaTheme="minorEastAsia"/>
                    </w:rPr>
                  </w:pPr>
                  <w:r>
                    <w:rPr>
                      <w:color w:val="auto"/>
                      <w:rFonts w:eastAsiaTheme="minorEastAsia"/>
                    </w:rPr>
                    <w:t>合计</w:t>
                  </w:r>
                </w:p>
              </w:tc>
              <w:tc>
                <w:tcPr>
                  <w:tcW w:w="2671" w:type="pct"/>
                  <w:vAlign w:val="center"/>
                  <w:tcBorders>
                    <w:top w:val="single" w:color="000000" w:sz="4" w:space="0"/>
                    <w:left w:val="single" w:color="000000" w:sz="4" w:space="0"/>
                    <w:bottom w:val="single" w:color="000000" w:sz="12" w:space="0"/>
                    <w:right w:val="single" w:color="auto" w:sz="4" w:space="0"/>
                  </w:tcBorders>
                </w:tcPr>
                <w:p w14:paraId="1FAD324C">
                  <w:pPr>
                    <w:jc w:val="center"/>
                    <w:contextualSpacing/>
                    <w:rPr>
                      <w:color w:val="auto"/>
                      <w:szCs w:val="21"/>
                      <w:rFonts w:eastAsiaTheme="minorEastAsia"/>
                    </w:rPr>
                  </w:pPr>
                  <w:r>
                    <w:rPr>
                      <w:color w:val="auto"/>
                      <w:rFonts w:eastAsiaTheme="minorEastAsia"/>
                    </w:rPr>
                    <w:t>/</w:t>
                  </w:r>
                </w:p>
              </w:tc>
              <w:tc>
                <w:tcPr>
                  <w:tcW w:w="1023" w:type="pct"/>
                  <w:vAlign w:val="center"/>
                  <w:tcBorders>
                    <w:top w:val="single" w:color="000000" w:sz="4" w:space="0"/>
                    <w:left w:val="nil"/>
                    <w:bottom w:val="single" w:color="000000" w:sz="12" w:space="0"/>
                    <w:right w:val="nil"/>
                  </w:tcBorders>
                </w:tcPr>
                <w:p w14:paraId="5C1D99DB">
                  <w:pPr>
                    <w:jc w:val="center"/>
                    <w:contextualSpacing/>
                    <w:rPr>
                      <w:color w:val="auto"/>
                      <w:szCs w:val="21"/>
                      <w:rFonts w:eastAsiaTheme="minorEastAsia"/>
                    </w:rPr>
                  </w:pPr>
                  <w:r>
                    <w:rPr>
                      <w:color w:val="auto"/>
                      <w:rFonts w:hint="eastAsia" w:eastAsiaTheme="minorEastAsia"/>
                    </w:rPr>
                    <w:t>120</w:t>
                  </w:r>
                </w:p>
              </w:tc>
            </w:tr>
          </w:tbl>
          <w:p w14:paraId="38AA5B4E">
            <w:pPr>
              <w:jc w:val="left"/>
              <w:contextualSpacing/>
              <w:spacing w:line="360" w:lineRule="auto"/>
              <w:ind w:firstLine="480" w:firstLineChars="200"/>
              <w:rPr>
                <w:color w:val="auto"/>
                <w:highlight w:val="yellow"/>
                <w:sz w:val="24"/>
                <w:kern w:val="0"/>
              </w:rPr>
            </w:pPr>
          </w:p>
        </w:tc>
      </w:tr>
      <w:tr w14:paraId="0A34F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0" w:hRule="atLeast"/>
          <w:jc w:val="center"/>
        </w:trPr>
        <w:tc>
          <w:tcPr>
            <w:tcW w:w="450" w:type="dxa"/>
            <w:vAlign w:val="center"/>
          </w:tcPr>
          <w:p w14:paraId="711DE4ED">
            <w:pPr>
              <w:pStyle w:val="22"/>
              <w:adjustRightInd w:val="0"/>
              <w:snapToGrid w:val="0"/>
              <w:jc w:val="center"/>
              <w:spacing w:after="0" w:afterAutospacing="0" w:before="0" w:beforeAutospacing="0"/>
              <w:rPr>
                <w:color w:val="auto"/>
                <w:szCs w:val="24"/>
                <w:rFonts w:ascii="Times New Roman" w:hAnsi="Times New Roman"/>
              </w:rPr>
            </w:pPr>
            <w:r>
              <w:rPr>
                <w:color w:val="auto"/>
                <w:szCs w:val="24"/>
                <w:rFonts w:ascii="Times New Roman" w:hAnsi="Times New Roman"/>
              </w:rPr>
              <w:t>工艺流程和产排污环节</w:t>
            </w:r>
          </w:p>
        </w:tc>
        <w:tc>
          <w:tcPr>
            <w:tcW w:w="8610" w:type="dxa"/>
          </w:tcPr>
          <w:p w14:paraId="36323495">
            <w:pPr>
              <w:contextualSpacing/>
              <w:spacing w:line="360" w:lineRule="auto"/>
              <w:rPr>
                <w:b w:val="1"/>
                <w:color w:val="auto"/>
                <w:sz w:val="28"/>
                <w:bCs/>
                <w:rFonts w:eastAsiaTheme="minorEastAsia"/>
              </w:rPr>
            </w:pPr>
            <w:r>
              <w:rPr>
                <w:b w:val="1"/>
                <w:color w:val="auto"/>
                <w:sz w:val="28"/>
                <w:bCs/>
                <w:rFonts w:hint="eastAsia" w:eastAsiaTheme="minorEastAsia"/>
              </w:rPr>
              <w:t>施工期工程分析</w:t>
            </w:r>
          </w:p>
          <w:p w14:paraId="589704A3">
            <w:pPr>
              <w:jc w:val="center"/>
              <w:contextualSpacing/>
              <w:spacing w:line="360" w:lineRule="auto"/>
              <w:rPr>
                <w:b w:val="1"/>
                <w:color w:val="auto"/>
                <w:sz w:val="24"/>
                <w:bCs/>
                <w:rFonts w:eastAsiaTheme="minorEastAsia"/>
              </w:rPr>
            </w:pPr>
            <w:r>
              <w:rPr>
                <w:b w:val="1"/>
                <w:color w:val="auto"/>
                <w:sz w:val="24"/>
                <w:bCs/>
                <w:rFonts w:eastAsiaTheme="minorEastAsia"/>
              </w:rPr>
              <w:drawing>
                <wp:anchor distT="0" distB="0" distL="0" distR="0" relativeHeight="251660288" behindDoc="0" allowOverlap="1" locked="0" layoutInCell="1" simplePos="0">
                  <wp:simplePos x="0" y="0"/>
                  <wp:positionH relativeFrom="column">
                    <wp:posOffset>5398135</wp:posOffset>
                  </wp:positionH>
                  <wp:positionV relativeFrom="paragraph">
                    <wp:posOffset>579755</wp:posOffset>
                  </wp:positionV>
                  <wp:extent cx="0" cy="264795"/>
                  <wp:wrapNone/>
                  <wp:docPr id="3" name="_x0000_s2069"/>
                  <a:graphic xmlns:a="http://schemas.openxmlformats.org/drawingml/2006/main">
                    <a:graphicData uri="http://schemas.openxmlformats.org/drawingml/2006/picture">
                      <wps:wsp>
                        <wps:cNvSpPr/>
                        <wps:spPr>
                          <a:xfrm>
                            <a:off x="0" y="0"/>
                            <a:ext cx="0" cy="264795"/>
                          </a:xfrm>
                          <a:prstGeom prst="straightConnector1">
                            <a:avLst/>
                          </a:prstGeom>
                          <a:ln w="12700">
                            <a:solidFill>
                              <a:prstClr val="white"/>
                            </a:solidFill>
                          </a:ln>
                        </wps:spPr>
                        <wps:bodyPr rot="0" vert="horz" wrap="square" lIns="91440" tIns="45720" rIns="91440" bIns="45720" anchor="t" anchorCtr="0"/>
                      </wps:wsp>
                    </a:graphicData>
                  </a:graphic>
                </wp:anchor>
              </w:drawing>
            </w:r>
            <w:r>
              <w:rPr>
                <w:b w:val="1"/>
                <w:color w:val="auto"/>
                <w:sz w:val="24"/>
                <w:bCs/>
                <w:rFonts w:eastAsiaTheme="minorEastAsia"/>
              </w:rPr>
              <w:drawing>
                <wp:inline distT="0" distB="0" distL="0" distR="0">
                  <wp:extent cx="5200650" cy="1400175"/>
                  <wp:effectExtent l="19050" t="0" r="0" b="0"/>
                  <wp:docPr id="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10" cstate="print"/>
                          <a:srcRect/>
                          <a:stretch>
                            <a:fillRect/>
                          </a:stretch>
                        </pic:blipFill>
                        <pic:spPr>
                          <a:xfrm>
                            <a:off x="0" y="0"/>
                            <a:ext cx="5200650" cy="1400175"/>
                          </a:xfrm>
                          <a:prstGeom prst="rect">
                            <a:avLst/>
                          </a:prstGeom>
                          <a:noFill/>
                          <a:ln w="9525">
                            <a:noFill/>
                            <a:miter lim="800000"/>
                          </a:ln>
                        </pic:spPr>
                      </pic:pic>
                    </a:graphicData>
                  </a:graphic>
                </wp:inline>
              </w:drawing>
            </w:r>
          </w:p>
          <w:p w14:paraId="055F98F8">
            <w:pPr>
              <w:jc w:val="center"/>
              <w:contextualSpacing/>
              <w:spacing w:line="360" w:lineRule="auto"/>
              <w:rPr>
                <w:b w:val="1"/>
                <w:color w:val="auto"/>
                <w:sz w:val="24"/>
                <w:bCs/>
                <w:rFonts w:eastAsiaTheme="minorEastAsia"/>
              </w:rPr>
            </w:pPr>
            <w:r>
              <w:rPr>
                <w:b w:val="1"/>
                <w:color w:val="auto"/>
                <w:sz w:val="24"/>
                <w:bCs/>
                <w:rFonts w:hint="eastAsia" w:eastAsiaTheme="minorEastAsia"/>
              </w:rPr>
              <w:t>图</w:t>
            </w:r>
            <w:r>
              <w:rPr>
                <w:b w:val="1"/>
                <w:color w:val="auto"/>
                <w:sz w:val="24"/>
                <w:bCs/>
                <w:rFonts w:eastAsiaTheme="minorEastAsia"/>
              </w:rPr>
              <w:t>2-</w:t>
            </w:r>
            <w:r>
              <w:rPr>
                <w:b w:val="1"/>
                <w:color w:val="auto"/>
                <w:sz w:val="24"/>
                <w:lang w:val="en-US" w:eastAsia="zh-CN"/>
                <w:bCs/>
                <w:rFonts w:hint="eastAsia" w:eastAsiaTheme="minorEastAsia"/>
              </w:rPr>
              <w:t>2</w:t>
            </w:r>
            <w:r>
              <w:rPr>
                <w:b w:val="1"/>
                <w:color w:val="auto"/>
                <w:sz w:val="24"/>
                <w:bCs/>
                <w:rFonts w:eastAsiaTheme="minorEastAsia"/>
              </w:rPr>
              <w:t xml:space="preserve"> </w:t>
            </w:r>
            <w:r>
              <w:rPr>
                <w:b w:val="1"/>
                <w:color w:val="auto"/>
                <w:sz w:val="24"/>
                <w:bCs/>
                <w:rFonts w:hint="eastAsia" w:eastAsiaTheme="minorEastAsia"/>
              </w:rPr>
              <w:t>施工期</w:t>
            </w:r>
            <w:r>
              <w:rPr>
                <w:b w:val="1"/>
                <w:color w:val="auto"/>
                <w:sz w:val="24"/>
                <w:rFonts w:hint="eastAsia" w:eastAsiaTheme="minorEastAsia"/>
              </w:rPr>
              <w:t>工艺流程及产污节点</w:t>
            </w:r>
          </w:p>
          <w:p w14:paraId="3254CCFF">
            <w:pPr>
              <w:contextualSpacing/>
              <w:spacing w:line="360" w:lineRule="auto"/>
              <w:ind w:firstLine="482" w:firstLineChars="200"/>
              <w:rPr>
                <w:b w:val="1"/>
                <w:color w:val="auto"/>
                <w:sz w:val="24"/>
                <w:rFonts w:eastAsiaTheme="minorEastAsia"/>
              </w:rPr>
            </w:pPr>
            <w:r>
              <w:rPr>
                <w:b w:val="1"/>
                <w:color w:val="auto"/>
                <w:sz w:val="24"/>
                <w:rFonts w:eastAsiaTheme="minorEastAsia"/>
              </w:rPr>
              <w:t>1</w:t>
            </w:r>
            <w:r>
              <w:rPr>
                <w:b w:val="1"/>
                <w:color w:val="auto"/>
                <w:sz w:val="24"/>
                <w:rFonts w:hint="eastAsia" w:eastAsiaTheme="minorEastAsia"/>
              </w:rPr>
              <w:t>、环境空气</w:t>
            </w:r>
          </w:p>
          <w:p w14:paraId="5C696348">
            <w:pPr>
              <w:contextualSpacing/>
              <w:spacing w:line="360" w:lineRule="auto"/>
              <w:ind w:firstLine="480" w:firstLineChars="200"/>
              <w:rPr>
                <w:color w:val="auto"/>
                <w:sz w:val="24"/>
                <w:rFonts w:eastAsiaTheme="minorEastAsia"/>
              </w:rPr>
            </w:pPr>
            <w:r>
              <w:rPr>
                <w:color w:val="auto"/>
                <w:sz w:val="24"/>
                <w:rFonts w:hint="eastAsia" w:eastAsiaTheme="minorEastAsia"/>
              </w:rPr>
              <w:t>本项目建设施工过程中，各种燃油动力机械和运输车辆排放的废气；挖土、运土、填土、夯实和汽车运输过程的扬尘，都将会造成周围环境的大气污染。污染大气的主要因素是</w:t>
            </w:r>
            <w:r>
              <w:rPr>
                <w:color w:val="auto"/>
                <w:sz w:val="24"/>
                <w:rFonts w:eastAsiaTheme="minorEastAsia"/>
              </w:rPr>
              <w:t>NO</w:t>
            </w:r>
            <w:r>
              <w:rPr>
                <w:vertAlign w:val="subscript"/>
                <w:color w:val="auto"/>
                <w:sz w:val="24"/>
                <w:rFonts w:eastAsiaTheme="minorEastAsia"/>
              </w:rPr>
              <w:t>2</w:t>
            </w:r>
            <w:r>
              <w:rPr>
                <w:color w:val="auto"/>
                <w:sz w:val="24"/>
                <w:rFonts w:hint="eastAsia" w:eastAsiaTheme="minorEastAsia"/>
              </w:rPr>
              <w:t>、</w:t>
            </w:r>
            <w:r>
              <w:rPr>
                <w:color w:val="auto"/>
                <w:sz w:val="24"/>
                <w:rFonts w:eastAsiaTheme="minorEastAsia"/>
              </w:rPr>
              <w:t>CO</w:t>
            </w:r>
            <w:r>
              <w:rPr>
                <w:color w:val="auto"/>
                <w:sz w:val="24"/>
                <w:rFonts w:hint="eastAsia" w:eastAsiaTheme="minorEastAsia"/>
              </w:rPr>
              <w:t>、</w:t>
            </w:r>
            <w:r>
              <w:rPr>
                <w:color w:val="auto"/>
                <w:sz w:val="24"/>
                <w:rFonts w:eastAsiaTheme="minorEastAsia"/>
              </w:rPr>
              <w:t>SO</w:t>
            </w:r>
            <w:r>
              <w:rPr>
                <w:vertAlign w:val="subscript"/>
                <w:color w:val="auto"/>
                <w:sz w:val="24"/>
                <w:rFonts w:eastAsiaTheme="minorEastAsia"/>
              </w:rPr>
              <w:t>2</w:t>
            </w:r>
            <w:r>
              <w:rPr>
                <w:color w:val="auto"/>
                <w:sz w:val="24"/>
                <w:rFonts w:hint="eastAsia" w:eastAsiaTheme="minorEastAsia"/>
              </w:rPr>
              <w:t>和粉尘。</w:t>
            </w:r>
          </w:p>
          <w:p w14:paraId="3FCDE297">
            <w:pPr>
              <w:contextualSpacing/>
              <w:spacing w:line="360" w:lineRule="auto"/>
              <w:ind w:firstLine="482" w:firstLineChars="200"/>
              <w:rPr>
                <w:b w:val="1"/>
                <w:color w:val="auto"/>
                <w:sz w:val="24"/>
                <w:rFonts w:eastAsiaTheme="minorEastAsia"/>
              </w:rPr>
            </w:pPr>
            <w:r>
              <w:rPr>
                <w:b w:val="1"/>
                <w:color w:val="auto"/>
                <w:sz w:val="24"/>
                <w:rFonts w:eastAsiaTheme="minorEastAsia"/>
              </w:rPr>
              <w:t>2</w:t>
            </w:r>
            <w:r>
              <w:rPr>
                <w:b w:val="1"/>
                <w:color w:val="auto"/>
                <w:sz w:val="24"/>
                <w:rFonts w:hint="eastAsia" w:eastAsiaTheme="minorEastAsia"/>
              </w:rPr>
              <w:t>、水环境</w:t>
            </w:r>
          </w:p>
          <w:p w14:paraId="1ABD3BC8">
            <w:pPr>
              <w:contextualSpacing/>
              <w:spacing w:line="360" w:lineRule="auto"/>
              <w:ind w:firstLine="480" w:firstLineChars="200"/>
              <w:rPr>
                <w:color w:val="auto"/>
                <w:sz w:val="24"/>
                <w:rFonts w:eastAsiaTheme="minorEastAsia"/>
              </w:rPr>
            </w:pPr>
            <w:r>
              <w:rPr>
                <w:color w:val="auto"/>
                <w:sz w:val="24"/>
                <w:rFonts w:hint="eastAsia" w:eastAsiaTheme="minorEastAsia"/>
              </w:rPr>
              <w:t>施工期的废水主要为施工人员的生活污水和施工废水。施工人员</w:t>
            </w:r>
            <w:r>
              <w:rPr>
                <w:color w:val="auto"/>
                <w:sz w:val="24"/>
                <w:rFonts w:eastAsiaTheme="minorEastAsia"/>
              </w:rPr>
              <w:t>1</w:t>
            </w:r>
            <w:r>
              <w:rPr>
                <w:color w:val="auto"/>
                <w:sz w:val="24"/>
                <w:rFonts w:hint="eastAsia" w:eastAsiaTheme="minorEastAsia"/>
              </w:rPr>
              <w:t>5人，产生生活污水约为</w:t>
            </w:r>
            <w:r>
              <w:rPr>
                <w:color w:val="auto"/>
                <w:sz w:val="24"/>
                <w:rFonts w:eastAsiaTheme="minorEastAsia"/>
              </w:rPr>
              <w:t>0.</w:t>
            </w:r>
            <w:r>
              <w:rPr>
                <w:color w:val="auto"/>
                <w:sz w:val="24"/>
                <w:rFonts w:hint="eastAsia" w:eastAsiaTheme="minorEastAsia"/>
              </w:rPr>
              <w:t>96</w:t>
            </w:r>
            <w:r>
              <w:rPr>
                <w:color w:val="auto"/>
                <w:sz w:val="24"/>
                <w:rFonts w:eastAsiaTheme="minorEastAsia"/>
              </w:rPr>
              <w:t>t/d</w:t>
            </w:r>
            <w:r>
              <w:rPr>
                <w:color w:val="auto"/>
                <w:sz w:val="24"/>
                <w:rFonts w:hint="eastAsia" w:eastAsiaTheme="minorEastAsia"/>
              </w:rPr>
              <w:t>，生活污水排入防渗旱厕，定期清掏，外运堆肥，不外排。施工废水产生量约为</w:t>
            </w:r>
            <w:r>
              <w:rPr>
                <w:color w:val="auto"/>
                <w:sz w:val="24"/>
                <w:rFonts w:eastAsiaTheme="minorEastAsia"/>
              </w:rPr>
              <w:t>0.</w:t>
            </w:r>
            <w:r>
              <w:rPr>
                <w:color w:val="auto"/>
                <w:sz w:val="24"/>
                <w:rFonts w:hint="eastAsia" w:eastAsiaTheme="minorEastAsia"/>
              </w:rPr>
              <w:t>5</w:t>
            </w:r>
            <w:r>
              <w:rPr>
                <w:color w:val="auto"/>
                <w:sz w:val="24"/>
                <w:rFonts w:eastAsiaTheme="minorEastAsia"/>
              </w:rPr>
              <w:t>t/d</w:t>
            </w:r>
            <w:r>
              <w:rPr>
                <w:color w:val="auto"/>
                <w:sz w:val="24"/>
                <w:rFonts w:hint="eastAsia" w:eastAsiaTheme="minorEastAsia"/>
              </w:rPr>
              <w:t>，经沉淀池沉淀后用于厂区降尘，不外排。</w:t>
            </w:r>
          </w:p>
          <w:p w14:paraId="6B7B6CDE">
            <w:pPr>
              <w:contextualSpacing/>
              <w:spacing w:line="360" w:lineRule="auto"/>
              <w:ind w:firstLine="482" w:firstLineChars="200"/>
              <w:rPr>
                <w:b w:val="1"/>
                <w:color w:val="auto"/>
                <w:sz w:val="24"/>
                <w:rFonts w:eastAsiaTheme="minorEastAsia"/>
              </w:rPr>
            </w:pPr>
            <w:r>
              <w:rPr>
                <w:b w:val="1"/>
                <w:color w:val="auto"/>
                <w:sz w:val="24"/>
                <w:rFonts w:eastAsiaTheme="minorEastAsia"/>
              </w:rPr>
              <w:t>3</w:t>
            </w:r>
            <w:r>
              <w:rPr>
                <w:b w:val="1"/>
                <w:color w:val="auto"/>
                <w:sz w:val="24"/>
                <w:rFonts w:hint="eastAsia" w:eastAsiaTheme="minorEastAsia"/>
              </w:rPr>
              <w:t>、噪声</w:t>
            </w:r>
          </w:p>
          <w:p w14:paraId="0B536F65">
            <w:pPr>
              <w:contextualSpacing/>
              <w:spacing w:line="360" w:lineRule="auto"/>
              <w:ind w:firstLine="480" w:firstLineChars="200"/>
              <w:rPr>
                <w:color w:val="auto"/>
                <w:sz w:val="24"/>
                <w:rFonts w:eastAsiaTheme="minorEastAsia"/>
              </w:rPr>
            </w:pPr>
            <w:r>
              <w:rPr>
                <w:color w:val="auto"/>
                <w:sz w:val="24"/>
                <w:rFonts w:hint="eastAsia" w:eastAsiaTheme="minorEastAsia"/>
              </w:rPr>
              <w:t>施工期噪声主要来自各类施工机械及运输车辆，在</w:t>
            </w:r>
            <w:r>
              <w:rPr>
                <w:color w:val="auto"/>
                <w:sz w:val="24"/>
                <w:rFonts w:eastAsiaTheme="minorEastAsia"/>
              </w:rPr>
              <w:t>5</w:t>
            </w:r>
            <w:r>
              <w:rPr>
                <w:color w:val="auto"/>
                <w:sz w:val="24"/>
                <w:rFonts w:hint="eastAsia" w:eastAsiaTheme="minorEastAsia"/>
              </w:rPr>
              <w:t>米范围内一般为</w:t>
            </w:r>
            <w:r>
              <w:rPr>
                <w:color w:val="auto"/>
                <w:sz w:val="24"/>
                <w:rFonts w:eastAsiaTheme="minorEastAsia"/>
              </w:rPr>
              <w:t>70—90dB(A)</w:t>
            </w:r>
            <w:r>
              <w:rPr>
                <w:color w:val="auto"/>
                <w:sz w:val="24"/>
                <w:rFonts w:hint="eastAsia" w:eastAsiaTheme="minorEastAsia"/>
              </w:rPr>
              <w:t>，施工期间会对周围环境产生一定的影响。</w:t>
            </w:r>
          </w:p>
          <w:p w14:paraId="7A449CED">
            <w:pPr>
              <w:contextualSpacing/>
              <w:spacing w:line="360" w:lineRule="auto"/>
              <w:ind w:firstLine="482" w:firstLineChars="200"/>
              <w:rPr>
                <w:b w:val="1"/>
                <w:color w:val="auto"/>
                <w:sz w:val="24"/>
                <w:rFonts w:eastAsiaTheme="minorEastAsia"/>
              </w:rPr>
            </w:pPr>
            <w:r>
              <w:rPr>
                <w:b w:val="1"/>
                <w:color w:val="auto"/>
                <w:sz w:val="24"/>
                <w:rFonts w:eastAsiaTheme="minorEastAsia"/>
              </w:rPr>
              <w:t>4</w:t>
            </w:r>
            <w:r>
              <w:rPr>
                <w:b w:val="1"/>
                <w:color w:val="auto"/>
                <w:sz w:val="24"/>
                <w:rFonts w:hint="eastAsia" w:eastAsiaTheme="minorEastAsia"/>
              </w:rPr>
              <w:t>、固体废物</w:t>
            </w:r>
          </w:p>
          <w:p w14:paraId="3146AE4A">
            <w:pPr>
              <w:contextualSpacing/>
              <w:spacing w:line="360" w:lineRule="auto"/>
              <w:ind w:firstLine="480" w:firstLineChars="200"/>
              <w:rPr>
                <w:b w:val="1"/>
                <w:color w:val="auto"/>
                <w:sz w:val="28"/>
                <w:bCs/>
              </w:rPr>
            </w:pPr>
            <w:r>
              <w:rPr>
                <w:color w:val="auto"/>
                <w:sz w:val="24"/>
                <w:rFonts w:hint="eastAsia" w:eastAsiaTheme="minorEastAsia"/>
              </w:rPr>
              <w:t>施工残土、建筑垃圾为主要固体废物，及时清运，并按市政部门指定地点堆放。运输车辆加盖遮挡，防止产生二次扬尘。生活垃圾统一收集后由市政统一处理。</w:t>
            </w:r>
          </w:p>
          <w:p w14:paraId="403EB76B">
            <w:pPr>
              <w:contextualSpacing/>
              <w:spacing w:line="360" w:lineRule="auto"/>
              <w:rPr>
                <w:b w:val="1"/>
                <w:color w:val="auto"/>
                <w:sz w:val="28"/>
                <w:bCs/>
              </w:rPr>
            </w:pPr>
            <w:r>
              <w:rPr>
                <w:b w:val="1"/>
                <w:color w:val="auto"/>
                <w:sz w:val="28"/>
                <w:bCs/>
              </w:rPr>
              <w:t>营运期工程分析</w:t>
            </w:r>
          </w:p>
          <w:p w14:paraId="182003F3">
            <w:pPr>
              <w:contextualSpacing/>
              <w:spacing w:line="360" w:lineRule="auto"/>
              <w:ind w:firstLine="482" w:firstLineChars="200"/>
              <w:rPr>
                <w:b w:val="1"/>
                <w:color w:val="auto"/>
                <w:sz w:val="24"/>
                <w:bCs/>
              </w:rPr>
            </w:pPr>
            <w:r>
              <w:rPr>
                <w:b w:val="1"/>
                <w:color w:val="auto"/>
                <w:sz w:val="24"/>
                <w:bCs/>
              </w:rPr>
              <w:t>1、运营期生产工艺流程</w:t>
            </w:r>
          </w:p>
          <w:p w14:paraId="052FC425">
            <w:pPr>
              <w:jc w:val="center"/>
              <w:contextualSpacing/>
              <w:spacing w:line="360" w:lineRule="auto"/>
              <w:rPr>
                <w:b w:val="1"/>
                <w:color w:val="auto"/>
                <w:sz w:val="24"/>
                <w:bCs/>
              </w:rPr>
            </w:pPr>
            <w:r>
              <w:rPr>
                <w:b w:val="1"/>
                <w:color w:val="auto"/>
                <w:sz w:val="24"/>
                <w:rFonts w:eastAsiaTheme="minorEastAsia"/>
              </w:rPr>
              <w:drawing>
                <wp:anchor distT="0" distB="0" distL="0" distR="0" relativeHeight="251661312" behindDoc="0" allowOverlap="1" locked="0" layoutInCell="1" simplePos="0">
                  <wp:simplePos x="0" y="0"/>
                  <wp:positionH relativeFrom="column">
                    <wp:posOffset>-172085</wp:posOffset>
                  </wp:positionH>
                  <wp:positionV relativeFrom="paragraph">
                    <wp:posOffset>3112135</wp:posOffset>
                  </wp:positionV>
                  <wp:extent cx="822325" cy="694055"/>
                  <wp:wrapNone/>
                  <wp:docPr id="5" name="_x0000_s2070"/>
                  <a:graphic xmlns:a="http://schemas.openxmlformats.org/drawingml/2006/main">
                    <a:graphicData uri="http://schemas.openxmlformats.org/drawingml/2006/picture">
                      <wps:wsp>
                        <wps:cNvSpPr/>
                        <wps:spPr>
                          <a:xfrm>
                            <a:off x="0" y="0"/>
                            <a:ext cx="822325" cy="694055"/>
                          </a:xfrm>
                          <a:prstGeom prst="rect">
                            <a:avLst/>
                          </a:prstGeom>
                          <a:solidFill>
                            <a:prstClr val="white"/>
                          </a:solidFill>
                        </wps:spPr>
                        <wps:txbx>
                          <w:txbxContent>
                            <w:p w14:paraId="3C0B82FD">
                              <w:pPr>
                                <w:rPr>
                                  <w:color w:val="FF0000"/>
                                  <w:szCs w:val="21"/>
                                </w:rPr>
                              </w:pPr>
                              <w:r>
                                <w:rPr>
                                  <w:color w:val="FF0000"/>
                                  <w:szCs w:val="21"/>
                                  <w:rFonts w:hint="eastAsia"/>
                                </w:rPr>
                                <w:t>沥青烟、</w:t>
                              </w:r>
                              <w:r>
                                <w:rPr>
                                  <w:color w:val="FF0000"/>
                                  <w:szCs w:val="21"/>
                                  <w:rFonts w:hint="eastAsia" w:eastAsiaTheme="minorEastAsia"/>
                                </w:rPr>
                                <w:t>苯并[a]芘、非甲烷总烃</w:t>
                              </w:r>
                            </w:p>
                          </w:txbxContent>
                        </wps:txbx>
                        <wps:bodyPr rot="0" vert="horz" wrap="square" lIns="91440" tIns="45720" rIns="91440" bIns="45720" anchor="t" anchorCtr="0"/>
                      </wps:wsp>
                    </a:graphicData>
                  </a:graphic>
                </wp:anchor>
              </w:drawing>
            </w:r>
            <w:r>
              <w:rPr>
                <w:b w:val="1"/>
                <w:color w:val="auto"/>
                <w:sz w:val="24"/>
                <w:rFonts w:eastAsiaTheme="minorEastAsia"/>
              </w:rPr>
              <w:drawing>
                <wp:inline distT="0" distB="0" distL="0" distR="0">
                  <wp:extent cx="5789930" cy="5297170"/>
                  <wp:docPr id="6" name="docshapegroup"/>
                  <a:graphic xmlns:a="http://schemas.openxmlformats.org/drawingml/2006/main">
                    <a:graphicData uri="http://schemas.microsoft.com/office/word/2010/wordprocessingGroup">
                      <wpg:wgp>
                        <wpg:cNvGrpSpPr/>
                        <wpg:grpSpPr>
                          <a:xfrm>
                            <a:off x="0" y="0"/>
                            <a:ext cx="5789930" cy="5297170"/>
                            <a:chOff x="14287500" y="34251900"/>
                            <a:chExt cx="86848952" cy="79457552"/>
                          </a:xfrm>
                        </wpg:grpSpPr>
                        <wps:wsp>
                          <wps:cNvSpPr/>
                          <wps:spPr>
                            <a:xfrm>
                              <a:off x="14287500" y="34251900"/>
                              <a:ext cx="86848952" cy="79457552"/>
                            </a:xfrm>
                            <a:prstGeom prst="rect">
                              <a:avLst/>
                            </a:prstGeom>
                            <a:solidFill>
                              <a:prstClr val="white"/>
                            </a:solidFill>
                            <a:ln w="12700">
                              <a:solidFill>
                                <a:prstClr val="white"/>
                              </a:solidFill>
                            </a:ln>
                          </wps:spPr>
                          <wps:bodyPr rot="0" vert="horz" wrap="square" lIns="91440" tIns="45720" rIns="91440" bIns="45720" anchor="t" anchorCtr="0"/>
                        </wps:wsp>
                        <wps:wsp>
                          <wps:cNvSpPr/>
                          <wps:spPr>
                            <a:xfrm>
                              <a:off x="48768000" y="52873276"/>
                              <a:ext cx="16554450" cy="4524375"/>
                            </a:xfrm>
                            <a:prstGeom prst="rect">
                              <a:avLst/>
                            </a:prstGeom>
                            <a:solidFill>
                              <a:prstClr val="white"/>
                            </a:solidFill>
                            <a:ln w="12700">
                              <a:solidFill>
                                <a:prstClr val="white"/>
                              </a:solidFill>
                            </a:ln>
                          </wps:spPr>
                          <wps:txbx>
                            <w:txbxContent>
                              <w:p w14:paraId="66AA69D7">
                                <w:r>
                                  <w:rPr>
                                    <w:rFonts w:hint="eastAsia"/>
                                  </w:rPr>
                                  <w:t>冷料密闭输送</w:t>
                                </w:r>
                              </w:p>
                            </w:txbxContent>
                          </wps:txbx>
                          <wps:bodyPr rot="0" vert="horz" wrap="square" lIns="91440" tIns="45720" rIns="91440" bIns="45720" anchor="t" anchorCtr="0"/>
                        </wps:wsp>
                        <wps:wsp>
                          <wps:cNvSpPr/>
                          <wps:spPr>
                            <a:xfrm>
                              <a:off x="50711100" y="61426724"/>
                              <a:ext cx="12553950" cy="4524375"/>
                            </a:xfrm>
                            <a:prstGeom prst="rect">
                              <a:avLst/>
                            </a:prstGeom>
                            <a:solidFill>
                              <a:prstClr val="white"/>
                            </a:solidFill>
                            <a:ln w="12700">
                              <a:solidFill>
                                <a:prstClr val="white"/>
                              </a:solidFill>
                            </a:ln>
                          </wps:spPr>
                          <wps:txbx>
                            <w:txbxContent>
                              <w:p w14:paraId="54B284E5">
                                <w:pPr>
                                  <w:jc w:val="center"/>
                                </w:pPr>
                                <w:r>
                                  <w:rPr>
                                    <w:rFonts w:hint="eastAsia"/>
                                  </w:rPr>
                                  <w:t>烘干</w:t>
                                </w:r>
                              </w:p>
                            </w:txbxContent>
                          </wps:txbx>
                          <wps:bodyPr rot="0" vert="horz" wrap="square" lIns="91440" tIns="45720" rIns="91440" bIns="45720" anchor="t" anchorCtr="0"/>
                        </wps:wsp>
                        <wps:wsp>
                          <wps:cNvSpPr/>
                          <wps:spPr>
                            <a:xfrm>
                              <a:off x="51092100" y="87410928"/>
                              <a:ext cx="11696700" cy="4533900"/>
                            </a:xfrm>
                            <a:prstGeom prst="rect">
                              <a:avLst/>
                            </a:prstGeom>
                            <a:solidFill>
                              <a:prstClr val="white"/>
                            </a:solidFill>
                            <a:ln w="12700">
                              <a:solidFill>
                                <a:prstClr val="white"/>
                              </a:solidFill>
                            </a:ln>
                          </wps:spPr>
                          <wps:txbx>
                            <w:txbxContent>
                              <w:p w14:paraId="281A501C">
                                <w:pPr>
                                  <w:jc w:val="center"/>
                                </w:pPr>
                                <w:r>
                                  <w:rPr>
                                    <w:rFonts w:hint="eastAsia"/>
                                  </w:rPr>
                                  <w:t>密闭计量</w:t>
                                </w:r>
                              </w:p>
                              <w:p w14:paraId="555337A3"/>
                            </w:txbxContent>
                          </wps:txbx>
                          <wps:bodyPr rot="0" vert="horz" wrap="square" lIns="91440" tIns="45720" rIns="91440" bIns="45720" anchor="t" anchorCtr="0"/>
                        </wps:wsp>
                        <wps:wsp>
                          <wps:cNvSpPr/>
                          <wps:spPr>
                            <a:xfrm>
                              <a:off x="66303524" y="60217048"/>
                              <a:ext cx="8782050" cy="9525"/>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50596800" y="95859600"/>
                              <a:ext cx="12725400" cy="4533900"/>
                            </a:xfrm>
                            <a:prstGeom prst="rect">
                              <a:avLst/>
                            </a:prstGeom>
                            <a:solidFill>
                              <a:prstClr val="white"/>
                            </a:solidFill>
                            <a:ln w="12700">
                              <a:solidFill>
                                <a:prstClr val="white"/>
                              </a:solidFill>
                            </a:ln>
                          </wps:spPr>
                          <wps:txbx>
                            <w:txbxContent>
                              <w:p w14:paraId="5A277EA3">
                                <w:pPr>
                                  <w:jc w:val="center"/>
                                </w:pPr>
                                <w:r>
                                  <w:rPr>
                                    <w:rFonts w:hint="eastAsia"/>
                                  </w:rPr>
                                  <w:t>密闭搅拌</w:t>
                                </w:r>
                              </w:p>
                              <w:p w14:paraId="6DC28344"/>
                            </w:txbxContent>
                          </wps:txbx>
                          <wps:bodyPr rot="0" vert="horz" wrap="square" lIns="91440" tIns="45720" rIns="91440" bIns="45720" anchor="t" anchorCtr="0"/>
                        </wps:wsp>
                        <wps:wsp>
                          <wps:cNvSpPr/>
                          <wps:spPr>
                            <a:xfrm flipH="1">
                              <a:off x="56988076" y="57397648"/>
                              <a:ext cx="57150" cy="40290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47282100" y="43005376"/>
                              <a:ext cx="19021424" cy="34423352"/>
                            </a:xfrm>
                            <a:prstGeom prst="rect">
                              <a:avLst/>
                            </a:prstGeom>
                            <a:ln w="12700">
                              <a:solidFill>
                                <a:srgbClr val="000000"/>
                              </a:solidFill>
                              <a:prstDash val="dash"/>
                            </a:ln>
                          </wps:spPr>
                          <wps:bodyPr rot="0" vert="horz" wrap="square" lIns="91440" tIns="45720" rIns="91440" bIns="45720" anchor="t" anchorCtr="0"/>
                        </wps:wsp>
                        <wps:wsp>
                          <wps:cNvSpPr/>
                          <wps:spPr>
                            <a:xfrm>
                              <a:off x="50711100" y="79067024"/>
                              <a:ext cx="12553950" cy="4524375"/>
                            </a:xfrm>
                            <a:prstGeom prst="rect">
                              <a:avLst/>
                            </a:prstGeom>
                            <a:solidFill>
                              <a:prstClr val="white"/>
                            </a:solidFill>
                            <a:ln w="12700">
                              <a:solidFill>
                                <a:prstClr val="white"/>
                              </a:solidFill>
                            </a:ln>
                          </wps:spPr>
                          <wps:txbx>
                            <w:txbxContent>
                              <w:p w14:paraId="690E1B55">
                                <w:pPr>
                                  <w:ind w:firstLine="210" w:firstLineChars="100"/>
                                </w:pPr>
                                <w:r>
                                  <w:rPr>
                                    <w:rFonts w:hint="eastAsia"/>
                                  </w:rPr>
                                  <w:t>热料仓</w:t>
                                </w:r>
                              </w:p>
                              <w:p w14:paraId="2A94B6AF"/>
                            </w:txbxContent>
                          </wps:txbx>
                          <wps:bodyPr rot="0" vert="horz" wrap="square" lIns="91440" tIns="45720" rIns="91440" bIns="45720" anchor="t" anchorCtr="0"/>
                        </wps:wsp>
                        <wps:wsp>
                          <wps:cNvSpPr/>
                          <wps:spPr>
                            <a:xfrm>
                              <a:off x="50711100" y="70446896"/>
                              <a:ext cx="12553950" cy="4524375"/>
                            </a:xfrm>
                            <a:prstGeom prst="rect">
                              <a:avLst/>
                            </a:prstGeom>
                            <a:solidFill>
                              <a:prstClr val="white"/>
                            </a:solidFill>
                            <a:ln w="12700">
                              <a:solidFill>
                                <a:prstClr val="white"/>
                              </a:solidFill>
                            </a:ln>
                          </wps:spPr>
                          <wps:txbx>
                            <w:txbxContent>
                              <w:p w14:paraId="1B123F00">
                                <w:pPr>
                                  <w:jc w:val="center"/>
                                </w:pPr>
                                <w:r>
                                  <w:rPr>
                                    <w:rFonts w:hint="eastAsia"/>
                                  </w:rPr>
                                  <w:t>热料筛分</w:t>
                                </w:r>
                              </w:p>
                              <w:p w14:paraId="03DA876A"/>
                            </w:txbxContent>
                          </wps:txbx>
                          <wps:bodyPr rot="0" vert="horz" wrap="square" lIns="91440" tIns="45720" rIns="91440" bIns="45720" anchor="t" anchorCtr="0"/>
                        </wps:wsp>
                        <wps:wsp>
                          <wps:cNvSpPr/>
                          <wps:spPr>
                            <a:xfrm>
                              <a:off x="56978552" y="65951100"/>
                              <a:ext cx="9525" cy="4495800"/>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56988076" y="74971272"/>
                              <a:ext cx="9525" cy="4095750"/>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flipH="1">
                              <a:off x="56940448" y="83591400"/>
                              <a:ext cx="114300" cy="381952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34232848" y="90687528"/>
                              <a:ext cx="9525" cy="51720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88372952" y="86829904"/>
                              <a:ext cx="7896225" cy="4524375"/>
                            </a:xfrm>
                            <a:prstGeom prst="rect">
                              <a:avLst/>
                            </a:prstGeom>
                            <a:solidFill>
                              <a:prstClr val="white"/>
                            </a:solidFill>
                          </wps:spPr>
                          <wps:txbx>
                            <w:txbxContent>
                              <w:p w14:paraId="7167E669">
                                <w:r>
                                  <w:rPr>
                                    <w:rFonts w:hint="eastAsia"/>
                                  </w:rPr>
                                  <w:t>噪声</w:t>
                                </w:r>
                              </w:p>
                            </w:txbxContent>
                          </wps:txbx>
                          <wps:bodyPr rot="0" vert="horz" wrap="square" lIns="91440" tIns="45720" rIns="91440" bIns="45720" anchor="t" anchorCtr="0"/>
                        </wps:wsp>
                        <wps:wsp>
                          <wps:cNvSpPr/>
                          <wps:spPr>
                            <a:xfrm>
                              <a:off x="56940448" y="91944824"/>
                              <a:ext cx="19050" cy="39147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51092100" y="44615100"/>
                              <a:ext cx="11696700" cy="4524375"/>
                            </a:xfrm>
                            <a:prstGeom prst="rect">
                              <a:avLst/>
                            </a:prstGeom>
                            <a:solidFill>
                              <a:prstClr val="white"/>
                            </a:solidFill>
                            <a:ln w="12700">
                              <a:solidFill>
                                <a:prstClr val="white"/>
                              </a:solidFill>
                            </a:ln>
                          </wps:spPr>
                          <wps:txbx>
                            <w:txbxContent>
                              <w:p w14:paraId="455563C7">
                                <w:pPr>
                                  <w:jc w:val="center"/>
                                </w:pPr>
                                <w:r>
                                  <w:rPr>
                                    <w:rFonts w:hint="eastAsia"/>
                                  </w:rPr>
                                  <w:t>投料</w:t>
                                </w:r>
                              </w:p>
                            </w:txbxContent>
                          </wps:txbx>
                          <wps:bodyPr rot="0" vert="horz" wrap="square" lIns="91440" tIns="45720" rIns="91440" bIns="45720" anchor="t" anchorCtr="0"/>
                        </wps:wsp>
                        <wps:wsp>
                          <wps:cNvSpPr/>
                          <wps:spPr>
                            <a:xfrm flipH="1">
                              <a:off x="56921400" y="49149000"/>
                              <a:ext cx="57150" cy="40290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flipH="1">
                              <a:off x="56864248" y="40586024"/>
                              <a:ext cx="57150" cy="40290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51092100" y="36061648"/>
                              <a:ext cx="11696700" cy="4524375"/>
                            </a:xfrm>
                            <a:prstGeom prst="rect">
                              <a:avLst/>
                            </a:prstGeom>
                            <a:solidFill>
                              <a:prstClr val="white"/>
                            </a:solidFill>
                            <a:ln w="12700">
                              <a:solidFill>
                                <a:prstClr val="white"/>
                              </a:solidFill>
                            </a:ln>
                          </wps:spPr>
                          <wps:txbx>
                            <w:txbxContent>
                              <w:p w14:paraId="6138595C">
                                <w:pPr>
                                  <w:ind w:firstLine="210" w:firstLineChars="100"/>
                                </w:pPr>
                                <w:r>
                                  <w:rPr>
                                    <w:rFonts w:hint="eastAsia"/>
                                  </w:rPr>
                                  <w:t>骨料</w:t>
                                </w:r>
                              </w:p>
                            </w:txbxContent>
                          </wps:txbx>
                          <wps:bodyPr rot="0" vert="horz" wrap="square" lIns="91440" tIns="45720" rIns="91440" bIns="45720" anchor="t" anchorCtr="0"/>
                        </wps:wsp>
                        <wps:wsp>
                          <wps:cNvSpPr/>
                          <wps:spPr>
                            <a:xfrm>
                              <a:off x="56864248" y="100393504"/>
                              <a:ext cx="57150" cy="39147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27279600" y="96002472"/>
                              <a:ext cx="14306550" cy="4533900"/>
                            </a:xfrm>
                            <a:prstGeom prst="rect">
                              <a:avLst/>
                            </a:prstGeom>
                            <a:solidFill>
                              <a:prstClr val="white"/>
                            </a:solidFill>
                            <a:ln w="12700">
                              <a:solidFill>
                                <a:prstClr val="white"/>
                              </a:solidFill>
                            </a:ln>
                          </wps:spPr>
                          <wps:txbx>
                            <w:txbxContent>
                              <w:p w14:paraId="05321E5E">
                                <w:pPr>
                                  <w:jc w:val="center"/>
                                </w:pPr>
                                <w:r>
                                  <w:rPr>
                                    <w:rFonts w:hint="eastAsia"/>
                                  </w:rPr>
                                  <w:t>密闭计量</w:t>
                                </w:r>
                              </w:p>
                              <w:p w14:paraId="1F56334A"/>
                            </w:txbxContent>
                          </wps:txbx>
                          <wps:bodyPr rot="0" vert="horz" wrap="square" lIns="91440" tIns="45720" rIns="91440" bIns="45720" anchor="t" anchorCtr="0"/>
                        </wps:wsp>
                        <wps:wsp>
                          <wps:cNvSpPr/>
                          <wps:spPr>
                            <a:xfrm>
                              <a:off x="26708100" y="86153624"/>
                              <a:ext cx="14306550" cy="4533900"/>
                            </a:xfrm>
                            <a:prstGeom prst="rect">
                              <a:avLst/>
                            </a:prstGeom>
                            <a:solidFill>
                              <a:prstClr val="white"/>
                            </a:solidFill>
                            <a:ln w="12700">
                              <a:solidFill>
                                <a:prstClr val="white"/>
                              </a:solidFill>
                            </a:ln>
                          </wps:spPr>
                          <wps:txbx>
                            <w:txbxContent>
                              <w:p w14:paraId="0B20A3E0">
                                <w:pPr>
                                  <w:ind w:firstLine="210" w:firstLineChars="100"/>
                                </w:pPr>
                                <w:r>
                                  <w:rPr>
                                    <w:rFonts w:hint="eastAsia"/>
                                  </w:rPr>
                                  <w:t>沥青储罐</w:t>
                                </w:r>
                              </w:p>
                            </w:txbxContent>
                          </wps:txbx>
                          <wps:bodyPr rot="0" vert="horz" wrap="square" lIns="91440" tIns="45720" rIns="91440" bIns="45720" anchor="t" anchorCtr="0"/>
                        </wps:wsp>
                        <wps:wsp>
                          <wps:cNvSpPr/>
                          <wps:spPr>
                            <a:xfrm>
                              <a:off x="79476600" y="80933928"/>
                              <a:ext cx="9525" cy="51720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72237600" y="76685776"/>
                              <a:ext cx="14306550" cy="4533900"/>
                            </a:xfrm>
                            <a:prstGeom prst="rect">
                              <a:avLst/>
                            </a:prstGeom>
                            <a:solidFill>
                              <a:prstClr val="white"/>
                            </a:solidFill>
                            <a:ln w="12700">
                              <a:solidFill>
                                <a:prstClr val="white"/>
                              </a:solidFill>
                            </a:ln>
                          </wps:spPr>
                          <wps:txbx>
                            <w:txbxContent>
                              <w:p w14:paraId="0248C13E">
                                <w:pPr>
                                  <w:ind w:firstLine="210" w:firstLineChars="100"/>
                                </w:pPr>
                                <w:r>
                                  <w:rPr>
                                    <w:rFonts w:hint="eastAsia"/>
                                  </w:rPr>
                                  <w:t>矿粉筒仓</w:t>
                                </w:r>
                              </w:p>
                            </w:txbxContent>
                          </wps:txbx>
                          <wps:bodyPr rot="0" vert="horz" wrap="square" lIns="91440" tIns="45720" rIns="91440" bIns="45720" anchor="t" anchorCtr="0"/>
                        </wps:wsp>
                        <wps:wsp>
                          <wps:cNvSpPr/>
                          <wps:spPr>
                            <a:xfrm>
                              <a:off x="72085200" y="95859600"/>
                              <a:ext cx="14306550" cy="4533900"/>
                            </a:xfrm>
                            <a:prstGeom prst="rect">
                              <a:avLst/>
                            </a:prstGeom>
                            <a:solidFill>
                              <a:prstClr val="white"/>
                            </a:solidFill>
                            <a:ln w="12700">
                              <a:solidFill>
                                <a:prstClr val="white"/>
                              </a:solidFill>
                            </a:ln>
                          </wps:spPr>
                          <wps:txbx>
                            <w:txbxContent>
                              <w:p w14:paraId="355A98C2">
                                <w:pPr>
                                  <w:jc w:val="center"/>
                                </w:pPr>
                                <w:r>
                                  <w:rPr>
                                    <w:rFonts w:hint="eastAsia"/>
                                  </w:rPr>
                                  <w:t>密闭计量</w:t>
                                </w:r>
                              </w:p>
                              <w:p w14:paraId="0BD055F7"/>
                            </w:txbxContent>
                          </wps:txbx>
                          <wps:bodyPr rot="0" vert="horz" wrap="square" lIns="91440" tIns="45720" rIns="91440" bIns="45720" anchor="t" anchorCtr="0"/>
                        </wps:wsp>
                        <wps:wsp>
                          <wps:cNvSpPr/>
                          <wps:spPr>
                            <a:xfrm>
                              <a:off x="79629000" y="90687528"/>
                              <a:ext cx="9525" cy="5172075"/>
                            </a:xfrm>
                            <a:prstGeom prst="straightConnector1">
                              <a:avLst/>
                            </a:prstGeom>
                            <a:ln w="12700">
                              <a:solidFill>
                                <a:srgbClr val="000000"/>
                              </a:solidFill>
                              <a:tailEnd type="triangle" len="med" w="med"/>
                            </a:ln>
                          </wps:spPr>
                          <wps:bodyPr rot="0" vert="horz" wrap="square" lIns="91440" tIns="45720" rIns="91440" bIns="45720" anchor="t" anchorCtr="0"/>
                        </wps:wsp>
                        <wps:wsp>
                          <wps:cNvSpPr/>
                          <wps:spPr>
                            <a:xfrm>
                              <a:off x="72237600" y="86153624"/>
                              <a:ext cx="14297025" cy="4533900"/>
                            </a:xfrm>
                            <a:prstGeom prst="rect">
                              <a:avLst/>
                            </a:prstGeom>
                            <a:solidFill>
                              <a:prstClr val="white"/>
                            </a:solidFill>
                            <a:ln w="12700">
                              <a:solidFill>
                                <a:prstClr val="white"/>
                              </a:solidFill>
                            </a:ln>
                          </wps:spPr>
                          <wps:txbx>
                            <w:txbxContent>
                              <w:p w14:paraId="5C4028E4">
                                <w:pPr>
                                  <w:ind w:firstLine="210" w:firstLineChars="100"/>
                                </w:pPr>
                                <w:r>
                                  <w:rPr>
                                    <w:rFonts w:hint="eastAsia"/>
                                  </w:rPr>
                                  <w:t>密闭输送</w:t>
                                </w:r>
                              </w:p>
                              <w:p w14:paraId="240FE485"/>
                            </w:txbxContent>
                          </wps:txbx>
                          <wps:bodyPr rot="0" vert="horz" wrap="square" lIns="91440" tIns="45720" rIns="91440" bIns="45720" anchor="t" anchorCtr="0"/>
                        </wps:wsp>
                        <wps:wsp>
                          <wps:cNvSpPr/>
                          <wps:spPr>
                            <a:xfrm flipV="1">
                              <a:off x="31689676" y="81200624"/>
                              <a:ext cx="9525" cy="4772025"/>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35328224" y="81448272"/>
                              <a:ext cx="9525" cy="4953000"/>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27051000" y="73456800"/>
                              <a:ext cx="14306550" cy="7524750"/>
                            </a:xfrm>
                            <a:prstGeom prst="rect">
                              <a:avLst/>
                            </a:prstGeom>
                            <a:solidFill>
                              <a:prstClr val="white"/>
                            </a:solidFill>
                            <a:ln w="12700">
                              <a:solidFill>
                                <a:prstClr val="white"/>
                              </a:solidFill>
                            </a:ln>
                          </wps:spPr>
                          <wps:txbx>
                            <w:txbxContent>
                              <w:p w14:paraId="1A45CFA7">
                                <w:pPr>
                                  <w:jc w:val="center"/>
                                </w:pPr>
                                <w:r>
                                  <w:rPr>
                                    <w:rFonts w:hint="eastAsia"/>
                                  </w:rPr>
                                  <w:t>燃天然气导热油炉</w:t>
                                </w:r>
                              </w:p>
                              <w:p w14:paraId="143D1EA4">
                                <w:pPr>
                                  <w:jc w:val="center"/>
                                </w:pPr>
                              </w:p>
                              <w:p w14:paraId="4B83D08C"/>
                            </w:txbxContent>
                          </wps:txbx>
                          <wps:bodyPr rot="0" vert="horz" wrap="square" lIns="91440" tIns="45720" rIns="91440" bIns="45720" anchor="t" anchorCtr="0"/>
                        </wps:wsp>
                        <wps:wsp>
                          <wps:cNvSpPr/>
                          <wps:spPr>
                            <a:xfrm>
                              <a:off x="73790176" y="58254900"/>
                              <a:ext cx="24831676" cy="4524375"/>
                            </a:xfrm>
                            <a:prstGeom prst="rect">
                              <a:avLst/>
                            </a:prstGeom>
                          </wps:spPr>
                          <wps:txbx>
                            <w:txbxContent>
                              <w:p w14:paraId="1B904577">
                                <w:r>
                                  <w:rPr>
                                    <w:rFonts w:hint="eastAsia"/>
                                  </w:rPr>
                                  <w:t>噪声、粉尘、烟气、固废</w:t>
                                </w:r>
                              </w:p>
                              <w:p w14:paraId="459AFC04"/>
                            </w:txbxContent>
                          </wps:txbx>
                          <wps:bodyPr rot="0" vert="horz" wrap="square" lIns="91440" tIns="45720" rIns="91440" bIns="45720" anchor="t" anchorCtr="0"/>
                        </wps:wsp>
                        <wps:wsp>
                          <wps:cNvSpPr/>
                          <wps:spPr>
                            <a:xfrm>
                              <a:off x="35280600" y="81448272"/>
                              <a:ext cx="10572750" cy="4524375"/>
                            </a:xfrm>
                            <a:prstGeom prst="rect">
                              <a:avLst/>
                            </a:prstGeom>
                          </wps:spPr>
                          <wps:txbx>
                            <w:txbxContent>
                              <w:p w14:paraId="38562875">
                                <w:r>
                                  <w:t>导热油</w:t>
                                </w:r>
                                <w:r>
                                  <w:rPr>
                                    <w:rFonts w:hint="eastAsia"/>
                                  </w:rPr>
                                  <w:t xml:space="preserve"> </w:t>
                                </w:r>
                              </w:p>
                            </w:txbxContent>
                          </wps:txbx>
                          <wps:bodyPr rot="0" vert="horz" wrap="square" lIns="91440" tIns="45720" rIns="91440" bIns="45720" anchor="t" anchorCtr="0"/>
                        </wps:wsp>
                        <wps:wsp>
                          <wps:cNvSpPr/>
                          <wps:spPr>
                            <a:xfrm>
                              <a:off x="31394400" y="102031800"/>
                              <a:ext cx="12115800" cy="11677650"/>
                            </a:xfrm>
                            <a:prstGeom prst="rect">
                              <a:avLst/>
                            </a:prstGeom>
                          </wps:spPr>
                          <wps:txbx>
                            <w:txbxContent>
                              <w:p w14:paraId="1E7E70BB">
                                <w:pPr>
                                  <w:rPr>
                                    <w:color w:val="FF0000"/>
                                    <w:szCs w:val="21"/>
                                  </w:rPr>
                                </w:pPr>
                                <w:r>
                                  <w:rPr>
                                    <w:color w:val="FF0000"/>
                                  </w:rPr>
                                  <w:t>沥青烟</w:t>
                                </w:r>
                                <w:r>
                                  <w:rPr>
                                    <w:color w:val="FF0000"/>
                                    <w:szCs w:val="21"/>
                                    <w:rFonts w:hint="eastAsia"/>
                                  </w:rPr>
                                  <w:t>、</w:t>
                                </w:r>
                                <w:r>
                                  <w:rPr>
                                    <w:color w:val="FF0000"/>
                                    <w:szCs w:val="21"/>
                                    <w:rFonts w:hint="eastAsia" w:eastAsiaTheme="minorEastAsia"/>
                                  </w:rPr>
                                  <w:t>苯并[a]芘、非甲烷总烃、</w:t>
                                </w:r>
                                <w:r>
                                  <w:rPr>
                                    <w:color w:val="FF0000"/>
                                  </w:rPr>
                                  <w:t>噪声</w:t>
                                </w:r>
                              </w:p>
                            </w:txbxContent>
                          </wps:txbx>
                          <wps:bodyPr rot="0" vert="horz" wrap="square" lIns="91440" tIns="45720" rIns="91440" bIns="45720" anchor="t" anchorCtr="0"/>
                        </wps:wsp>
                        <wps:wsp>
                          <wps:cNvSpPr/>
                          <wps:spPr>
                            <a:xfrm>
                              <a:off x="42519600" y="106622848"/>
                              <a:ext cx="4514850" cy="9525"/>
                            </a:xfrm>
                            <a:prstGeom prst="straightConnector1">
                              <a:avLst/>
                            </a:prstGeom>
                            <a:ln w="12700">
                              <a:solidFill>
                                <a:prstClr val="white"/>
                              </a:solidFill>
                              <a:prstDash val="dash"/>
                              <a:headEnd type="triangle" len="med" w="med"/>
                            </a:ln>
                          </wps:spPr>
                          <wps:bodyPr rot="0" vert="horz" wrap="square" lIns="91440" tIns="45720" rIns="91440" bIns="45720" anchor="t" anchorCtr="0"/>
                        </wps:wsp>
                        <wps:wsp>
                          <wps:cNvSpPr/>
                          <wps:spPr>
                            <a:xfrm>
                              <a:off x="37328476" y="67818000"/>
                              <a:ext cx="9525000" cy="9525"/>
                            </a:xfrm>
                            <a:prstGeom prst="straightConnector1">
                              <a:avLst/>
                            </a:prstGeom>
                            <a:ln w="12700">
                              <a:solidFill>
                                <a:prstClr val="white"/>
                              </a:solidFill>
                              <a:tailEnd type="triangle" len="med" w="med"/>
                            </a:ln>
                          </wps:spPr>
                          <wps:bodyPr rot="0" vert="horz" wrap="square" lIns="91440" tIns="45720" rIns="91440" bIns="45720" anchor="t" anchorCtr="0"/>
                        </wps:wsp>
                        <wps:wsp>
                          <wps:cNvSpPr/>
                          <wps:spPr>
                            <a:xfrm>
                              <a:off x="16992600" y="65636776"/>
                              <a:ext cx="20164424" cy="4533900"/>
                            </a:xfrm>
                            <a:prstGeom prst="rect">
                              <a:avLst/>
                            </a:prstGeom>
                            <a:solidFill>
                              <a:prstClr val="white"/>
                            </a:solidFill>
                            <a:ln w="12700">
                              <a:solidFill>
                                <a:prstClr val="white"/>
                              </a:solidFill>
                            </a:ln>
                          </wps:spPr>
                          <wps:txbx>
                            <w:txbxContent>
                              <w:p w14:paraId="0CBFB2F0">
                                <w:pPr>
                                  <w:ind w:firstLine="105" w:firstLineChars="50"/>
                                </w:pPr>
                                <w:r>
                                  <w:rPr>
                                    <w:rFonts w:hint="eastAsia"/>
                                  </w:rPr>
                                  <w:t>燃天然气</w:t>
                                </w:r>
                                <w:r>
                                  <w:rPr>
                                    <w:bCs/>
                                    <w:szCs w:val="21"/>
                                    <w:rFonts w:hint="eastAsia" w:hAnsiTheme="minorEastAsia" w:eastAsiaTheme="minorEastAsia"/>
                                  </w:rPr>
                                  <w:t>燃烧器</w:t>
                                </w:r>
                              </w:p>
                            </w:txbxContent>
                          </wps:txbx>
                          <wps:bodyPr rot="0" vert="horz" wrap="square" lIns="91440" tIns="45720" rIns="91440" bIns="45720" anchor="t" anchorCtr="0"/>
                        </wps:wsp>
                        <wps:wsp>
                          <wps:cNvSpPr/>
                          <wps:spPr>
                            <a:xfrm>
                              <a:off x="38395276" y="64436624"/>
                              <a:ext cx="8534400" cy="4533900"/>
                            </a:xfrm>
                            <a:prstGeom prst="rect">
                              <a:avLst/>
                            </a:prstGeom>
                          </wps:spPr>
                          <wps:txbx>
                            <w:txbxContent>
                              <w:p w14:paraId="66F118B2">
                                <w:r>
                                  <w:rPr>
                                    <w:rFonts w:hint="eastAsia"/>
                                  </w:rPr>
                                  <w:t>明火</w:t>
                                </w:r>
                              </w:p>
                            </w:txbxContent>
                          </wps:txbx>
                          <wps:bodyPr rot="0" vert="horz" wrap="square" lIns="91440" tIns="45720" rIns="91440" bIns="45720" anchor="t" anchorCtr="0"/>
                        </wps:wsp>
                        <wps:wsp>
                          <wps:cNvSpPr/>
                          <wps:spPr>
                            <a:xfrm>
                              <a:off x="47282100" y="77428728"/>
                              <a:ext cx="19021424" cy="16583025"/>
                            </a:xfrm>
                            <a:prstGeom prst="rect">
                              <a:avLst/>
                            </a:prstGeom>
                            <a:ln w="12700">
                              <a:solidFill>
                                <a:srgbClr val="000000"/>
                              </a:solidFill>
                              <a:prstDash val="dash"/>
                            </a:ln>
                          </wps:spPr>
                          <wps:bodyPr rot="0" vert="horz" wrap="square" lIns="91440" tIns="45720" rIns="91440" bIns="45720" anchor="t" anchorCtr="0"/>
                        </wps:wsp>
                        <wps:wsp>
                          <wps:cNvSpPr/>
                          <wps:spPr>
                            <a:xfrm>
                              <a:off x="50673000" y="104308272"/>
                              <a:ext cx="12725400" cy="4533900"/>
                            </a:xfrm>
                            <a:prstGeom prst="rect">
                              <a:avLst/>
                            </a:prstGeom>
                            <a:solidFill>
                              <a:prstClr val="white"/>
                            </a:solidFill>
                            <a:ln w="12700">
                              <a:solidFill>
                                <a:prstClr val="white"/>
                              </a:solidFill>
                            </a:ln>
                          </wps:spPr>
                          <wps:txbx>
                            <w:txbxContent>
                              <w:p w14:paraId="27B00F71">
                                <w:pPr>
                                  <w:jc w:val="center"/>
                                </w:pPr>
                                <w:r>
                                  <w:rPr>
                                    <w:rFonts w:hint="eastAsia"/>
                                  </w:rPr>
                                  <w:t>成品外运</w:t>
                                </w:r>
                              </w:p>
                            </w:txbxContent>
                          </wps:txbx>
                          <wps:bodyPr rot="0" vert="horz" wrap="square" lIns="91440" tIns="45720" rIns="91440" bIns="45720" anchor="t" anchorCtr="0"/>
                        </wps:wsp>
                        <wps:wsp>
                          <wps:cNvSpPr/>
                          <wps:spPr>
                            <a:xfrm>
                              <a:off x="41586152" y="98355152"/>
                              <a:ext cx="8782050" cy="9525"/>
                            </a:xfrm>
                            <a:prstGeom prst="straightConnector1">
                              <a:avLst/>
                            </a:prstGeom>
                            <a:ln w="12700">
                              <a:solidFill>
                                <a:prstClr val="white"/>
                              </a:solidFill>
                              <a:tailEnd type="triangle" len="med" w="med"/>
                            </a:ln>
                          </wps:spPr>
                          <wps:bodyPr rot="0" vert="horz" wrap="square" lIns="91440" tIns="45720" rIns="91440" bIns="45720" anchor="t" anchorCtr="0"/>
                        </wps:wsp>
                        <wps:wsp>
                          <wps:cNvSpPr/>
                          <wps:spPr>
                            <a:xfrm>
                              <a:off x="63217424" y="98345624"/>
                              <a:ext cx="8782050" cy="9525"/>
                            </a:xfrm>
                            <a:prstGeom prst="straightConnector1">
                              <a:avLst/>
                            </a:prstGeom>
                            <a:ln w="12700">
                              <a:solidFill>
                                <a:prstClr val="white"/>
                              </a:solidFill>
                              <a:headEnd type="triangle" len="med" w="med"/>
                            </a:ln>
                          </wps:spPr>
                          <wps:bodyPr rot="0" vert="horz" wrap="square" lIns="91440" tIns="45720" rIns="91440" bIns="45720" anchor="t" anchorCtr="0"/>
                        </wps:wsp>
                        <wps:wsp>
                          <wps:cNvSpPr/>
                          <wps:spPr>
                            <a:xfrm>
                              <a:off x="22183724" y="77428728"/>
                              <a:ext cx="4867275" cy="9525"/>
                            </a:xfrm>
                            <a:prstGeom prst="straightConnector1">
                              <a:avLst/>
                            </a:prstGeom>
                            <a:ln w="12700">
                              <a:solidFill>
                                <a:prstClr val="white"/>
                              </a:solidFill>
                              <a:prstDash val="dash"/>
                              <a:headEnd type="triangle" len="med" w="med"/>
                            </a:ln>
                          </wps:spPr>
                          <wps:bodyPr rot="0" vert="horz" wrap="square" lIns="91440" tIns="45720" rIns="91440" bIns="45720" anchor="t" anchorCtr="0"/>
                        </wps:wsp>
                        <wps:wsp>
                          <wps:cNvSpPr/>
                          <wps:spPr>
                            <a:xfrm>
                              <a:off x="16983076" y="75399904"/>
                              <a:ext cx="7629525" cy="4524375"/>
                            </a:xfrm>
                            <a:prstGeom prst="rect">
                              <a:avLst/>
                            </a:prstGeom>
                          </wps:spPr>
                          <wps:txbx>
                            <w:txbxContent>
                              <w:p w14:paraId="1ABC71E8">
                                <w:r>
                                  <w:rPr>
                                    <w:rFonts w:hint="eastAsia"/>
                                  </w:rPr>
                                  <w:t>烟气</w:t>
                                </w:r>
                              </w:p>
                              <w:p w14:paraId="187F802F"/>
                            </w:txbxContent>
                          </wps:txbx>
                          <wps:bodyPr rot="0" vert="horz" wrap="square" lIns="91440" tIns="45720" rIns="91440" bIns="45720" anchor="t" anchorCtr="0"/>
                        </wps:wsp>
                        <wps:wsp>
                          <wps:cNvSpPr/>
                          <wps:spPr>
                            <a:xfrm flipV="1">
                              <a:off x="20316824" y="73494896"/>
                              <a:ext cx="9525" cy="2619375"/>
                            </a:xfrm>
                            <a:prstGeom prst="straightConnector1">
                              <a:avLst/>
                            </a:prstGeom>
                            <a:ln w="12700">
                              <a:solidFill>
                                <a:srgbClr val="FF0000"/>
                              </a:solidFill>
                              <a:tailEnd type="triangle" len="med" w="med"/>
                            </a:ln>
                          </wps:spPr>
                          <wps:bodyPr rot="0" vert="horz" wrap="square" lIns="91440" tIns="45720" rIns="91440" bIns="45720" anchor="t" anchorCtr="0"/>
                        </wps:wsp>
                        <wps:wsp>
                          <wps:cNvSpPr/>
                          <wps:spPr>
                            <a:xfrm>
                              <a:off x="14897100" y="70551672"/>
                              <a:ext cx="10229850" cy="3305175"/>
                            </a:xfrm>
                            <a:prstGeom prst="rect">
                              <a:avLst/>
                            </a:prstGeom>
                            <a:ln w="12700">
                              <a:solidFill>
                                <a:srgbClr val="FF0000"/>
                              </a:solidFill>
                            </a:ln>
                          </wps:spPr>
                          <wps:txbx>
                            <w:txbxContent>
                              <w:p w14:paraId="1166B93B">
                                <w:pPr>
                                  <w:rPr>
                                    <w:sz w:val="15"/>
                                    <w:szCs w:val="15"/>
                                  </w:rPr>
                                </w:pPr>
                                <w:r>
                                  <w:rPr>
                                    <w:sz w:val="15"/>
                                    <w:szCs w:val="15"/>
                                  </w:rPr>
                                  <w:t>低氮燃烧器</w:t>
                                </w:r>
                              </w:p>
                            </w:txbxContent>
                          </wps:txbx>
                          <wps:bodyPr rot="0" vert="horz" wrap="square" lIns="91440" tIns="45720" rIns="91440" bIns="45720" anchor="t" anchorCtr="0"/>
                        </wps:wsp>
                        <wps:wsp>
                          <wps:cNvSpPr/>
                          <wps:spPr>
                            <a:xfrm>
                              <a:off x="86544152" y="79057504"/>
                              <a:ext cx="3000375" cy="9525"/>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88515824" y="77114400"/>
                              <a:ext cx="9391650" cy="4524375"/>
                            </a:xfrm>
                            <a:prstGeom prst="rect">
                              <a:avLst/>
                            </a:prstGeom>
                          </wps:spPr>
                          <wps:txbx>
                            <w:txbxContent>
                              <w:p w14:paraId="3D5AD208">
                                <w:r>
                                  <w:rPr>
                                    <w:rFonts w:hint="eastAsia"/>
                                  </w:rPr>
                                  <w:t>粉尘</w:t>
                                </w:r>
                              </w:p>
                            </w:txbxContent>
                          </wps:txbx>
                          <wps:bodyPr rot="0" vert="horz" wrap="square" lIns="91440" tIns="45720" rIns="91440" bIns="45720" anchor="t" anchorCtr="0"/>
                        </wps:wsp>
                        <wps:wsp>
                          <wps:cNvSpPr/>
                          <wps:spPr>
                            <a:xfrm>
                              <a:off x="86687024" y="88763472"/>
                              <a:ext cx="3000375" cy="9525"/>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86687024" y="98336096"/>
                              <a:ext cx="3000375" cy="9525"/>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89401648" y="96440624"/>
                              <a:ext cx="7896225" cy="4524375"/>
                            </a:xfrm>
                            <a:prstGeom prst="rect">
                              <a:avLst/>
                            </a:prstGeom>
                            <a:solidFill>
                              <a:prstClr val="white"/>
                            </a:solidFill>
                          </wps:spPr>
                          <wps:txbx>
                            <w:txbxContent>
                              <w:p w14:paraId="093EE688">
                                <w:r>
                                  <w:rPr>
                                    <w:rFonts w:hint="eastAsia"/>
                                  </w:rPr>
                                  <w:t>噪声</w:t>
                                </w:r>
                              </w:p>
                            </w:txbxContent>
                          </wps:txbx>
                          <wps:bodyPr rot="0" vert="horz" wrap="square" lIns="91440" tIns="45720" rIns="91440" bIns="45720" anchor="t" anchorCtr="0"/>
                        </wps:wsp>
                        <wps:wsp>
                          <wps:cNvSpPr/>
                          <wps:spPr>
                            <a:xfrm>
                              <a:off x="21755100" y="88773000"/>
                              <a:ext cx="4867275" cy="9525"/>
                            </a:xfrm>
                            <a:prstGeom prst="straightConnector1">
                              <a:avLst/>
                            </a:prstGeom>
                            <a:ln w="12700">
                              <a:solidFill>
                                <a:prstClr val="white"/>
                              </a:solidFill>
                              <a:prstDash val="dash"/>
                              <a:headEnd type="triangle" len="med" w="med"/>
                            </a:ln>
                          </wps:spPr>
                          <wps:bodyPr rot="0" vert="horz" wrap="square" lIns="91440" tIns="45720" rIns="91440" bIns="45720" anchor="t" anchorCtr="0"/>
                        </wps:wsp>
                        <wps:wsp>
                          <wps:cNvSpPr/>
                          <wps:spPr>
                            <a:xfrm>
                              <a:off x="22412324" y="98326576"/>
                              <a:ext cx="4867275" cy="9525"/>
                            </a:xfrm>
                            <a:prstGeom prst="straightConnector1">
                              <a:avLst/>
                            </a:prstGeom>
                            <a:ln w="12700">
                              <a:solidFill>
                                <a:prstClr val="white"/>
                              </a:solidFill>
                              <a:prstDash val="dash"/>
                              <a:headEnd type="triangle" len="med" w="med"/>
                            </a:ln>
                          </wps:spPr>
                          <wps:bodyPr rot="0" vert="horz" wrap="square" lIns="91440" tIns="45720" rIns="91440" bIns="45720" anchor="t" anchorCtr="0"/>
                        </wps:wsp>
                        <wps:wsp>
                          <wps:cNvSpPr/>
                          <wps:spPr>
                            <a:xfrm>
                              <a:off x="16754475" y="96297752"/>
                              <a:ext cx="7286625" cy="4524375"/>
                            </a:xfrm>
                            <a:prstGeom prst="rect">
                              <a:avLst/>
                            </a:prstGeom>
                            <a:solidFill>
                              <a:prstClr val="white"/>
                            </a:solidFill>
                          </wps:spPr>
                          <wps:txbx>
                            <w:txbxContent>
                              <w:p w14:paraId="16DD2785">
                                <w:r>
                                  <w:rPr>
                                    <w:rFonts w:hint="eastAsia"/>
                                  </w:rPr>
                                  <w:t>噪声</w:t>
                                </w:r>
                              </w:p>
                            </w:txbxContent>
                          </wps:txbx>
                          <wps:bodyPr rot="0" vert="horz" wrap="square" lIns="91440" tIns="45720" rIns="91440" bIns="45720" anchor="t" anchorCtr="0"/>
                        </wps:wsp>
                        <wps:wsp>
                          <wps:cNvSpPr/>
                          <wps:spPr>
                            <a:xfrm>
                              <a:off x="16983076" y="88906352"/>
                              <a:ext cx="9525" cy="13620750"/>
                            </a:xfrm>
                            <a:prstGeom prst="straightConnector1">
                              <a:avLst/>
                            </a:prstGeom>
                            <a:ln w="12700">
                              <a:solidFill>
                                <a:srgbClr val="FF0000"/>
                              </a:solidFill>
                              <a:tailEnd type="triangle" len="med" w="med"/>
                            </a:ln>
                          </wps:spPr>
                          <wps:bodyPr rot="0" vert="horz" wrap="square" lIns="91440" tIns="45720" rIns="91440" bIns="45720" anchor="t" anchorCtr="0"/>
                        </wps:wsp>
                        <wps:wsp>
                          <wps:cNvSpPr/>
                          <wps:spPr>
                            <a:xfrm>
                              <a:off x="29041724" y="105394128"/>
                              <a:ext cx="4352925" cy="9525"/>
                            </a:xfrm>
                            <a:prstGeom prst="straightConnector1">
                              <a:avLst/>
                            </a:prstGeom>
                            <a:ln w="12700">
                              <a:solidFill>
                                <a:srgbClr val="FF0000"/>
                              </a:solidFill>
                              <a:headEnd type="triangle" len="med" w="med"/>
                            </a:ln>
                          </wps:spPr>
                          <wps:bodyPr rot="0" vert="horz" wrap="square" lIns="91440" tIns="45720" rIns="91440" bIns="45720" anchor="t" anchorCtr="0"/>
                        </wps:wsp>
                        <wps:wsp>
                          <wps:cNvSpPr/>
                          <wps:spPr>
                            <a:xfrm>
                              <a:off x="15897225" y="102860472"/>
                              <a:ext cx="13144500" cy="7543800"/>
                            </a:xfrm>
                            <a:prstGeom prst="rect">
                              <a:avLst/>
                            </a:prstGeom>
                            <a:ln w="12700">
                              <a:solidFill>
                                <a:srgbClr val="FF0000"/>
                              </a:solidFill>
                            </a:ln>
                          </wps:spPr>
                          <wps:txbx>
                            <w:txbxContent>
                              <w:p w14:paraId="34F933A0">
                                <w:pPr>
                                  <w:rPr>
                                    <w:sz w:val="15"/>
                                    <w:szCs w:val="15"/>
                                  </w:rPr>
                                </w:pPr>
                                <w:r>
                                  <w:rPr>
                                    <w:sz w:val="15"/>
                                    <w:szCs w:val="15"/>
                                    <w:rFonts w:hint="eastAsia"/>
                                  </w:rPr>
                                  <w:t>气浮旋流塔+三维一体化废气处理设备</w:t>
                                </w:r>
                              </w:p>
                            </w:txbxContent>
                          </wps:txbx>
                          <wps:bodyPr rot="0" vert="horz" wrap="square" lIns="91440" tIns="45720" rIns="91440" bIns="45720" anchor="t" anchorCtr="0"/>
                        </wps:wsp>
                        <wps:wsp>
                          <wps:cNvSpPr/>
                          <wps:spPr>
                            <a:xfrm flipV="1">
                              <a:off x="89687400" y="61845824"/>
                              <a:ext cx="9525" cy="3790950"/>
                            </a:xfrm>
                            <a:prstGeom prst="straightConnector1">
                              <a:avLst/>
                            </a:prstGeom>
                            <a:ln w="12700">
                              <a:solidFill>
                                <a:srgbClr val="FF0000"/>
                              </a:solidFill>
                              <a:headEnd type="triangle" len="med" w="med"/>
                            </a:ln>
                          </wps:spPr>
                          <wps:bodyPr rot="0" vert="horz" wrap="square" lIns="91440" tIns="45720" rIns="91440" bIns="45720" anchor="t" anchorCtr="0"/>
                        </wps:wsp>
                        <wps:wsp>
                          <wps:cNvSpPr/>
                          <wps:spPr>
                            <a:xfrm flipV="1">
                              <a:off x="83905728" y="61845824"/>
                              <a:ext cx="9525" cy="3790950"/>
                            </a:xfrm>
                            <a:prstGeom prst="straightConnector1">
                              <a:avLst/>
                            </a:prstGeom>
                            <a:ln w="12700">
                              <a:solidFill>
                                <a:srgbClr val="FF0000"/>
                              </a:solidFill>
                              <a:headEnd type="triangle" len="med" w="med"/>
                            </a:ln>
                          </wps:spPr>
                          <wps:bodyPr rot="0" vert="horz" wrap="square" lIns="91440" tIns="45720" rIns="91440" bIns="45720" anchor="t" anchorCtr="0"/>
                        </wps:wsp>
                        <wps:wsp>
                          <wps:cNvSpPr/>
                          <wps:spPr>
                            <a:xfrm>
                              <a:off x="82496024" y="66084448"/>
                              <a:ext cx="14801850" cy="7772400"/>
                            </a:xfrm>
                            <a:prstGeom prst="rect">
                              <a:avLst/>
                            </a:prstGeom>
                            <a:ln w="12700">
                              <a:solidFill>
                                <a:srgbClr val="FF0000"/>
                              </a:solidFill>
                            </a:ln>
                          </wps:spPr>
                          <wps:txbx>
                            <w:txbxContent>
                              <w:p w14:paraId="3DE34685">
                                <w:pPr>
                                  <w:rPr>
                                    <w:szCs w:val="21"/>
                                  </w:rPr>
                                </w:pPr>
                                <w:r>
                                  <w:rPr>
                                    <w:szCs w:val="21"/>
                                    <w:rFonts w:hint="eastAsia"/>
                                  </w:rPr>
                                  <w:t>除尘系统（重力+布袋）</w:t>
                                </w:r>
                              </w:p>
                            </w:txbxContent>
                          </wps:txbx>
                          <wps:bodyPr rot="0" vert="horz" wrap="square" lIns="91440" tIns="45720" rIns="91440" bIns="45720" anchor="t" anchorCtr="0"/>
                        </wps:wsp>
                        <wps:wsp>
                          <wps:cNvSpPr/>
                          <wps:spPr>
                            <a:xfrm flipV="1">
                              <a:off x="91982928" y="73856848"/>
                              <a:ext cx="9525" cy="3790950"/>
                            </a:xfrm>
                            <a:prstGeom prst="straightConnector1">
                              <a:avLst/>
                            </a:prstGeom>
                            <a:ln w="12700">
                              <a:solidFill>
                                <a:srgbClr val="FF0000"/>
                              </a:solidFill>
                              <a:tailEnd type="triangle" len="med" w="med"/>
                            </a:ln>
                          </wps:spPr>
                          <wps:bodyPr rot="0" vert="horz" wrap="square" lIns="91440" tIns="45720" rIns="91440" bIns="45720" anchor="t" anchorCtr="0"/>
                        </wps:wsp>
                        <wps:wsp>
                          <wps:cNvSpPr/>
                          <wps:spPr>
                            <a:xfrm>
                              <a:off x="66303524" y="83591400"/>
                              <a:ext cx="2457450" cy="9525"/>
                            </a:xfrm>
                            <a:prstGeom prst="straightConnector1">
                              <a:avLst/>
                            </a:prstGeom>
                            <a:ln w="12700">
                              <a:solidFill>
                                <a:prstClr val="white"/>
                              </a:solidFill>
                              <a:prstDash val="dash"/>
                              <a:tailEnd type="triangle" len="med" w="med"/>
                            </a:ln>
                          </wps:spPr>
                          <wps:bodyPr rot="0" vert="horz" wrap="square" lIns="91440" tIns="45720" rIns="91440" bIns="45720" anchor="t" anchorCtr="0"/>
                        </wps:wsp>
                        <wps:wsp>
                          <wps:cNvSpPr/>
                          <wps:spPr>
                            <a:xfrm>
                              <a:off x="68189472" y="81448272"/>
                              <a:ext cx="7896225" cy="4524375"/>
                            </a:xfrm>
                            <a:prstGeom prst="rect">
                              <a:avLst/>
                            </a:prstGeom>
                            <a:solidFill>
                              <a:prstClr val="white"/>
                            </a:solidFill>
                          </wps:spPr>
                          <wps:txbx>
                            <w:txbxContent>
                              <w:p w14:paraId="0BF6F5EA">
                                <w:r>
                                  <w:rPr>
                                    <w:rFonts w:hint="eastAsia"/>
                                  </w:rPr>
                                  <w:t>噪声</w:t>
                                </w:r>
                              </w:p>
                            </w:txbxContent>
                          </wps:txbx>
                          <wps:bodyPr rot="0" vert="horz" wrap="square" lIns="91440" tIns="45720" rIns="91440" bIns="45720" anchor="t" anchorCtr="0"/>
                        </wps:wsp>
                        <wps:wsp>
                          <wps:cNvSpPr/>
                          <wps:spPr>
                            <a:xfrm>
                              <a:off x="47282100" y="95030928"/>
                              <a:ext cx="19021424" cy="16583025"/>
                            </a:xfrm>
                            <a:prstGeom prst="rect">
                              <a:avLst/>
                            </a:prstGeom>
                            <a:ln w="12700">
                              <a:solidFill>
                                <a:srgbClr val="000000"/>
                              </a:solidFill>
                              <a:prstDash val="dash"/>
                            </a:ln>
                          </wps:spPr>
                          <wps:bodyPr rot="0" vert="horz" wrap="square" lIns="91440" tIns="45720" rIns="91440" bIns="45720" anchor="t" anchorCtr="0"/>
                        </wps:wsp>
                      </wpg:wgp>
                    </a:graphicData>
                  </a:graphic>
                </wp:inline>
              </w:drawing>
            </w:r>
            <w:r>
              <w:rPr>
                <w:b w:val="1"/>
                <w:color w:val="auto"/>
                <w:sz w:val="24"/>
                <w:bCs/>
              </w:rPr>
              <w:t>图2-</w:t>
            </w:r>
            <w:r>
              <w:rPr>
                <w:b w:val="1"/>
                <w:color w:val="auto"/>
                <w:sz w:val="24"/>
                <w:lang w:val="en-US" w:eastAsia="zh-CN"/>
                <w:bCs/>
                <w:rFonts w:hint="eastAsia"/>
              </w:rPr>
              <w:t>3</w:t>
            </w:r>
            <w:r>
              <w:rPr>
                <w:b w:val="1"/>
                <w:color w:val="auto"/>
                <w:sz w:val="24"/>
                <w:bCs/>
              </w:rPr>
              <w:t xml:space="preserve"> 生产</w:t>
            </w:r>
            <w:r>
              <w:rPr>
                <w:b w:val="1"/>
                <w:color w:val="auto"/>
                <w:sz w:val="24"/>
              </w:rPr>
              <w:t>工艺</w:t>
            </w:r>
            <w:r>
              <w:rPr>
                <w:b w:val="1"/>
                <w:color w:val="auto"/>
                <w:sz w:val="24"/>
                <w:bCs/>
              </w:rPr>
              <w:t>流程及产排污节点图</w:t>
            </w:r>
          </w:p>
          <w:p w14:paraId="6BD06BCB">
            <w:pPr>
              <w:spacing w:line="360" w:lineRule="auto"/>
              <w:ind w:firstLine="480" w:firstLineChars="200"/>
              <w:rPr>
                <w:color w:val="auto"/>
                <w:sz w:val="24"/>
                <w:bCs/>
              </w:rPr>
            </w:pPr>
            <w:r>
              <w:rPr>
                <w:color w:val="auto"/>
                <w:sz w:val="24"/>
                <w:bCs/>
              </w:rPr>
              <w:t>生产工艺流程简述：</w:t>
            </w:r>
          </w:p>
          <w:p w14:paraId="19B4142F">
            <w:pPr>
              <w:spacing w:line="360" w:lineRule="auto"/>
              <w:ind w:firstLine="480" w:firstLineChars="200"/>
              <w:rPr>
                <w:color w:val="auto"/>
                <w:sz w:val="24"/>
                <w:rFonts w:eastAsiaTheme="minorEastAsia"/>
              </w:rPr>
            </w:pPr>
            <w:r>
              <w:rPr>
                <w:color w:val="auto"/>
                <w:sz w:val="24"/>
                <w:rFonts w:eastAsiaTheme="minorEastAsia"/>
              </w:rPr>
              <w:t>1、原料贮存：沥青混凝土的骨料主要包括各种粒径的碎石</w:t>
            </w:r>
            <w:r>
              <w:rPr>
                <w:color w:val="auto"/>
                <w:sz w:val="24"/>
                <w:lang w:eastAsia="zh-CN"/>
                <w:rFonts w:hint="eastAsia" w:eastAsiaTheme="minorEastAsia"/>
              </w:rPr>
              <w:t>、</w:t>
            </w:r>
            <w:r>
              <w:rPr>
                <w:color w:val="auto"/>
                <w:sz w:val="24"/>
                <w:lang w:val="en-US" w:eastAsia="zh-CN"/>
                <w:rFonts w:hint="eastAsia" w:eastAsiaTheme="minorEastAsia"/>
              </w:rPr>
              <w:t>机制砂</w:t>
            </w:r>
            <w:r>
              <w:rPr>
                <w:color w:val="auto"/>
                <w:sz w:val="24"/>
                <w:rFonts w:eastAsiaTheme="minorEastAsia"/>
              </w:rPr>
              <w:t>，采用汽运方式运输至指定堆场，矿粉由密闭矿粉运输车通过气力输送贮存在密闭矿粉筒仓内，</w:t>
            </w:r>
            <w:r>
              <w:rPr>
                <w:color w:val="auto"/>
                <w:sz w:val="24"/>
                <w:bCs/>
                <w:rFonts w:hint="eastAsia" w:hAnsiTheme="minorEastAsia" w:eastAsiaTheme="minorEastAsia"/>
              </w:rPr>
              <w:t>上料采用绞龙密闭输送，因此筒仓原料输送过程仅卸料时有含尘废气排放。</w:t>
            </w:r>
            <w:r>
              <w:rPr>
                <w:color w:val="auto"/>
                <w:sz w:val="24"/>
                <w:rFonts w:eastAsiaTheme="minorEastAsia"/>
              </w:rPr>
              <w:t>沥青进厂时为液体散装沥青，由专用沥青运输车将其通过密闭管道送至沥青罐内。</w:t>
            </w:r>
            <w:r>
              <w:rPr>
                <w:color w:val="auto"/>
                <w:sz w:val="24"/>
                <w:bCs/>
                <w:rFonts w:eastAsiaTheme="minorEastAsia"/>
              </w:rPr>
              <w:t>在矿粉筒仓顶部安装集气管道连接至</w:t>
            </w:r>
            <w:r>
              <w:rPr>
                <w:color w:val="auto"/>
                <w:sz w:val="24"/>
                <w:bCs/>
                <w:rFonts w:hint="eastAsia" w:eastAsiaTheme="minorEastAsia"/>
              </w:rPr>
              <w:t>除尘系统（重力+布袋）</w:t>
            </w:r>
            <w:r>
              <w:rPr>
                <w:color w:val="auto"/>
                <w:sz w:val="24"/>
                <w:bCs/>
                <w:rFonts w:eastAsiaTheme="minorEastAsia"/>
              </w:rPr>
              <w:t>，装卸粉尘经除尘</w:t>
            </w:r>
            <w:r>
              <w:rPr>
                <w:color w:val="auto"/>
                <w:sz w:val="24"/>
                <w:bCs/>
                <w:rFonts w:hint="eastAsia" w:eastAsiaTheme="minorEastAsia"/>
              </w:rPr>
              <w:t>系统</w:t>
            </w:r>
            <w:r>
              <w:rPr>
                <w:color w:val="auto"/>
                <w:sz w:val="24"/>
                <w:bCs/>
                <w:rFonts w:eastAsiaTheme="minorEastAsia"/>
              </w:rPr>
              <w:t>（处理效率为99%）处理后，</w:t>
            </w:r>
            <w:r>
              <w:rPr>
                <w:color w:val="auto"/>
                <w:sz w:val="24"/>
                <w:bCs/>
                <w:rFonts w:hint="eastAsia" w:eastAsiaTheme="minorEastAsia"/>
              </w:rPr>
              <w:t>由15m高除尘系统烟囱（DA001）排放</w:t>
            </w:r>
            <w:r>
              <w:rPr>
                <w:color w:val="auto"/>
                <w:sz w:val="24"/>
                <w:bCs/>
                <w:rFonts w:eastAsiaTheme="minorEastAsia"/>
              </w:rPr>
              <w:t>。</w:t>
            </w:r>
          </w:p>
          <w:p w14:paraId="5FFB47D1">
            <w:pPr>
              <w:spacing w:line="360" w:lineRule="auto"/>
              <w:ind w:firstLine="480" w:firstLineChars="200"/>
              <w:rPr>
                <w:color w:val="auto"/>
                <w:sz w:val="24"/>
                <w:rFonts w:eastAsiaTheme="minorEastAsia"/>
              </w:rPr>
            </w:pPr>
            <w:r>
              <w:rPr>
                <w:color w:val="auto"/>
                <w:sz w:val="24"/>
                <w:rFonts w:eastAsiaTheme="minorEastAsia"/>
              </w:rPr>
              <w:t>2、骨料预处理：生产时，碎石从储料场利用铲车铲至冷料仓，然后通过密闭的集料输送机和皮带输送机自动计量、进料。项目料斗上料区域均只留操作面，其余几面封闭。</w:t>
            </w:r>
            <w:r>
              <w:rPr>
                <w:color w:val="auto"/>
                <w:sz w:val="24"/>
                <w:bCs/>
                <w:rFonts w:eastAsiaTheme="minorEastAsia"/>
              </w:rPr>
              <w:t>冷料仓上</w:t>
            </w:r>
            <w:r>
              <w:rPr>
                <w:color w:val="auto"/>
                <w:sz w:val="24"/>
                <w:bCs/>
                <w:rFonts w:hint="eastAsia" w:eastAsiaTheme="minorEastAsia"/>
              </w:rPr>
              <w:t>方</w:t>
            </w:r>
            <w:r>
              <w:rPr>
                <w:color w:val="auto"/>
                <w:sz w:val="24"/>
                <w:bCs/>
                <w:rFonts w:eastAsiaTheme="minorEastAsia"/>
              </w:rPr>
              <w:t>安装</w:t>
            </w:r>
            <w:r>
              <w:rPr>
                <w:color w:val="auto"/>
                <w:sz w:val="24"/>
                <w:bCs/>
                <w:rFonts w:hint="eastAsia" w:eastAsiaTheme="minorEastAsia"/>
              </w:rPr>
              <w:t>集气</w:t>
            </w:r>
            <w:r>
              <w:rPr>
                <w:color w:val="auto"/>
                <w:sz w:val="24"/>
                <w:bCs/>
                <w:rFonts w:eastAsiaTheme="minorEastAsia"/>
              </w:rPr>
              <w:t>装置</w:t>
            </w:r>
            <w:r>
              <w:rPr>
                <w:color w:val="auto"/>
                <w:sz w:val="24"/>
                <w:bCs/>
                <w:rFonts w:hint="eastAsia" w:eastAsiaTheme="minorEastAsia"/>
              </w:rPr>
              <w:t>（收集效率90%）</w:t>
            </w:r>
            <w:r>
              <w:rPr>
                <w:color w:val="auto"/>
                <w:sz w:val="24"/>
                <w:bCs/>
                <w:rFonts w:eastAsiaTheme="minorEastAsia"/>
              </w:rPr>
              <w:t>，上料废气经收集后</w:t>
            </w:r>
            <w:r>
              <w:rPr>
                <w:color w:val="auto"/>
                <w:sz w:val="24"/>
                <w:bCs/>
                <w:rFonts w:hint="eastAsia" w:eastAsiaTheme="minorEastAsia"/>
              </w:rPr>
              <w:t>通过管道连接至除尘系统（重力+布袋），处理后由15m高除尘系统烟囱（DA001）排放，除尘效率为99%</w:t>
            </w:r>
            <w:r>
              <w:rPr>
                <w:color w:val="auto"/>
                <w:sz w:val="24"/>
                <w:bCs/>
                <w:rFonts w:eastAsiaTheme="minorEastAsia"/>
              </w:rPr>
              <w:t>。</w:t>
            </w:r>
            <w:r>
              <w:rPr>
                <w:color w:val="auto"/>
                <w:sz w:val="24"/>
                <w:rFonts w:eastAsiaTheme="minorEastAsia"/>
              </w:rPr>
              <w:t>为使沥青混凝土产品不至于因过快冷却而带来运输上的不便，骨料在与沥青混合前要经过热处理。骨料由皮带输送机在密闭输送通道内送入干燥筒，骨料在干燥筒内加热至</w:t>
            </w:r>
            <w:r>
              <w:rPr>
                <w:color w:val="auto"/>
                <w:sz w:val="24"/>
                <w:rFonts w:hint="eastAsia" w:eastAsiaTheme="minorEastAsia"/>
              </w:rPr>
              <w:t>180</w:t>
            </w:r>
            <w:r>
              <w:rPr>
                <w:color w:val="auto"/>
                <w:sz w:val="24"/>
                <w:rFonts w:eastAsiaTheme="minorEastAsia"/>
              </w:rPr>
              <w:t>℃。干燥筒的热源为</w:t>
            </w:r>
            <w:r>
              <w:rPr>
                <w:color w:val="auto"/>
                <w:sz w:val="24"/>
                <w:rFonts w:hint="eastAsia" w:eastAsiaTheme="minorEastAsia"/>
              </w:rPr>
              <w:t>天然气</w:t>
            </w:r>
            <w:r>
              <w:rPr>
                <w:color w:val="auto"/>
                <w:sz w:val="24"/>
                <w:rFonts w:eastAsiaTheme="minorEastAsia"/>
              </w:rPr>
              <w:t>燃烧产生的热量，干燥工艺采用直接接触干燥方式。干燥筒通过加热，并不停转动，以使骨料受热干燥，加热后的</w:t>
            </w:r>
            <w:r>
              <w:rPr>
                <w:color w:val="auto"/>
                <w:sz w:val="24"/>
                <w:rFonts w:hint="eastAsia" w:eastAsiaTheme="minorEastAsia"/>
              </w:rPr>
              <w:t>石料为方便各粒径物料搅拌过程计量精准，</w:t>
            </w:r>
            <w:r>
              <w:rPr>
                <w:color w:val="auto"/>
                <w:sz w:val="24"/>
                <w:rFonts w:eastAsiaTheme="minorEastAsia"/>
              </w:rPr>
              <w:t>加热后的骨料经通过骨料提升机送到粒度检控系统内进行振动筛分</w:t>
            </w:r>
            <w:r>
              <w:rPr>
                <w:color w:val="auto"/>
                <w:sz w:val="24"/>
                <w:rFonts w:hint="eastAsia" w:eastAsiaTheme="minorEastAsia"/>
              </w:rPr>
              <w:t>，</w:t>
            </w:r>
            <w:r>
              <w:rPr>
                <w:color w:val="auto"/>
                <w:sz w:val="24"/>
                <w:rFonts w:eastAsiaTheme="minorEastAsia"/>
              </w:rPr>
              <w:t>随后将加热的不同粒径骨料通过提升机输送至各自热骨料仓暂存，骨料经计量后进入沥青混凝土搅拌站</w:t>
            </w:r>
            <w:r>
              <w:rPr>
                <w:color w:val="auto"/>
                <w:sz w:val="24"/>
                <w:rFonts w:hint="eastAsia" w:eastAsiaTheme="minorEastAsia"/>
              </w:rPr>
              <w:t>，</w:t>
            </w:r>
            <w:r>
              <w:rPr>
                <w:color w:val="auto"/>
                <w:sz w:val="24"/>
                <w:rFonts w:eastAsiaTheme="minorEastAsia"/>
              </w:rPr>
              <w:t>本项目沥青混凝土装置为一体式封闭设备，骨料输送、提升等过程全封闭。</w:t>
            </w:r>
            <w:r>
              <w:rPr>
                <w:color w:val="auto"/>
                <w:sz w:val="24"/>
                <w:rFonts w:hint="eastAsia"/>
              </w:rPr>
              <w:t>骨料加热过程产生烟气不会以无组织形式排放。</w:t>
            </w:r>
          </w:p>
          <w:p w14:paraId="206B98C0">
            <w:pPr>
              <w:spacing w:line="360" w:lineRule="auto"/>
              <w:ind w:firstLine="480" w:firstLineChars="200"/>
              <w:rPr>
                <w:color w:val="auto"/>
                <w:sz w:val="24"/>
                <w:rFonts w:eastAsiaTheme="minorEastAsia"/>
              </w:rPr>
            </w:pPr>
            <w:r>
              <w:rPr>
                <w:color w:val="auto"/>
                <w:sz w:val="24"/>
                <w:bCs/>
                <w:rFonts w:eastAsiaTheme="minorEastAsia"/>
              </w:rPr>
              <w:t>本项目上料粉尘、</w:t>
            </w:r>
            <w:r>
              <w:rPr>
                <w:color w:val="auto"/>
                <w:sz w:val="24"/>
                <w:rFonts w:eastAsiaTheme="minorEastAsia"/>
              </w:rPr>
              <w:t>碎石筛分粉尘、烘干废气、</w:t>
            </w:r>
            <w:r>
              <w:rPr>
                <w:color w:val="auto"/>
                <w:sz w:val="24"/>
                <w:rFonts w:hint="eastAsia" w:eastAsiaTheme="minorEastAsia"/>
              </w:rPr>
              <w:t>28MW</w:t>
            </w:r>
            <w:r>
              <w:rPr>
                <w:color w:val="auto"/>
                <w:sz w:val="24"/>
                <w:rFonts w:eastAsiaTheme="minorEastAsia"/>
              </w:rPr>
              <w:t>燃</w:t>
            </w:r>
            <w:r>
              <w:rPr>
                <w:color w:val="auto"/>
                <w:sz w:val="24"/>
                <w:rFonts w:hint="eastAsia" w:eastAsiaTheme="minorEastAsia"/>
              </w:rPr>
              <w:t>天然气</w:t>
            </w:r>
            <w:r>
              <w:rPr>
                <w:color w:val="auto"/>
                <w:sz w:val="24"/>
                <w:rFonts w:eastAsiaTheme="minorEastAsia"/>
              </w:rPr>
              <w:t>燃烧器烟气、热料仓落料废气、</w:t>
            </w:r>
            <w:r>
              <w:rPr>
                <w:color w:val="auto"/>
                <w:sz w:val="24"/>
                <w:bCs/>
                <w:rFonts w:eastAsiaTheme="minorEastAsia"/>
              </w:rPr>
              <w:t>矿粉筒装卸粉尘</w:t>
            </w:r>
            <w:r>
              <w:rPr>
                <w:color w:val="auto"/>
                <w:sz w:val="24"/>
                <w:rFonts w:hint="eastAsia" w:eastAsiaTheme="minorEastAsia"/>
              </w:rPr>
              <w:t>经除尘系统（重力+布袋）处理后，由15m高除尘系统排气筒（DA001）排放，除尘效率为99%；</w:t>
            </w:r>
            <w:r>
              <w:rPr>
                <w:color w:val="auto"/>
                <w:sz w:val="24"/>
                <w:rFonts w:eastAsiaTheme="minorEastAsia"/>
              </w:rPr>
              <w:t xml:space="preserve"> </w:t>
            </w:r>
          </w:p>
          <w:p w14:paraId="14C65955">
            <w:pPr>
              <w:spacing w:line="360" w:lineRule="auto"/>
              <w:ind w:firstLine="480" w:firstLineChars="200"/>
              <w:rPr>
                <w:color w:val="auto"/>
                <w:sz w:val="24"/>
                <w:rFonts w:eastAsiaTheme="minorEastAsia"/>
              </w:rPr>
            </w:pPr>
            <w:r>
              <w:rPr>
                <w:color w:val="auto"/>
                <w:sz w:val="24"/>
                <w:rFonts w:eastAsiaTheme="minorEastAsia"/>
              </w:rPr>
              <w:t>3、沥青预处理：沥青罐内的沥青通过导热油炉间接加热，使其维持在1</w:t>
            </w:r>
            <w:r>
              <w:rPr>
                <w:color w:val="auto"/>
                <w:sz w:val="24"/>
                <w:rFonts w:hint="eastAsia" w:eastAsiaTheme="minorEastAsia"/>
              </w:rPr>
              <w:t>5</w:t>
            </w:r>
            <w:r>
              <w:rPr>
                <w:color w:val="auto"/>
                <w:sz w:val="24"/>
                <w:rFonts w:eastAsiaTheme="minorEastAsia"/>
              </w:rPr>
              <w:t>0</w:t>
            </w:r>
            <w:r>
              <w:rPr>
                <w:color w:val="auto"/>
                <w:sz w:val="24"/>
                <w:rFonts w:hint="eastAsia" w:eastAsiaTheme="minorEastAsia"/>
              </w:rPr>
              <w:t>-160</w:t>
            </w:r>
            <w:r>
              <w:rPr>
                <w:color w:val="auto"/>
                <w:sz w:val="24"/>
                <w:rFonts w:eastAsiaTheme="minorEastAsia"/>
              </w:rPr>
              <w:t>℃，确保沥青处于可流动状态</w:t>
            </w:r>
            <w:r>
              <w:rPr>
                <w:color w:val="auto"/>
                <w:sz w:val="24"/>
                <w:rFonts w:hint="eastAsia" w:eastAsiaTheme="minorEastAsia"/>
              </w:rPr>
              <w:t>，</w:t>
            </w:r>
            <w:r>
              <w:rPr>
                <w:color w:val="auto"/>
                <w:sz w:val="24"/>
                <w:rFonts w:eastAsiaTheme="minorEastAsia"/>
              </w:rPr>
              <w:t>导热油炉</w:t>
            </w:r>
            <w:r>
              <w:rPr>
                <w:color w:val="auto"/>
                <w:sz w:val="24"/>
                <w:bCs/>
                <w:rFonts w:eastAsiaTheme="minorEastAsia"/>
              </w:rPr>
              <w:t>烟气经</w:t>
            </w:r>
            <w:r>
              <w:rPr>
                <w:color w:val="auto"/>
                <w:sz w:val="24"/>
                <w:rFonts w:hint="eastAsia" w:eastAsiaTheme="minorEastAsia"/>
              </w:rPr>
              <w:t>低氮燃烧处理后（除氮效率30%），由1根15m高排气筒（DA002）排放；</w:t>
            </w:r>
            <w:r>
              <w:rPr>
                <w:color w:val="auto"/>
                <w:sz w:val="24"/>
                <w:rFonts w:eastAsiaTheme="minorEastAsia"/>
              </w:rPr>
              <w:t>生产时用沥青泵将加热好的沥青输送至沥青计量系统，通过专门管道送入搅拌缸内与骨料、粉料进行混合。</w:t>
            </w:r>
          </w:p>
          <w:p w14:paraId="36D2CC40">
            <w:pPr>
              <w:spacing w:line="360" w:lineRule="auto"/>
              <w:ind w:firstLine="480" w:firstLineChars="200"/>
              <w:rPr>
                <w:color w:val="auto"/>
                <w:sz w:val="24"/>
                <w:rFonts w:eastAsiaTheme="minorEastAsia"/>
              </w:rPr>
            </w:pPr>
            <w:r>
              <w:rPr>
                <w:color w:val="auto"/>
                <w:sz w:val="24"/>
                <w:rFonts w:eastAsiaTheme="minorEastAsia"/>
              </w:rPr>
              <w:t>4、搅拌混合工序：进入拌合仓的热骨料、矿粉经与热沥青拌合后得到成品沥青混凝土，整个过程都在封闭系统中进行。厂区不设成品贮仓，成品从拌缸卸料后由汽车直接运出。成品由汽车运输至施工场地。</w:t>
            </w:r>
            <w:r>
              <w:rPr>
                <w:color w:val="auto"/>
                <w:sz w:val="24"/>
                <w:rFonts w:hint="eastAsia" w:eastAsiaTheme="minorEastAsia"/>
              </w:rPr>
              <w:t>本项目在沥青混凝土拌和沥青储罐处会产生</w:t>
            </w:r>
            <w:r>
              <w:rPr>
                <w:color w:val="auto"/>
                <w:sz w:val="24"/>
                <w:bCs/>
                <w:rFonts w:eastAsiaTheme="minorEastAsia"/>
              </w:rPr>
              <w:t>非甲烷总烃、</w:t>
            </w:r>
            <w:r>
              <w:rPr>
                <w:color w:val="auto"/>
                <w:sz w:val="24"/>
                <w:rFonts w:hint="eastAsia" w:eastAsiaTheme="minorEastAsia"/>
              </w:rPr>
              <w:t>沥青烟和苯并[a]芘，沥青在密闭储罐中储存过程中产生的烟气以及出料产生的烟气通过负压收集系统集中收集，经气浮旋流塔+三维一体化废气处理设备（由电离子+光催化+高碘值碳吸附组成）（处理效率95%）处理后，经15m高沥青搅拌排气筒（DA003）排放；</w:t>
            </w:r>
          </w:p>
          <w:p w14:paraId="02ACAD8F">
            <w:pPr>
              <w:spacing w:line="360" w:lineRule="auto"/>
              <w:ind w:firstLine="480" w:firstLineChars="200"/>
              <w:rPr>
                <w:color w:val="auto"/>
                <w:sz w:val="24"/>
                <w:rFonts w:eastAsiaTheme="minorEastAsia"/>
              </w:rPr>
            </w:pPr>
            <w:r>
              <w:rPr>
                <w:color w:val="auto"/>
                <w:sz w:val="24"/>
                <w:rFonts w:hint="eastAsia" w:eastAsiaTheme="minorEastAsia"/>
              </w:rPr>
              <w:t>在整个生产过程中由于使用的生产设备先进性较高，采用的是全自动控制系统，在生产过程中可以有效的减少物料的跑冒漏等，以及其它由于生产设备不先进带来的环保问题，整个生产过程除了进料和出料工序，其他工序均采用密闭操作。</w:t>
            </w:r>
          </w:p>
          <w:p w14:paraId="4D8960FD">
            <w:pPr>
              <w:contextualSpacing/>
              <w:spacing w:line="360" w:lineRule="auto"/>
              <w:ind w:firstLine="482" w:firstLineChars="200"/>
              <w:rPr>
                <w:b w:val="1"/>
                <w:color w:val="auto"/>
                <w:sz w:val="24"/>
                <w:bCs/>
              </w:rPr>
            </w:pPr>
            <w:r>
              <w:rPr>
                <w:b w:val="1"/>
                <w:color w:val="auto"/>
                <w:sz w:val="24"/>
                <w:bCs/>
              </w:rPr>
              <w:t>产排污环节分析：</w:t>
            </w:r>
          </w:p>
          <w:p w14:paraId="042A1828">
            <w:pPr>
              <w:contextualSpacing/>
              <w:spacing w:line="360" w:lineRule="auto"/>
              <w:ind w:firstLine="480" w:firstLineChars="200"/>
              <w:rPr>
                <w:color w:val="auto"/>
                <w:sz w:val="24"/>
                <w:bCs/>
              </w:rPr>
            </w:pPr>
            <w:r>
              <w:rPr>
                <w:color w:val="auto"/>
                <w:sz w:val="24"/>
              </w:rPr>
              <w:t>本项目污染物主要为生产过程中产生的废气，员工生活污水，设备噪声，生产固废</w:t>
            </w:r>
            <w:r>
              <w:rPr>
                <w:color w:val="auto"/>
                <w:sz w:val="24"/>
                <w:bCs/>
              </w:rPr>
              <w:t>。</w:t>
            </w:r>
          </w:p>
          <w:p w14:paraId="43560619">
            <w:pPr>
              <w:contextualSpacing/>
              <w:spacing w:line="360" w:lineRule="auto"/>
              <w:ind w:firstLine="480" w:firstLineChars="200"/>
              <w:rPr>
                <w:color w:val="auto"/>
                <w:sz w:val="24"/>
                <w:bCs/>
              </w:rPr>
            </w:pPr>
            <w:r>
              <w:rPr>
                <w:color w:val="auto"/>
                <w:sz w:val="24"/>
                <w:bCs/>
              </w:rPr>
              <w:t>1、废气：</w:t>
            </w:r>
            <w:r>
              <w:rPr>
                <w:color w:val="auto"/>
                <w:sz w:val="24"/>
                <w:rFonts w:hint="eastAsia" w:eastAsiaTheme="minorEastAsia"/>
              </w:rPr>
              <w:t>铲装集堆</w:t>
            </w:r>
            <w:r>
              <w:rPr>
                <w:color w:val="auto"/>
                <w:sz w:val="24"/>
                <w:rFonts w:eastAsiaTheme="minorEastAsia"/>
              </w:rPr>
              <w:t>粉尘、</w:t>
            </w:r>
            <w:r>
              <w:rPr>
                <w:color w:val="auto"/>
                <w:sz w:val="24"/>
                <w:rFonts w:hint="eastAsia" w:eastAsiaTheme="minorEastAsia"/>
              </w:rPr>
              <w:t>堆场</w:t>
            </w:r>
            <w:r>
              <w:rPr>
                <w:color w:val="auto"/>
                <w:sz w:val="24"/>
                <w:rFonts w:eastAsiaTheme="minorEastAsia"/>
              </w:rPr>
              <w:t>粉尘、冷料仓上料粉尘、矿粉筒仓</w:t>
            </w:r>
            <w:r>
              <w:rPr>
                <w:color w:val="auto"/>
                <w:sz w:val="24"/>
                <w:bCs/>
                <w:rFonts w:eastAsiaTheme="minorEastAsia"/>
              </w:rPr>
              <w:t>装卸</w:t>
            </w:r>
            <w:r>
              <w:rPr>
                <w:color w:val="auto"/>
                <w:sz w:val="24"/>
                <w:rFonts w:eastAsiaTheme="minorEastAsia"/>
              </w:rPr>
              <w:t>粉尘、</w:t>
            </w:r>
            <w:r>
              <w:rPr>
                <w:color w:val="auto"/>
                <w:sz w:val="24"/>
                <w:bCs/>
              </w:rPr>
              <w:t>筛分粉尘、</w:t>
            </w:r>
            <w:r>
              <w:rPr>
                <w:color w:val="auto"/>
                <w:sz w:val="24"/>
                <w:bCs/>
                <w:rFonts w:eastAsiaTheme="minorEastAsia"/>
              </w:rPr>
              <w:t>碎石料</w:t>
            </w:r>
            <w:r>
              <w:rPr>
                <w:color w:val="auto"/>
                <w:sz w:val="24"/>
                <w:bCs/>
                <w:rFonts w:hint="eastAsia" w:eastAsiaTheme="minorEastAsia"/>
              </w:rPr>
              <w:t>烘干</w:t>
            </w:r>
            <w:r>
              <w:rPr>
                <w:color w:val="auto"/>
                <w:sz w:val="24"/>
                <w:bCs/>
                <w:rFonts w:eastAsiaTheme="minorEastAsia"/>
              </w:rPr>
              <w:t>产生的粉尘</w:t>
            </w:r>
            <w:r>
              <w:rPr>
                <w:color w:val="auto"/>
                <w:sz w:val="24"/>
                <w:bCs/>
              </w:rPr>
              <w:t>、</w:t>
            </w:r>
            <w:r>
              <w:rPr>
                <w:color w:val="auto"/>
                <w:sz w:val="24"/>
                <w:bCs/>
                <w:rFonts w:hint="eastAsia" w:eastAsiaTheme="minorEastAsia"/>
              </w:rPr>
              <w:t>28MW</w:t>
            </w:r>
            <w:r>
              <w:rPr>
                <w:color w:val="auto"/>
                <w:sz w:val="24"/>
                <w:bCs/>
                <w:rFonts w:eastAsiaTheme="minorEastAsia"/>
              </w:rPr>
              <w:t>燃</w:t>
            </w:r>
            <w:r>
              <w:rPr>
                <w:color w:val="auto"/>
                <w:sz w:val="24"/>
                <w:bCs/>
                <w:rFonts w:hint="eastAsia" w:eastAsiaTheme="minorEastAsia"/>
              </w:rPr>
              <w:t>天然气</w:t>
            </w:r>
            <w:r>
              <w:rPr>
                <w:color w:val="auto"/>
                <w:sz w:val="24"/>
                <w:bCs/>
                <w:rFonts w:eastAsiaTheme="minorEastAsia"/>
              </w:rPr>
              <w:t>燃烧器烟气</w:t>
            </w:r>
            <w:r>
              <w:rPr>
                <w:color w:val="auto"/>
                <w:sz w:val="24"/>
                <w:bCs/>
              </w:rPr>
              <w:t>、</w:t>
            </w:r>
            <w:r>
              <w:rPr>
                <w:color w:val="auto"/>
                <w:sz w:val="24"/>
                <w:rFonts w:eastAsiaTheme="minorEastAsia"/>
              </w:rPr>
              <w:t>热料仓落料粉尘、</w:t>
            </w:r>
            <w:r>
              <w:rPr>
                <w:color w:val="auto"/>
                <w:sz w:val="24"/>
              </w:rPr>
              <w:t>搅拌机出料口</w:t>
            </w:r>
            <w:r>
              <w:rPr>
                <w:color w:val="auto"/>
                <w:sz w:val="24"/>
                <w:bCs/>
                <w:rFonts w:eastAsiaTheme="minorEastAsia"/>
              </w:rPr>
              <w:t>及</w:t>
            </w:r>
            <w:r>
              <w:rPr>
                <w:color w:val="auto"/>
                <w:sz w:val="24"/>
                <w:bCs/>
              </w:rPr>
              <w:t>沥青储罐呼吸口</w:t>
            </w:r>
            <w:r>
              <w:rPr>
                <w:color w:val="auto"/>
                <w:sz w:val="24"/>
                <w:bCs/>
                <w:rFonts w:eastAsiaTheme="minorEastAsia"/>
              </w:rPr>
              <w:t>产生沥青烟（主要为非甲烷总烃、沥青烟、</w:t>
            </w:r>
            <w:r>
              <w:rPr>
                <w:color w:val="auto"/>
                <w:sz w:val="24"/>
                <w:bCs/>
                <w:rFonts w:hint="eastAsia" w:eastAsiaTheme="minorEastAsia"/>
              </w:rPr>
              <w:t>苯并[a]芘</w:t>
            </w:r>
            <w:r>
              <w:rPr>
                <w:color w:val="auto"/>
                <w:sz w:val="24"/>
                <w:bCs/>
                <w:rFonts w:eastAsiaTheme="minorEastAsia"/>
              </w:rPr>
              <w:t>）、120万kcal燃</w:t>
            </w:r>
            <w:r>
              <w:rPr>
                <w:color w:val="auto"/>
                <w:sz w:val="24"/>
                <w:bCs/>
                <w:rFonts w:hint="eastAsia" w:eastAsiaTheme="minorEastAsia"/>
              </w:rPr>
              <w:t>天然气</w:t>
            </w:r>
            <w:r>
              <w:rPr>
                <w:color w:val="auto"/>
                <w:sz w:val="24"/>
                <w:kern w:val="0"/>
                <w:rFonts w:eastAsiaTheme="minorEastAsia"/>
              </w:rPr>
              <w:t>导热油炉烟气</w:t>
            </w:r>
            <w:r>
              <w:rPr>
                <w:color w:val="auto"/>
                <w:sz w:val="24"/>
                <w:rFonts w:hint="eastAsia" w:eastAsiaTheme="minorEastAsia"/>
              </w:rPr>
              <w:t>（主要为颗粒物、SO</w:t>
            </w:r>
            <w:r>
              <w:rPr>
                <w:vertAlign w:val="subscript"/>
                <w:color w:val="auto"/>
                <w:sz w:val="24"/>
                <w:rFonts w:hint="eastAsia" w:eastAsiaTheme="minorEastAsia"/>
              </w:rPr>
              <w:t>2</w:t>
            </w:r>
            <w:r>
              <w:rPr>
                <w:color w:val="auto"/>
                <w:sz w:val="24"/>
                <w:rFonts w:hint="eastAsia" w:eastAsiaTheme="minorEastAsia"/>
              </w:rPr>
              <w:t>、NOx、烟气黑度）</w:t>
            </w:r>
            <w:r>
              <w:rPr>
                <w:color w:val="auto"/>
                <w:sz w:val="24"/>
                <w:bCs/>
              </w:rPr>
              <w:t>。</w:t>
            </w:r>
          </w:p>
          <w:p w14:paraId="2E23D43E">
            <w:pPr>
              <w:contextualSpacing/>
              <w:spacing w:line="360" w:lineRule="auto"/>
              <w:ind w:firstLine="480" w:firstLineChars="200"/>
              <w:rPr>
                <w:color w:val="auto"/>
                <w:sz w:val="24"/>
                <w:bCs/>
              </w:rPr>
            </w:pPr>
            <w:r>
              <w:rPr>
                <w:color w:val="auto"/>
                <w:sz w:val="24"/>
                <w:bCs/>
              </w:rPr>
              <w:t>2、废水：员工生活污水（主要污染物COD、氨氮、pH、SS、BOD</w:t>
            </w:r>
            <w:r>
              <w:rPr>
                <w:vertAlign w:val="subscript"/>
                <w:color w:val="auto"/>
                <w:sz w:val="24"/>
                <w:bCs/>
              </w:rPr>
              <w:t>5</w:t>
            </w:r>
            <w:r>
              <w:rPr>
                <w:color w:val="auto"/>
                <w:sz w:val="24"/>
                <w:bCs/>
              </w:rPr>
              <w:t>）。</w:t>
            </w:r>
          </w:p>
          <w:p w14:paraId="47DB57C4">
            <w:pPr>
              <w:contextualSpacing/>
              <w:spacing w:line="360" w:lineRule="auto"/>
              <w:ind w:firstLine="480" w:firstLineChars="200"/>
              <w:rPr>
                <w:color w:val="auto"/>
                <w:sz w:val="24"/>
                <w:bCs/>
              </w:rPr>
            </w:pPr>
            <w:r>
              <w:rPr>
                <w:color w:val="auto"/>
                <w:sz w:val="24"/>
                <w:bCs/>
              </w:rPr>
              <w:t>3、噪声：主要噪声来自于筛分机、搅拌机、风机等设备。</w:t>
            </w:r>
          </w:p>
          <w:p w14:paraId="29014BC6">
            <w:pPr>
              <w:contextualSpacing/>
              <w:spacing w:line="360" w:lineRule="auto"/>
              <w:ind w:firstLine="480" w:firstLineChars="200"/>
              <w:rPr>
                <w:color w:val="auto"/>
                <w:sz w:val="24"/>
                <w:bCs/>
              </w:rPr>
            </w:pPr>
            <w:r>
              <w:rPr>
                <w:color w:val="auto"/>
                <w:sz w:val="24"/>
                <w:bCs/>
              </w:rPr>
              <w:t>4、固废：生活垃圾、</w:t>
            </w:r>
            <w:r>
              <w:rPr>
                <w:color w:val="auto"/>
                <w:sz w:val="24"/>
                <w:bCs/>
                <w:rFonts w:hint="eastAsia"/>
              </w:rPr>
              <w:t>除尘</w:t>
            </w:r>
            <w:r>
              <w:rPr>
                <w:color w:val="auto"/>
                <w:sz w:val="24"/>
                <w:bCs/>
              </w:rPr>
              <w:t>系统收集的粉尘、废布袋、</w:t>
            </w:r>
            <w:r>
              <w:rPr>
                <w:color w:val="auto"/>
                <w:sz w:val="24"/>
                <w:rFonts w:hint="eastAsia"/>
              </w:rPr>
              <w:t>实</w:t>
            </w:r>
            <w:r>
              <w:rPr>
                <w:color w:val="auto"/>
                <w:sz w:val="24"/>
              </w:rPr>
              <w:t>验室弃块、初期雨水池油污</w:t>
            </w:r>
            <w:r>
              <w:rPr>
                <w:color w:val="auto"/>
                <w:sz w:val="24"/>
                <w:rFonts w:hint="eastAsia"/>
              </w:rPr>
              <w:t>、</w:t>
            </w:r>
            <w:r>
              <w:rPr>
                <w:color w:val="auto"/>
                <w:sz w:val="24"/>
                <w:bCs/>
              </w:rPr>
              <w:t>废油桶、废导热油、废</w:t>
            </w:r>
            <w:r>
              <w:rPr>
                <w:color w:val="auto"/>
                <w:sz w:val="24"/>
                <w:rFonts w:hint="eastAsia"/>
              </w:rPr>
              <w:t>活性</w:t>
            </w:r>
            <w:r>
              <w:rPr>
                <w:color w:val="auto"/>
                <w:sz w:val="24"/>
                <w:bCs/>
              </w:rPr>
              <w:t>炭。</w:t>
            </w:r>
          </w:p>
        </w:tc>
      </w:tr>
      <w:tr w14:paraId="3B34C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50" w:hRule="atLeast"/>
          <w:jc w:val="center"/>
        </w:trPr>
        <w:tc>
          <w:tcPr>
            <w:tcW w:w="450" w:type="dxa"/>
            <w:vAlign w:val="center"/>
          </w:tcPr>
          <w:p w14:paraId="6D2105AB">
            <w:pPr>
              <w:pStyle w:val="22"/>
              <w:adjustRightInd w:val="0"/>
              <w:snapToGrid w:val="0"/>
              <w:jc w:val="center"/>
              <w:spacing w:after="0" w:afterAutospacing="0" w:before="0" w:beforeAutospacing="0"/>
              <w:rPr>
                <w:color w:val="auto"/>
                <w:szCs w:val="24"/>
                <w:rFonts w:ascii="Times New Roman" w:hAnsi="Times New Roman"/>
              </w:rPr>
            </w:pPr>
            <w:r>
              <w:rPr>
                <w:color w:val="auto"/>
                <w:bCs/>
                <w:kern w:val="2"/>
                <w:szCs w:val="24"/>
                <w:rFonts w:ascii="Times New Roman" w:hAnsi="Times New Roman"/>
              </w:rPr>
              <w:t>与项目有关的原有环境污染问题</w:t>
            </w:r>
          </w:p>
        </w:tc>
        <w:tc>
          <w:tcPr>
            <w:tcW w:w="8610" w:type="dxa"/>
          </w:tcPr>
          <w:p w14:paraId="3431D5BA">
            <w:pPr>
              <w:contextualSpacing/>
              <w:spacing w:line="360" w:lineRule="auto"/>
              <w:ind w:firstLine="480" w:firstLineChars="200"/>
              <w:rPr>
                <w:color w:val="auto"/>
                <w:sz w:val="24"/>
              </w:rPr>
            </w:pPr>
            <w:r>
              <w:rPr>
                <w:color w:val="auto"/>
                <w:sz w:val="24"/>
              </w:rPr>
              <w:t>本项目</w:t>
            </w:r>
            <w:r>
              <w:rPr>
                <w:color w:val="auto"/>
                <w:sz w:val="24"/>
                <w:rFonts w:hint="eastAsia"/>
              </w:rPr>
              <w:t>为新建项目</w:t>
            </w:r>
            <w:r>
              <w:rPr>
                <w:color w:val="auto"/>
                <w:sz w:val="24"/>
              </w:rPr>
              <w:t>，无原有环境污染问题。</w:t>
            </w:r>
          </w:p>
          <w:p w14:paraId="68080F26">
            <w:pPr>
              <w:contextualSpacing/>
              <w:spacing w:line="360" w:lineRule="auto"/>
              <w:ind w:firstLine="480" w:firstLineChars="200"/>
              <w:rPr>
                <w:color w:val="auto"/>
                <w:sz w:val="24"/>
                <w:bCs/>
              </w:rPr>
            </w:pPr>
          </w:p>
          <w:p w14:paraId="04C3C41F">
            <w:pPr>
              <w:contextualSpacing/>
              <w:spacing w:line="360" w:lineRule="auto"/>
              <w:ind w:firstLine="480" w:firstLineChars="200"/>
              <w:rPr>
                <w:color w:val="auto"/>
                <w:sz w:val="24"/>
                <w:bCs/>
              </w:rPr>
            </w:pPr>
          </w:p>
          <w:p w14:paraId="77352AB9">
            <w:pPr>
              <w:contextualSpacing/>
              <w:spacing w:line="360" w:lineRule="auto"/>
              <w:ind w:firstLine="480" w:firstLineChars="200"/>
              <w:rPr>
                <w:color w:val="auto"/>
                <w:sz w:val="24"/>
                <w:bCs/>
              </w:rPr>
            </w:pPr>
          </w:p>
          <w:p w14:paraId="3356143F">
            <w:pPr>
              <w:contextualSpacing/>
              <w:spacing w:line="360" w:lineRule="auto"/>
              <w:ind w:firstLine="480" w:firstLineChars="200"/>
              <w:rPr>
                <w:color w:val="auto"/>
                <w:sz w:val="24"/>
                <w:bCs/>
              </w:rPr>
            </w:pPr>
          </w:p>
          <w:p w14:paraId="2E5FD988">
            <w:pPr>
              <w:contextualSpacing/>
              <w:spacing w:line="360" w:lineRule="auto"/>
              <w:ind w:firstLine="480" w:firstLineChars="200"/>
              <w:rPr>
                <w:color w:val="auto"/>
                <w:sz w:val="24"/>
                <w:bCs/>
              </w:rPr>
            </w:pPr>
          </w:p>
          <w:p w14:paraId="44A7A0E8">
            <w:pPr>
              <w:contextualSpacing/>
              <w:spacing w:line="360" w:lineRule="auto"/>
              <w:ind w:firstLine="480" w:firstLineChars="200"/>
              <w:rPr>
                <w:color w:val="auto"/>
                <w:sz w:val="24"/>
                <w:bCs/>
              </w:rPr>
            </w:pPr>
          </w:p>
          <w:p w14:paraId="5162B7DD">
            <w:pPr>
              <w:contextualSpacing/>
              <w:spacing w:line="360" w:lineRule="auto"/>
              <w:ind w:firstLine="480" w:firstLineChars="200"/>
              <w:rPr>
                <w:color w:val="auto"/>
                <w:sz w:val="24"/>
                <w:bCs/>
              </w:rPr>
            </w:pPr>
          </w:p>
          <w:p w14:paraId="38924828">
            <w:pPr>
              <w:contextualSpacing/>
              <w:spacing w:line="360" w:lineRule="auto"/>
              <w:rPr>
                <w:color w:val="auto"/>
                <w:sz w:val="24"/>
                <w:bCs/>
              </w:rPr>
            </w:pPr>
          </w:p>
        </w:tc>
      </w:tr>
    </w:tbl>
    <w:p w14:paraId="32D721D1">
      <w:pPr>
        <w:pStyle w:val="22"/>
        <w:jc w:val="center"/>
        <w:rPr>
          <w:color w:val="auto"/>
          <w:sz w:val="36"/>
          <w:szCs w:val="36"/>
          <w:rFonts w:ascii="Times New Roman" w:hAnsi="Times New Roman" w:eastAsia="黑体"/>
        </w:rPr>
        <w:sectPr>
          <w:docGrid w:type="default" w:linePitch="312" w:charSpace="0"/>
          <w:pgSz w:w="11906" w:h="16838"/>
          <w:pgMar w:top="1701" w:right="1531" w:bottom="1701" w:left="1531" w:header="851" w:footer="851"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720" w:num="1"/>
        </w:sectPr>
      </w:pPr>
    </w:p>
    <w:p w14:paraId="689952F6">
      <w:pPr>
        <w:pStyle w:val="22"/>
        <w:jc w:val="center"/>
        <w:outlineLvl w:val="0"/>
        <w:rPr>
          <w:color w:val="auto"/>
          <w:sz w:val="30"/>
          <w:szCs w:val="30"/>
          <w:rFonts w:ascii="Times New Roman" w:hAnsi="Times New Roman" w:eastAsia="黑体"/>
        </w:rPr>
      </w:pPr>
      <w:bookmarkStart w:id="6" w:name="_Toc68775754"/>
      <w:r>
        <w:rPr>
          <w:color w:val="auto"/>
          <w:sz w:val="30"/>
          <w:szCs w:val="30"/>
          <w:rFonts w:ascii="Times New Roman" w:hAnsi="Times New Roman" w:eastAsia="黑体"/>
        </w:rPr>
        <w:t>三、区域环境质量现状、环境保护目标及评价标准</w:t>
      </w:r>
      <w:bookmarkEnd w:id="6"/>
    </w:p>
    <w:tbl>
      <w:tblPr>
        <w:tblStyle w:val="27"/>
        <w:tblW w:w="0" w:type="auto"/>
        <w:jc w:val="center"/>
        <w:tblLayout w:type="autofit"/>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
      <w:tblGrid>
        <w:gridCol w:w="737.000000"/>
        <w:gridCol w:w="8324.000000"/>
      </w:tblGrid>
      <w:tr w14:paraId="43892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977" w:hRule="atLeast"/>
          <w:jc w:val="center"/>
        </w:trPr>
        <w:tc>
          <w:tcPr>
            <w:tcW w:w="996" w:type="dxa"/>
            <w:vAlign w:val="center"/>
          </w:tcPr>
          <w:p w14:paraId="5434DFA5">
            <w:pPr>
              <w:adjustRightInd w:val="0"/>
              <w:snapToGrid w:val="0"/>
              <w:jc w:val="center"/>
              <w:rPr>
                <w:color w:val="auto"/>
                <w:sz w:val="24"/>
                <w:kern w:val="0"/>
              </w:rPr>
            </w:pPr>
            <w:r>
              <w:rPr>
                <w:color w:val="auto"/>
                <w:sz w:val="24"/>
                <w:kern w:val="0"/>
              </w:rPr>
              <w:t>区域</w:t>
            </w:r>
          </w:p>
          <w:p w14:paraId="27967F22">
            <w:pPr>
              <w:adjustRightInd w:val="0"/>
              <w:snapToGrid w:val="0"/>
              <w:jc w:val="center"/>
              <w:rPr>
                <w:color w:val="auto"/>
                <w:sz w:val="24"/>
                <w:kern w:val="0"/>
              </w:rPr>
            </w:pPr>
            <w:r>
              <w:rPr>
                <w:color w:val="auto"/>
                <w:sz w:val="24"/>
                <w:kern w:val="0"/>
              </w:rPr>
              <w:t>环境</w:t>
            </w:r>
          </w:p>
          <w:p w14:paraId="7D45B02D">
            <w:pPr>
              <w:adjustRightInd w:val="0"/>
              <w:snapToGrid w:val="0"/>
              <w:jc w:val="center"/>
              <w:rPr>
                <w:color w:val="auto"/>
                <w:sz w:val="24"/>
                <w:kern w:val="0"/>
              </w:rPr>
            </w:pPr>
            <w:r>
              <w:rPr>
                <w:color w:val="auto"/>
                <w:sz w:val="24"/>
                <w:kern w:val="0"/>
              </w:rPr>
              <w:t>质量</w:t>
            </w:r>
          </w:p>
          <w:p w14:paraId="453B211C">
            <w:pPr>
              <w:adjustRightInd w:val="0"/>
              <w:snapToGrid w:val="0"/>
              <w:jc w:val="center"/>
              <w:rPr>
                <w:color w:val="auto"/>
                <w:sz w:val="24"/>
                <w:kern w:val="0"/>
              </w:rPr>
            </w:pPr>
            <w:r>
              <w:rPr>
                <w:color w:val="auto"/>
                <w:sz w:val="24"/>
                <w:kern w:val="0"/>
              </w:rPr>
              <w:t>现状</w:t>
            </w:r>
          </w:p>
        </w:tc>
        <w:tc>
          <w:tcPr>
            <w:tcW w:w="8329" w:type="dxa"/>
            <w:vAlign w:val="center"/>
          </w:tcPr>
          <w:p w14:paraId="45ECC04D">
            <w:pPr>
              <w:pStyle w:val="59"/>
              <w:contextualSpacing/>
              <w:spacing w:afterLines="0" w:beforeLines="0" w:line="360" w:lineRule="auto"/>
              <w:ind w:firstLine="482"/>
              <w:rPr>
                <w:b w:val="1"/>
                <w:color w:val="auto"/>
              </w:rPr>
            </w:pPr>
            <w:r>
              <w:rPr>
                <w:b w:val="1"/>
                <w:color w:val="auto"/>
              </w:rPr>
              <w:t>1、环境空气</w:t>
            </w:r>
          </w:p>
          <w:p w14:paraId="117C2550">
            <w:pPr>
              <w:pStyle w:val="59"/>
              <w:contextualSpacing/>
              <w:spacing w:afterLines="0" w:beforeLines="0" w:line="360" w:lineRule="auto"/>
              <w:ind w:firstLine="480"/>
              <w:rPr>
                <w:color w:val="auto"/>
                <w:sz w:val="24"/>
                <w:szCs w:val="24"/>
                <w:rFonts w:hAnsiTheme="minorEastAsia" w:eastAsiaTheme="minorEastAsia"/>
              </w:rPr>
            </w:pPr>
            <w:r>
              <w:rPr>
                <w:color w:val="auto"/>
                <w:sz w:val="24"/>
                <w:szCs w:val="24"/>
                <w:rFonts w:hint="eastAsia" w:hAnsiTheme="minorEastAsia" w:eastAsiaTheme="minorEastAsia"/>
              </w:rPr>
              <w:t>（1）常规污染物</w:t>
            </w:r>
          </w:p>
          <w:p w14:paraId="03FFDFD9">
            <w:pPr>
              <w:pStyle w:val="65"/>
              <w:widowControl w:val="0"/>
              <w:keepNext w:val="0"/>
              <w:keepLines w:val="0"/>
              <w:pageBreakBefore w:val="0"/>
              <w:wordWrap w:val="1"/>
              <w:overflowPunct w:val="1"/>
              <w:topLinePunct w:val="0"/>
              <w:kinsoku w:val="1"/>
              <w:autoSpaceDE w:val="1"/>
              <w:autoSpaceDN w:val="1"/>
              <w:bidi w:val="0"/>
              <w:adjustRightInd w:val="1"/>
              <w:snapToGrid w:val="1"/>
              <w:jc w:val="both"/>
              <w:outlineLvl w:val="9"/>
              <w:spacing w:line="480" w:lineRule="exact"/>
              <w:ind w:firstLine="480"/>
              <w:rPr>
                <w:u w:val="none"/>
                <w:color w:val="auto"/>
                <w:sz w:val="24"/>
                <w:lang w:eastAsia="zh-CN"/>
                <w:szCs w:val="24"/>
                <w:rFonts w:ascii="Times New Roman" w:hAnsi="Times New Roman" w:cs="Times New Roman" w:hint="default"/>
              </w:rPr>
            </w:pPr>
            <w:r>
              <w:rPr>
                <w:u w:val="none"/>
                <w:color w:val="auto"/>
                <w:sz w:val="24"/>
                <w:lang w:eastAsia="zh-CN"/>
                <w:szCs w:val="24"/>
                <w:rFonts w:ascii="Times New Roman" w:hAnsi="Times New Roman" w:eastAsia="宋体" w:cs="Times New Roman" w:hint="default"/>
              </w:rPr>
              <w:t>根据伊春市生态环境局公布的《</w:t>
            </w:r>
            <w:r>
              <w:rPr>
                <w:u w:val="none"/>
                <w:color w:val="auto"/>
                <w:sz w:val="24"/>
                <w:lang w:val="en-US" w:eastAsia="zh-CN"/>
                <w:szCs w:val="24"/>
                <w:rFonts w:ascii="Times New Roman" w:hAnsi="Times New Roman" w:eastAsia="宋体" w:cs="Times New Roman" w:hint="default"/>
              </w:rPr>
              <w:t>2022年伊春市生态环境质量公报</w:t>
            </w:r>
            <w:r>
              <w:rPr>
                <w:u w:val="none"/>
                <w:color w:val="auto"/>
                <w:sz w:val="24"/>
                <w:lang w:eastAsia="zh-CN"/>
                <w:szCs w:val="24"/>
                <w:rFonts w:ascii="Times New Roman" w:hAnsi="Times New Roman" w:eastAsia="宋体" w:cs="Times New Roman" w:hint="default"/>
              </w:rPr>
              <w:t>》，2022年，伊春市环境空气共监测365天，环境空气质量指数(AQI)达标天数为361天，其中：一级275天，二级86天，达标率为98.9%。</w:t>
            </w:r>
            <w:r>
              <w:rPr>
                <w:u w:val="none"/>
                <w:color w:val="auto"/>
                <w:sz w:val="24"/>
                <w:lang w:eastAsia="zh-CN"/>
                <w:szCs w:val="24"/>
                <w:rFonts w:ascii="Times New Roman" w:hAnsi="Times New Roman" w:cs="Times New Roman" w:hint="default"/>
              </w:rPr>
              <w:t>伊春市</w:t>
            </w:r>
            <w:r>
              <w:rPr>
                <w:u w:val="none"/>
                <w:color w:val="auto"/>
                <w:sz w:val="24"/>
                <w:lang w:val="en-US" w:eastAsia="zh-CN"/>
                <w:szCs w:val="24"/>
                <w:rFonts w:ascii="Times New Roman" w:hAnsi="Times New Roman" w:cs="Times New Roman" w:hint="default"/>
              </w:rPr>
              <w:t>2022</w:t>
            </w:r>
            <w:r>
              <w:rPr>
                <w:u w:val="none"/>
                <w:color w:val="auto"/>
                <w:sz w:val="24"/>
                <w:szCs w:val="24"/>
                <w:rFonts w:ascii="Times New Roman" w:hAnsi="Times New Roman" w:cs="Times New Roman" w:hint="default"/>
              </w:rPr>
              <w:t>年SO</w:t>
            </w:r>
            <w:r>
              <w:rPr>
                <w:vertAlign w:val="subscript"/>
                <w:u w:val="none"/>
                <w:color w:val="auto"/>
                <w:sz w:val="24"/>
                <w:szCs w:val="24"/>
                <w:rFonts w:ascii="Times New Roman" w:hAnsi="Times New Roman" w:cs="Times New Roman" w:hint="default"/>
              </w:rPr>
              <w:t>2</w:t>
            </w:r>
            <w:r>
              <w:rPr>
                <w:u w:val="none"/>
                <w:color w:val="auto"/>
                <w:sz w:val="24"/>
                <w:szCs w:val="24"/>
                <w:rFonts w:ascii="Times New Roman" w:hAnsi="Times New Roman" w:cs="Times New Roman" w:hint="default"/>
              </w:rPr>
              <w:t>、NO</w:t>
            </w:r>
            <w:r>
              <w:rPr>
                <w:vertAlign w:val="subscript"/>
                <w:u w:val="none"/>
                <w:color w:val="auto"/>
                <w:sz w:val="24"/>
                <w:szCs w:val="24"/>
                <w:rFonts w:ascii="Times New Roman" w:hAnsi="Times New Roman" w:cs="Times New Roman" w:hint="default"/>
              </w:rPr>
              <w:t>2</w:t>
            </w:r>
            <w:r>
              <w:rPr>
                <w:u w:val="none"/>
                <w:color w:val="auto"/>
                <w:sz w:val="24"/>
                <w:szCs w:val="24"/>
                <w:rFonts w:ascii="Times New Roman" w:hAnsi="Times New Roman" w:cs="Times New Roman" w:hint="default"/>
              </w:rPr>
              <w:t>、PM</w:t>
            </w:r>
            <w:r>
              <w:rPr>
                <w:vertAlign w:val="subscript"/>
                <w:u w:val="none"/>
                <w:color w:val="auto"/>
                <w:sz w:val="24"/>
                <w:szCs w:val="24"/>
                <w:rFonts w:ascii="Times New Roman" w:hAnsi="Times New Roman" w:cs="Times New Roman" w:hint="default"/>
              </w:rPr>
              <w:t>10</w:t>
            </w:r>
            <w:r>
              <w:rPr>
                <w:u w:val="none"/>
                <w:color w:val="auto"/>
                <w:sz w:val="24"/>
                <w:szCs w:val="24"/>
                <w:rFonts w:ascii="Times New Roman" w:hAnsi="Times New Roman" w:cs="Times New Roman" w:hint="default"/>
              </w:rPr>
              <w:t>、PM</w:t>
            </w:r>
            <w:r>
              <w:rPr>
                <w:vertAlign w:val="subscript"/>
                <w:u w:val="none"/>
                <w:color w:val="auto"/>
                <w:sz w:val="24"/>
                <w:szCs w:val="24"/>
                <w:rFonts w:ascii="Times New Roman" w:hAnsi="Times New Roman" w:cs="Times New Roman" w:hint="default"/>
              </w:rPr>
              <w:t>2.5</w:t>
            </w:r>
            <w:r>
              <w:rPr>
                <w:u w:val="none"/>
                <w:color w:val="auto"/>
                <w:sz w:val="24"/>
                <w:szCs w:val="24"/>
                <w:rFonts w:ascii="Times New Roman" w:hAnsi="Times New Roman" w:cs="Times New Roman" w:hint="default"/>
              </w:rPr>
              <w:t>年均浓度分别为</w:t>
            </w:r>
            <w:r>
              <w:rPr>
                <w:u w:val="none"/>
                <w:color w:val="auto"/>
                <w:sz w:val="24"/>
                <w:lang w:val="en-US" w:eastAsia="zh-CN"/>
                <w:szCs w:val="24"/>
                <w:rFonts w:ascii="Times New Roman" w:hAnsi="Times New Roman" w:cs="Times New Roman" w:hint="default"/>
              </w:rPr>
              <w:t>6</w:t>
            </w:r>
            <w:r>
              <w:rPr>
                <w:u w:val="none"/>
                <w:color w:val="auto"/>
                <w:sz w:val="24"/>
                <w:szCs w:val="24"/>
                <w:rFonts w:ascii="Times New Roman" w:hAnsi="Times New Roman" w:cs="Times New Roman" w:hint="default"/>
              </w:rPr>
              <w:t>ug/m</w:t>
            </w:r>
            <w:r>
              <w:rPr>
                <w:vertAlign w:val="super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w:t>
            </w:r>
            <w:r>
              <w:rPr>
                <w:u w:val="none"/>
                <w:color w:val="auto"/>
                <w:sz w:val="24"/>
                <w:lang w:val="en-US" w:eastAsia="zh-CN"/>
                <w:szCs w:val="24"/>
                <w:rFonts w:ascii="Times New Roman" w:hAnsi="Times New Roman" w:cs="Times New Roman" w:hint="default"/>
              </w:rPr>
              <w:t>11</w:t>
            </w:r>
            <w:r>
              <w:rPr>
                <w:u w:val="none"/>
                <w:color w:val="auto"/>
                <w:sz w:val="24"/>
                <w:szCs w:val="24"/>
                <w:rFonts w:ascii="Times New Roman" w:hAnsi="Times New Roman" w:cs="Times New Roman" w:hint="default"/>
              </w:rPr>
              <w:t>ug/m</w:t>
            </w:r>
            <w:r>
              <w:rPr>
                <w:vertAlign w:val="super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w:t>
            </w:r>
            <w:r>
              <w:rPr>
                <w:u w:val="none"/>
                <w:color w:val="auto"/>
                <w:sz w:val="24"/>
                <w:lang w:val="en-US" w:eastAsia="zh-CN"/>
                <w:szCs w:val="24"/>
                <w:rFonts w:ascii="Times New Roman" w:hAnsi="Times New Roman" w:cs="Times New Roman" w:hint="default"/>
              </w:rPr>
              <w:t>30u</w:t>
            </w:r>
            <w:r>
              <w:rPr>
                <w:u w:val="none"/>
                <w:color w:val="auto"/>
                <w:sz w:val="24"/>
                <w:szCs w:val="24"/>
                <w:rFonts w:ascii="Times New Roman" w:hAnsi="Times New Roman" w:cs="Times New Roman" w:hint="default"/>
              </w:rPr>
              <w:t>g/m</w:t>
            </w:r>
            <w:r>
              <w:rPr>
                <w:vertAlign w:val="super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w:t>
            </w:r>
            <w:r>
              <w:rPr>
                <w:u w:val="none"/>
                <w:color w:val="auto"/>
                <w:sz w:val="24"/>
                <w:lang w:val="en-US" w:eastAsia="zh-CN"/>
                <w:szCs w:val="24"/>
                <w:rFonts w:ascii="Times New Roman" w:hAnsi="Times New Roman" w:cs="Times New Roman" w:hint="default"/>
              </w:rPr>
              <w:t>21</w:t>
            </w:r>
            <w:r>
              <w:rPr>
                <w:u w:val="none"/>
                <w:color w:val="auto"/>
                <w:sz w:val="24"/>
                <w:szCs w:val="24"/>
                <w:rFonts w:ascii="Times New Roman" w:hAnsi="Times New Roman" w:cs="Times New Roman" w:hint="default"/>
              </w:rPr>
              <w:t>ug/m</w:t>
            </w:r>
            <w:r>
              <w:rPr>
                <w:vertAlign w:val="super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；CO24小时平均第95百分位数为</w:t>
            </w:r>
            <w:r>
              <w:rPr>
                <w:u w:val="none"/>
                <w:color w:val="auto"/>
                <w:sz w:val="24"/>
                <w:lang w:val="en-US" w:eastAsia="zh-CN"/>
                <w:szCs w:val="24"/>
                <w:rFonts w:ascii="Times New Roman" w:hAnsi="Times New Roman" w:cs="Times New Roman" w:hint="default"/>
              </w:rPr>
              <w:t>0.9</w:t>
            </w:r>
            <w:r>
              <w:rPr>
                <w:u w:val="none"/>
                <w:color w:val="auto"/>
                <w:sz w:val="24"/>
                <w:szCs w:val="24"/>
                <w:rFonts w:ascii="Times New Roman" w:hAnsi="Times New Roman" w:cs="Times New Roman" w:hint="default"/>
              </w:rPr>
              <w:t>mg/m</w:t>
            </w:r>
            <w:r>
              <w:rPr>
                <w:vertAlign w:val="super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，O</w:t>
            </w:r>
            <w:r>
              <w:rPr>
                <w:vertAlign w:val="sub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日最大8小时平均第90百分位数为</w:t>
            </w:r>
            <w:r>
              <w:rPr>
                <w:u w:val="none"/>
                <w:color w:val="auto"/>
                <w:sz w:val="24"/>
                <w:lang w:val="en-US" w:eastAsia="zh-CN"/>
                <w:szCs w:val="24"/>
                <w:rFonts w:ascii="Times New Roman" w:hAnsi="Times New Roman" w:cs="Times New Roman" w:hint="default"/>
              </w:rPr>
              <w:t>98</w:t>
            </w:r>
            <w:r>
              <w:rPr>
                <w:u w:val="none"/>
                <w:color w:val="auto"/>
                <w:sz w:val="24"/>
                <w:szCs w:val="24"/>
                <w:rFonts w:ascii="Times New Roman" w:hAnsi="Times New Roman" w:cs="Times New Roman" w:hint="default"/>
              </w:rPr>
              <w:t>ug/m</w:t>
            </w:r>
            <w:r>
              <w:rPr>
                <w:vertAlign w:val="super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；各污染物平均浓度均低于《环境空气质量标准》（GB3095-2012）中二级标准限值</w:t>
            </w:r>
            <w:r>
              <w:rPr>
                <w:u w:val="none"/>
                <w:color w:val="auto"/>
                <w:sz w:val="24"/>
                <w:lang w:eastAsia="zh-CN"/>
                <w:szCs w:val="24"/>
                <w:rFonts w:ascii="Times New Roman" w:hAnsi="Times New Roman" w:cs="Times New Roman" w:hint="default"/>
              </w:rPr>
              <w:t>。</w:t>
            </w:r>
          </w:p>
          <w:p w14:paraId="6CD20B00">
            <w:pPr>
              <w:pStyle w:val="65"/>
              <w:widowControl w:val="0"/>
              <w:keepNext w:val="0"/>
              <w:keepLines w:val="0"/>
              <w:pageBreakBefore w:val="0"/>
              <w:wordWrap w:val="1"/>
              <w:overflowPunct w:val="1"/>
              <w:topLinePunct w:val="0"/>
              <w:kinsoku w:val="1"/>
              <w:autoSpaceDE w:val="1"/>
              <w:autoSpaceDN w:val="1"/>
              <w:bidi w:val="0"/>
              <w:adjustRightInd w:val="1"/>
              <w:snapToGrid w:val="1"/>
              <w:jc w:val="both"/>
              <w:outlineLvl w:val="9"/>
              <w:spacing w:line="480" w:lineRule="exact"/>
              <w:ind w:firstLine="480"/>
              <w:rPr>
                <w:u w:val="none"/>
                <w:color w:val="auto"/>
                <w:sz w:val="24"/>
                <w:lang w:eastAsia="zh-CN"/>
                <w:szCs w:val="24"/>
                <w:rFonts w:ascii="Times New Roman" w:hAnsi="Times New Roman" w:eastAsia="宋体" w:cs="Times New Roman" w:hint="default"/>
              </w:rPr>
            </w:pPr>
            <w:r>
              <w:rPr>
                <w:u w:val="none"/>
                <w:color w:val="auto"/>
                <w:sz w:val="24"/>
                <w:lang w:val="en-US" w:eastAsia="zh-CN"/>
                <w:szCs w:val="24"/>
                <w:rFonts w:ascii="Times New Roman" w:hAnsi="Times New Roman" w:eastAsia="宋体" w:cs="Times New Roman" w:hint="default"/>
              </w:rPr>
              <w:t>本项目所在区域环境空气质量现状见下表</w:t>
            </w:r>
            <w:r>
              <w:rPr>
                <w:u w:val="none"/>
                <w:color w:val="auto"/>
                <w:sz w:val="24"/>
                <w:lang w:val="en-US" w:eastAsia="zh-CN"/>
                <w:szCs w:val="24"/>
                <w:rFonts w:ascii="Times New Roman" w:hAnsi="Times New Roman" w:eastAsia="宋体" w:cs="Times New Roman" w:hint="eastAsia"/>
              </w:rPr>
              <w:t>3</w:t>
            </w:r>
            <w:r>
              <w:rPr>
                <w:u w:val="none"/>
                <w:color w:val="auto"/>
                <w:sz w:val="24"/>
                <w:lang w:val="en-US" w:eastAsia="zh-CN"/>
                <w:szCs w:val="24"/>
                <w:rFonts w:ascii="Times New Roman" w:hAnsi="Times New Roman" w:eastAsia="宋体" w:cs="Times New Roman" w:hint="default"/>
              </w:rPr>
              <w:t>-1。</w:t>
            </w:r>
          </w:p>
          <w:p w14:paraId="2D9D9B7F">
            <w:pPr>
              <w:widowControl w:val="0"/>
              <w:keepNext w:val="0"/>
              <w:keepLines w:val="0"/>
              <w:pageBreakBefore w:val="0"/>
              <w:wordWrap w:val="1"/>
              <w:overflowPunct w:val="1"/>
              <w:topLinePunct w:val="0"/>
              <w:kinsoku w:val="1"/>
              <w:autoSpaceDE w:val="1"/>
              <w:autoSpaceDN w:val="1"/>
              <w:bidi w:val="0"/>
              <w:adjustRightInd w:val="0"/>
              <w:snapToGrid w:val="0"/>
              <w:jc w:val="center"/>
              <w:spacing w:line="240" w:lineRule="auto"/>
              <w:ind w:firstLine="0" w:firstLineChars="0"/>
              <w:rPr>
                <w:b w:val="1"/>
                <w:u w:val="none"/>
                <w:color w:val="auto"/>
                <w:lang w:val="en-US" w:eastAsia="zh-CN"/>
                <w:bCs/>
                <w:rFonts w:ascii="Times New Roman" w:hAnsi="Times New Roman" w:eastAsia="宋体" w:cs="Times New Roman" w:hint="default"/>
              </w:rPr>
            </w:pPr>
            <w:r>
              <w:rPr>
                <w:b w:val="1"/>
                <w:u w:val="none"/>
                <w:color w:val="auto"/>
                <w:lang w:val="en-US" w:eastAsia="zh-CN"/>
                <w:bCs/>
                <w:rFonts w:ascii="Times New Roman" w:hAnsi="Times New Roman" w:eastAsia="宋体" w:cs="Times New Roman" w:hint="default"/>
              </w:rPr>
              <w:t>表</w:t>
            </w:r>
            <w:r>
              <w:rPr>
                <w:b w:val="1"/>
                <w:u w:val="none"/>
                <w:color w:val="auto"/>
                <w:lang w:val="en-US" w:eastAsia="zh-CN"/>
                <w:bCs/>
                <w:rFonts w:ascii="Times New Roman" w:hAnsi="Times New Roman" w:eastAsia="宋体" w:cs="Times New Roman" w:hint="eastAsia"/>
              </w:rPr>
              <w:t>3</w:t>
            </w:r>
            <w:r>
              <w:rPr>
                <w:b w:val="1"/>
                <w:u w:val="none"/>
                <w:color w:val="auto"/>
                <w:lang w:val="en-US" w:eastAsia="zh-CN"/>
                <w:bCs/>
                <w:rFonts w:ascii="Times New Roman" w:hAnsi="Times New Roman" w:eastAsia="宋体" w:cs="Times New Roman" w:hint="default"/>
              </w:rPr>
              <w:t>-1  本项目所在区域空气质量现状评价表</w:t>
            </w:r>
          </w:p>
          <w:tbl>
            <w:tblPr>
              <w:tblStyle w:val="28"/>
              <w:tblW w:w="4997" w:type="pct"/>
              <w:tblInd w:type="dxa" w:w="0.000000"/>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820.000000"/>
              <w:gridCol w:w="1875.000000"/>
              <w:gridCol w:w="1562.000000"/>
              <w:gridCol w:w="1367.000000"/>
              <w:gridCol w:w="1255.000000"/>
              <w:gridCol w:w="1224.000000"/>
            </w:tblGrid>
            <w:tr w14:paraId="486B5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68816E5A">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污染物</w:t>
                  </w:r>
                </w:p>
              </w:tc>
              <w:tc>
                <w:tcPr>
                  <w:tcW w:w="1156" w:type="pct"/>
                  <w:vAlign w:val="center"/>
                  <w:tcBorders>
                    <w:tl2br w:val="nil"/>
                    <w:tr2bl w:val="nil"/>
                  </w:tcBorders>
                  <w:noWrap w:val="0"/>
                </w:tcPr>
                <w:p w14:paraId="2077391C">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年评价指标</w:t>
                  </w:r>
                </w:p>
              </w:tc>
              <w:tc>
                <w:tcPr>
                  <w:tcW w:w="963" w:type="pct"/>
                  <w:vAlign w:val="center"/>
                  <w:tcBorders>
                    <w:tl2br w:val="nil"/>
                    <w:tr2bl w:val="nil"/>
                  </w:tcBorders>
                  <w:noWrap w:val="0"/>
                </w:tcPr>
                <w:p w14:paraId="36FFB785">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现状浓度</w:t>
                  </w:r>
                  <w:r>
                    <w:rPr>
                      <w:vertAlign w:val="baseline"/>
                      <w:u w:val="none"/>
                      <w:color w:val="auto"/>
                      <w:sz w:val="21"/>
                      <w:lang w:val="en-US" w:eastAsia="zh-CN"/>
                      <w:szCs w:val="21"/>
                      <w:rFonts w:ascii="Times New Roman" w:hAnsi="Times New Roman" w:cs="Times New Roman" w:hint="default"/>
                    </w:rPr>
                    <w:t>ug/m</w:t>
                  </w:r>
                  <w:r>
                    <w:rPr>
                      <w:vertAlign w:val="superscript"/>
                      <w:u w:val="none"/>
                      <w:color w:val="auto"/>
                      <w:sz w:val="21"/>
                      <w:lang w:val="en-US" w:eastAsia="zh-CN"/>
                      <w:szCs w:val="21"/>
                      <w:rFonts w:ascii="Times New Roman" w:hAnsi="Times New Roman" w:cs="Times New Roman" w:hint="default"/>
                    </w:rPr>
                    <w:t>3</w:t>
                  </w:r>
                </w:p>
              </w:tc>
              <w:tc>
                <w:tcPr>
                  <w:tcW w:w="843" w:type="pct"/>
                  <w:vAlign w:val="center"/>
                  <w:tcBorders>
                    <w:tl2br w:val="nil"/>
                    <w:tr2bl w:val="nil"/>
                  </w:tcBorders>
                  <w:noWrap w:val="0"/>
                </w:tcPr>
                <w:p w14:paraId="1E5B624A">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标准值</w:t>
                  </w:r>
                  <w:r>
                    <w:rPr>
                      <w:vertAlign w:val="baseline"/>
                      <w:u w:val="none"/>
                      <w:color w:val="auto"/>
                      <w:sz w:val="21"/>
                      <w:lang w:val="en-US" w:eastAsia="zh-CN"/>
                      <w:szCs w:val="21"/>
                      <w:rFonts w:ascii="Times New Roman" w:hAnsi="Times New Roman" w:cs="Times New Roman" w:hint="default"/>
                    </w:rPr>
                    <w:t>ug/m</w:t>
                  </w:r>
                  <w:r>
                    <w:rPr>
                      <w:vertAlign w:val="superscript"/>
                      <w:u w:val="none"/>
                      <w:color w:val="auto"/>
                      <w:sz w:val="21"/>
                      <w:lang w:val="en-US" w:eastAsia="zh-CN"/>
                      <w:szCs w:val="21"/>
                      <w:rFonts w:ascii="Times New Roman" w:hAnsi="Times New Roman" w:cs="Times New Roman" w:hint="default"/>
                    </w:rPr>
                    <w:t>3</w:t>
                  </w:r>
                </w:p>
              </w:tc>
              <w:tc>
                <w:tcPr>
                  <w:tcW w:w="774" w:type="pct"/>
                  <w:vAlign w:val="center"/>
                  <w:tcBorders>
                    <w:tl2br w:val="nil"/>
                    <w:tr2bl w:val="nil"/>
                  </w:tcBorders>
                  <w:noWrap w:val="0"/>
                </w:tcPr>
                <w:p w14:paraId="76ED99B3">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占标率</w:t>
                  </w:r>
                  <w:r>
                    <w:rPr>
                      <w:vertAlign w:val="baseline"/>
                      <w:u w:val="none"/>
                      <w:color w:val="auto"/>
                      <w:sz w:val="21"/>
                      <w:lang w:val="en-US" w:eastAsia="zh-CN"/>
                      <w:szCs w:val="21"/>
                      <w:rFonts w:ascii="Times New Roman" w:hAnsi="Times New Roman" w:cs="Times New Roman" w:hint="default"/>
                    </w:rPr>
                    <w:t>%</w:t>
                  </w:r>
                </w:p>
              </w:tc>
              <w:tc>
                <w:tcPr>
                  <w:tcW w:w="755" w:type="pct"/>
                  <w:vAlign w:val="center"/>
                  <w:tcBorders>
                    <w:tl2br w:val="nil"/>
                    <w:tr2bl w:val="nil"/>
                  </w:tcBorders>
                  <w:noWrap w:val="0"/>
                </w:tcPr>
                <w:p w14:paraId="15DD1B1E">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达标情况</w:t>
                  </w:r>
                </w:p>
              </w:tc>
            </w:tr>
            <w:tr w14:paraId="6519B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2636647A">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val="de-DE" w:eastAsia="zh-CN"/>
                      <w:szCs w:val="21"/>
                      <w:rFonts w:ascii="Times New Roman" w:hAnsi="Times New Roman" w:cs="Times New Roman" w:hint="default"/>
                    </w:rPr>
                    <w:t>SO</w:t>
                  </w:r>
                  <w:r>
                    <w:rPr>
                      <w:vertAlign w:val="subscript"/>
                      <w:u w:val="none"/>
                      <w:color w:val="auto"/>
                      <w:sz w:val="21"/>
                      <w:lang w:val="de-DE" w:eastAsia="zh-CN"/>
                      <w:szCs w:val="21"/>
                      <w:rFonts w:ascii="Times New Roman" w:hAnsi="Times New Roman" w:cs="Times New Roman" w:hint="default"/>
                    </w:rPr>
                    <w:t>2</w:t>
                  </w:r>
                </w:p>
              </w:tc>
              <w:tc>
                <w:tcPr>
                  <w:tcW w:w="1156" w:type="pct"/>
                  <w:vAlign w:val="center"/>
                  <w:tcBorders>
                    <w:tl2br w:val="nil"/>
                    <w:tr2bl w:val="nil"/>
                  </w:tcBorders>
                  <w:noWrap w:val="0"/>
                </w:tcPr>
                <w:p w14:paraId="016820AF">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年平均质量浓度</w:t>
                  </w:r>
                </w:p>
              </w:tc>
              <w:tc>
                <w:tcPr>
                  <w:tcW w:w="963" w:type="pct"/>
                  <w:vAlign w:val="center"/>
                  <w:tcBorders>
                    <w:tl2br w:val="nil"/>
                    <w:tr2bl w:val="nil"/>
                  </w:tcBorders>
                  <w:noWrap w:val="0"/>
                </w:tcPr>
                <w:p w14:paraId="6AADB6EF">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6</w:t>
                  </w:r>
                </w:p>
              </w:tc>
              <w:tc>
                <w:tcPr>
                  <w:tcW w:w="843" w:type="pct"/>
                  <w:vAlign w:val="center"/>
                  <w:tcBorders>
                    <w:tl2br w:val="nil"/>
                    <w:tr2bl w:val="nil"/>
                  </w:tcBorders>
                  <w:noWrap w:val="0"/>
                </w:tcPr>
                <w:p w14:paraId="18DB5A93">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60</w:t>
                  </w:r>
                </w:p>
              </w:tc>
              <w:tc>
                <w:tcPr>
                  <w:tcW w:w="774" w:type="pct"/>
                  <w:vAlign w:val="center"/>
                  <w:tcBorders>
                    <w:tl2br w:val="nil"/>
                    <w:tr2bl w:val="nil"/>
                  </w:tcBorders>
                  <w:noWrap w:val="0"/>
                </w:tcPr>
                <w:p w14:paraId="70C24543">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10</w:t>
                  </w:r>
                </w:p>
              </w:tc>
              <w:tc>
                <w:tcPr>
                  <w:tcW w:w="755" w:type="pct"/>
                  <w:vAlign w:val="center"/>
                  <w:tcBorders>
                    <w:tl2br w:val="nil"/>
                    <w:tr2bl w:val="nil"/>
                  </w:tcBorders>
                  <w:noWrap w:val="0"/>
                </w:tcPr>
                <w:p w14:paraId="6A5C3BBE">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w:t>
                  </w:r>
                </w:p>
              </w:tc>
            </w:tr>
            <w:tr w14:paraId="19AAE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15ED360E">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val="de-DE" w:eastAsia="zh-CN"/>
                      <w:szCs w:val="21"/>
                      <w:rFonts w:ascii="Times New Roman" w:hAnsi="Times New Roman" w:cs="Times New Roman" w:hint="default"/>
                    </w:rPr>
                    <w:t>NO</w:t>
                  </w:r>
                  <w:r>
                    <w:rPr>
                      <w:vertAlign w:val="subscript"/>
                      <w:u w:val="none"/>
                      <w:color w:val="auto"/>
                      <w:sz w:val="21"/>
                      <w:lang w:val="de-DE" w:eastAsia="zh-CN"/>
                      <w:szCs w:val="21"/>
                      <w:rFonts w:ascii="Times New Roman" w:hAnsi="Times New Roman" w:cs="Times New Roman" w:hint="default"/>
                    </w:rPr>
                    <w:t>2</w:t>
                  </w:r>
                </w:p>
              </w:tc>
              <w:tc>
                <w:tcPr>
                  <w:tcW w:w="1156" w:type="pct"/>
                  <w:vAlign w:val="center"/>
                  <w:tcBorders>
                    <w:tl2br w:val="nil"/>
                    <w:tr2bl w:val="nil"/>
                  </w:tcBorders>
                  <w:noWrap w:val="0"/>
                </w:tcPr>
                <w:p w14:paraId="0EF1F593">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年平均质量浓度</w:t>
                  </w:r>
                </w:p>
              </w:tc>
              <w:tc>
                <w:tcPr>
                  <w:tcW w:w="963" w:type="pct"/>
                  <w:vAlign w:val="center"/>
                  <w:tcBorders>
                    <w:tl2br w:val="nil"/>
                    <w:tr2bl w:val="nil"/>
                  </w:tcBorders>
                  <w:noWrap w:val="0"/>
                </w:tcPr>
                <w:p w14:paraId="480E1F7E">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11</w:t>
                  </w:r>
                </w:p>
              </w:tc>
              <w:tc>
                <w:tcPr>
                  <w:tcW w:w="843" w:type="pct"/>
                  <w:vAlign w:val="center"/>
                  <w:tcBorders>
                    <w:tl2br w:val="nil"/>
                    <w:tr2bl w:val="nil"/>
                  </w:tcBorders>
                  <w:noWrap w:val="0"/>
                </w:tcPr>
                <w:p w14:paraId="0569C7DE">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40</w:t>
                  </w:r>
                </w:p>
              </w:tc>
              <w:tc>
                <w:tcPr>
                  <w:tcW w:w="774" w:type="pct"/>
                  <w:vAlign w:val="center"/>
                  <w:tcBorders>
                    <w:tl2br w:val="nil"/>
                    <w:tr2bl w:val="nil"/>
                  </w:tcBorders>
                  <w:noWrap w:val="0"/>
                </w:tcPr>
                <w:p w14:paraId="7CBD8FAC">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27.5</w:t>
                  </w:r>
                </w:p>
              </w:tc>
              <w:tc>
                <w:tcPr>
                  <w:tcW w:w="755" w:type="pct"/>
                  <w:vAlign w:val="center"/>
                  <w:tcBorders>
                    <w:tl2br w:val="nil"/>
                    <w:tr2bl w:val="nil"/>
                  </w:tcBorders>
                  <w:noWrap w:val="0"/>
                </w:tcPr>
                <w:p w14:paraId="7964314F">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w:t>
                  </w:r>
                </w:p>
              </w:tc>
            </w:tr>
            <w:tr w14:paraId="268F0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3B159E11">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u w:val="none"/>
                      <w:color w:val="auto"/>
                      <w:sz w:val="21"/>
                      <w:szCs w:val="21"/>
                      <w:rFonts w:ascii="Times New Roman" w:hAnsi="Times New Roman" w:cs="Times New Roman" w:hint="default"/>
                    </w:rPr>
                    <w:t>PM</w:t>
                  </w:r>
                  <w:r>
                    <w:rPr>
                      <w:vertAlign w:val="subscript"/>
                      <w:u w:val="none"/>
                      <w:color w:val="auto"/>
                      <w:sz w:val="21"/>
                      <w:szCs w:val="21"/>
                      <w:rFonts w:ascii="Times New Roman" w:hAnsi="Times New Roman" w:cs="Times New Roman" w:hint="default"/>
                    </w:rPr>
                    <w:t>10</w:t>
                  </w:r>
                </w:p>
              </w:tc>
              <w:tc>
                <w:tcPr>
                  <w:tcW w:w="1156" w:type="pct"/>
                  <w:vAlign w:val="center"/>
                  <w:tcBorders>
                    <w:tl2br w:val="nil"/>
                    <w:tr2bl w:val="nil"/>
                  </w:tcBorders>
                  <w:noWrap w:val="0"/>
                </w:tcPr>
                <w:p w14:paraId="0639034D">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年平均质量浓度</w:t>
                  </w:r>
                </w:p>
              </w:tc>
              <w:tc>
                <w:tcPr>
                  <w:tcW w:w="963" w:type="pct"/>
                  <w:vAlign w:val="center"/>
                  <w:tcBorders>
                    <w:tl2br w:val="nil"/>
                    <w:tr2bl w:val="nil"/>
                  </w:tcBorders>
                  <w:noWrap w:val="0"/>
                </w:tcPr>
                <w:p w14:paraId="29A93449">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30</w:t>
                  </w:r>
                </w:p>
              </w:tc>
              <w:tc>
                <w:tcPr>
                  <w:tcW w:w="843" w:type="pct"/>
                  <w:vAlign w:val="center"/>
                  <w:tcBorders>
                    <w:tl2br w:val="nil"/>
                    <w:tr2bl w:val="nil"/>
                  </w:tcBorders>
                  <w:noWrap w:val="0"/>
                </w:tcPr>
                <w:p w14:paraId="27AB69C4">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70</w:t>
                  </w:r>
                </w:p>
              </w:tc>
              <w:tc>
                <w:tcPr>
                  <w:tcW w:w="774" w:type="pct"/>
                  <w:vAlign w:val="center"/>
                  <w:tcBorders>
                    <w:tl2br w:val="nil"/>
                    <w:tr2bl w:val="nil"/>
                  </w:tcBorders>
                  <w:noWrap w:val="0"/>
                </w:tcPr>
                <w:p w14:paraId="058BEDB9">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42.86</w:t>
                  </w:r>
                </w:p>
              </w:tc>
              <w:tc>
                <w:tcPr>
                  <w:tcW w:w="755" w:type="pct"/>
                  <w:vAlign w:val="center"/>
                  <w:tcBorders>
                    <w:tl2br w:val="nil"/>
                    <w:tr2bl w:val="nil"/>
                  </w:tcBorders>
                  <w:noWrap w:val="0"/>
                </w:tcPr>
                <w:p w14:paraId="07B651DA">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w:t>
                  </w:r>
                </w:p>
              </w:tc>
            </w:tr>
            <w:tr w14:paraId="6893B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7830F7F9">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u w:val="none"/>
                      <w:color w:val="auto"/>
                      <w:sz w:val="21"/>
                      <w:szCs w:val="21"/>
                      <w:rFonts w:ascii="Times New Roman" w:hAnsi="Times New Roman" w:cs="Times New Roman" w:hint="default"/>
                    </w:rPr>
                    <w:t>PM</w:t>
                  </w:r>
                  <w:r>
                    <w:rPr>
                      <w:vertAlign w:val="subscript"/>
                      <w:u w:val="none"/>
                      <w:color w:val="auto"/>
                      <w:sz w:val="21"/>
                      <w:szCs w:val="21"/>
                      <w:rFonts w:ascii="Times New Roman" w:hAnsi="Times New Roman" w:cs="Times New Roman" w:hint="default"/>
                    </w:rPr>
                    <w:t>2.5</w:t>
                  </w:r>
                </w:p>
              </w:tc>
              <w:tc>
                <w:tcPr>
                  <w:tcW w:w="1156" w:type="pct"/>
                  <w:vAlign w:val="center"/>
                  <w:tcBorders>
                    <w:tl2br w:val="nil"/>
                    <w:tr2bl w:val="nil"/>
                  </w:tcBorders>
                  <w:noWrap w:val="0"/>
                </w:tcPr>
                <w:p w14:paraId="2A148D59">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年平均质量浓度</w:t>
                  </w:r>
                </w:p>
              </w:tc>
              <w:tc>
                <w:tcPr>
                  <w:tcW w:w="963" w:type="pct"/>
                  <w:vAlign w:val="center"/>
                  <w:tcBorders>
                    <w:tl2br w:val="nil"/>
                    <w:tr2bl w:val="nil"/>
                  </w:tcBorders>
                  <w:noWrap w:val="0"/>
                </w:tcPr>
                <w:p w14:paraId="0283179C">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21</w:t>
                  </w:r>
                </w:p>
              </w:tc>
              <w:tc>
                <w:tcPr>
                  <w:tcW w:w="843" w:type="pct"/>
                  <w:vAlign w:val="center"/>
                  <w:tcBorders>
                    <w:tl2br w:val="nil"/>
                    <w:tr2bl w:val="nil"/>
                  </w:tcBorders>
                  <w:noWrap w:val="0"/>
                </w:tcPr>
                <w:p w14:paraId="3017F515">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35</w:t>
                  </w:r>
                </w:p>
              </w:tc>
              <w:tc>
                <w:tcPr>
                  <w:tcW w:w="774" w:type="pct"/>
                  <w:vAlign w:val="center"/>
                  <w:tcBorders>
                    <w:tl2br w:val="nil"/>
                    <w:tr2bl w:val="nil"/>
                  </w:tcBorders>
                  <w:noWrap w:val="0"/>
                </w:tcPr>
                <w:p w14:paraId="1F8407DD">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60</w:t>
                  </w:r>
                </w:p>
              </w:tc>
              <w:tc>
                <w:tcPr>
                  <w:tcW w:w="755" w:type="pct"/>
                  <w:vAlign w:val="center"/>
                  <w:tcBorders>
                    <w:tl2br w:val="nil"/>
                    <w:tr2bl w:val="nil"/>
                  </w:tcBorders>
                  <w:noWrap w:val="0"/>
                </w:tcPr>
                <w:p w14:paraId="671B059A">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w:t>
                  </w:r>
                </w:p>
              </w:tc>
            </w:tr>
            <w:tr w14:paraId="788CD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2B25E125">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CO</w:t>
                  </w:r>
                </w:p>
              </w:tc>
              <w:tc>
                <w:tcPr>
                  <w:tcW w:w="1156" w:type="pct"/>
                  <w:vAlign w:val="center"/>
                  <w:tcBorders>
                    <w:tl2br w:val="nil"/>
                    <w:tr2bl w:val="nil"/>
                  </w:tcBorders>
                  <w:noWrap w:val="0"/>
                </w:tcPr>
                <w:p w14:paraId="71B0C0C7">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第95百分位数</w:t>
                  </w:r>
                </w:p>
                <w:p w14:paraId="798FBC00">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日平均</w:t>
                  </w:r>
                  <w:r>
                    <w:rPr>
                      <w:vertAlign w:val="baseline"/>
                      <w:u w:val="none"/>
                      <w:color w:val="auto"/>
                      <w:sz w:val="21"/>
                      <w:lang w:val="en-US" w:eastAsia="zh-CN"/>
                      <w:szCs w:val="21"/>
                      <w:rFonts w:ascii="Times New Roman" w:hAnsi="Times New Roman" w:cs="Times New Roman" w:hint="default"/>
                    </w:rPr>
                    <w:t>质量浓度</w:t>
                  </w:r>
                </w:p>
              </w:tc>
              <w:tc>
                <w:tcPr>
                  <w:tcW w:w="963" w:type="pct"/>
                  <w:vAlign w:val="center"/>
                  <w:tcBorders>
                    <w:tl2br w:val="nil"/>
                    <w:tr2bl w:val="nil"/>
                  </w:tcBorders>
                  <w:noWrap w:val="0"/>
                </w:tcPr>
                <w:p w14:paraId="7BE3F437">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0.9</w:t>
                  </w:r>
                  <w:r>
                    <w:rPr>
                      <w:vertAlign w:val="baseline"/>
                      <w:u w:val="none"/>
                      <w:color w:val="auto"/>
                      <w:sz w:val="21"/>
                      <w:lang w:eastAsia="zh-CN"/>
                      <w:szCs w:val="21"/>
                      <w:rFonts w:ascii="Times New Roman" w:hAnsi="Times New Roman" w:cs="Times New Roman" w:hint="default"/>
                    </w:rPr>
                    <w:t>mg/m</w:t>
                  </w:r>
                  <w:r>
                    <w:rPr>
                      <w:vertAlign w:val="superscript"/>
                      <w:u w:val="none"/>
                      <w:color w:val="auto"/>
                      <w:sz w:val="21"/>
                      <w:lang w:eastAsia="zh-CN"/>
                      <w:szCs w:val="21"/>
                      <w:rFonts w:ascii="Times New Roman" w:hAnsi="Times New Roman" w:cs="Times New Roman" w:hint="default"/>
                    </w:rPr>
                    <w:t>3</w:t>
                  </w:r>
                </w:p>
              </w:tc>
              <w:tc>
                <w:tcPr>
                  <w:tcW w:w="843" w:type="pct"/>
                  <w:vAlign w:val="center"/>
                  <w:tcBorders>
                    <w:tl2br w:val="nil"/>
                    <w:tr2bl w:val="nil"/>
                  </w:tcBorders>
                  <w:noWrap w:val="0"/>
                </w:tcPr>
                <w:p w14:paraId="60C31702">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4</w:t>
                  </w:r>
                  <w:r>
                    <w:rPr>
                      <w:vertAlign w:val="baseline"/>
                      <w:u w:val="none"/>
                      <w:color w:val="auto"/>
                      <w:sz w:val="21"/>
                      <w:lang w:eastAsia="zh-CN"/>
                      <w:szCs w:val="21"/>
                      <w:rFonts w:ascii="Times New Roman" w:hAnsi="Times New Roman" w:cs="Times New Roman" w:hint="default"/>
                    </w:rPr>
                    <w:t>mg/m</w:t>
                  </w:r>
                  <w:r>
                    <w:rPr>
                      <w:vertAlign w:val="superscript"/>
                      <w:u w:val="none"/>
                      <w:color w:val="auto"/>
                      <w:sz w:val="21"/>
                      <w:lang w:eastAsia="zh-CN"/>
                      <w:szCs w:val="21"/>
                      <w:rFonts w:ascii="Times New Roman" w:hAnsi="Times New Roman" w:cs="Times New Roman" w:hint="default"/>
                    </w:rPr>
                    <w:t>3</w:t>
                  </w:r>
                </w:p>
              </w:tc>
              <w:tc>
                <w:tcPr>
                  <w:tcW w:w="774" w:type="pct"/>
                  <w:vAlign w:val="center"/>
                  <w:tcBorders>
                    <w:tl2br w:val="nil"/>
                    <w:tr2bl w:val="nil"/>
                  </w:tcBorders>
                  <w:noWrap w:val="0"/>
                </w:tcPr>
                <w:p w14:paraId="048CF4CC">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22.5</w:t>
                  </w:r>
                </w:p>
              </w:tc>
              <w:tc>
                <w:tcPr>
                  <w:tcW w:w="755" w:type="pct"/>
                  <w:vAlign w:val="center"/>
                  <w:tcBorders>
                    <w:tl2br w:val="nil"/>
                    <w:tr2bl w:val="nil"/>
                  </w:tcBorders>
                  <w:noWrap w:val="0"/>
                </w:tcPr>
                <w:p w14:paraId="1D0AB4D1">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w:t>
                  </w:r>
                </w:p>
              </w:tc>
            </w:tr>
            <w:tr w14:paraId="265EE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97" w:hRule="atLeast"/>
              </w:trPr>
              <w:tc>
                <w:tcPr>
                  <w:tcW w:w="506" w:type="pct"/>
                  <w:vAlign w:val="center"/>
                  <w:tcBorders>
                    <w:tl2br w:val="nil"/>
                    <w:tr2bl w:val="nil"/>
                  </w:tcBorders>
                  <w:noWrap w:val="0"/>
                </w:tcPr>
                <w:p w14:paraId="2175F7C9">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O</w:t>
                  </w:r>
                  <w:r>
                    <w:rPr>
                      <w:vertAlign w:val="subscript"/>
                      <w:u w:val="none"/>
                      <w:color w:val="auto"/>
                      <w:sz w:val="21"/>
                      <w:lang w:val="en-US" w:eastAsia="zh-CN"/>
                      <w:szCs w:val="21"/>
                      <w:rFonts w:ascii="Times New Roman" w:hAnsi="Times New Roman" w:cs="Times New Roman" w:hint="default"/>
                    </w:rPr>
                    <w:t>3</w:t>
                  </w:r>
                </w:p>
              </w:tc>
              <w:tc>
                <w:tcPr>
                  <w:tcW w:w="1156" w:type="pct"/>
                  <w:vAlign w:val="center"/>
                  <w:tcBorders>
                    <w:tl2br w:val="nil"/>
                    <w:tr2bl w:val="nil"/>
                  </w:tcBorders>
                  <w:noWrap w:val="0"/>
                </w:tcPr>
                <w:p w14:paraId="6265FA79">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第90百分位数</w:t>
                  </w:r>
                </w:p>
                <w:p w14:paraId="2B2C978C">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8h平均质量浓度</w:t>
                  </w:r>
                </w:p>
              </w:tc>
              <w:tc>
                <w:tcPr>
                  <w:tcW w:w="963" w:type="pct"/>
                  <w:vAlign w:val="center"/>
                  <w:tcBorders>
                    <w:tl2br w:val="nil"/>
                    <w:tr2bl w:val="nil"/>
                  </w:tcBorders>
                  <w:noWrap w:val="0"/>
                </w:tcPr>
                <w:p w14:paraId="376B7C9F">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98</w:t>
                  </w:r>
                </w:p>
              </w:tc>
              <w:tc>
                <w:tcPr>
                  <w:tcW w:w="843" w:type="pct"/>
                  <w:vAlign w:val="center"/>
                  <w:tcBorders>
                    <w:tl2br w:val="nil"/>
                    <w:tr2bl w:val="nil"/>
                  </w:tcBorders>
                  <w:noWrap w:val="0"/>
                </w:tcPr>
                <w:p w14:paraId="79AAD117">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160</w:t>
                  </w:r>
                </w:p>
              </w:tc>
              <w:tc>
                <w:tcPr>
                  <w:tcW w:w="774" w:type="pct"/>
                  <w:vAlign w:val="center"/>
                  <w:tcBorders>
                    <w:tl2br w:val="nil"/>
                    <w:tr2bl w:val="nil"/>
                  </w:tcBorders>
                  <w:noWrap w:val="0"/>
                </w:tcPr>
                <w:p w14:paraId="690E96F5">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val="en-US" w:eastAsia="zh-CN"/>
                      <w:szCs w:val="21"/>
                      <w:rFonts w:ascii="Times New Roman" w:hAnsi="Times New Roman" w:cs="Times New Roman" w:hint="default"/>
                    </w:rPr>
                  </w:pPr>
                  <w:r>
                    <w:rPr>
                      <w:vertAlign w:val="baseline"/>
                      <w:u w:val="none"/>
                      <w:color w:val="auto"/>
                      <w:sz w:val="21"/>
                      <w:lang w:val="en-US" w:eastAsia="zh-CN"/>
                      <w:szCs w:val="21"/>
                      <w:rFonts w:ascii="Times New Roman" w:hAnsi="Times New Roman" w:cs="Times New Roman" w:hint="default"/>
                    </w:rPr>
                    <w:t>61.25</w:t>
                  </w:r>
                </w:p>
              </w:tc>
              <w:tc>
                <w:tcPr>
                  <w:tcW w:w="755" w:type="pct"/>
                  <w:vAlign w:val="center"/>
                  <w:tcBorders>
                    <w:tl2br w:val="nil"/>
                    <w:tr2bl w:val="nil"/>
                  </w:tcBorders>
                  <w:noWrap w:val="0"/>
                </w:tcPr>
                <w:p w14:paraId="30E03DA8">
                  <w:pPr>
                    <w:widowControl w:val="0"/>
                    <w:keepNext w:val="0"/>
                    <w:keepLines w:val="0"/>
                    <w:pageBreakBefore w:val="0"/>
                    <w:wordWrap w:val="1"/>
                    <w:overflowPunct w:val="1"/>
                    <w:topLinePunct w:val="0"/>
                    <w:kinsoku w:val="1"/>
                    <w:autoSpaceDE w:val="1"/>
                    <w:autoSpaceDN w:val="1"/>
                    <w:bidi w:val="0"/>
                    <w:adjustRightInd w:val="1"/>
                    <w:snapToGrid w:val="1"/>
                    <w:jc w:val="center"/>
                    <w:suppressLineNumbers w:val="0"/>
                    <w:outlineLvl w:val="9"/>
                    <w:spacing w:after="0" w:afterAutospacing="0" w:before="0" w:beforeAutospacing="0" w:line="240" w:lineRule="auto"/>
                    <w:ind w:firstLine="0" w:firstLineChars="0" w:left="0" w:leftChars="0" w:right="0" w:rightChars="0"/>
                    <w:rPr>
                      <w:vertAlign w:val="baseline"/>
                      <w:u w:val="none"/>
                      <w:color w:val="auto"/>
                      <w:sz w:val="21"/>
                      <w:lang w:eastAsia="zh-CN"/>
                      <w:szCs w:val="21"/>
                      <w:rFonts w:ascii="Times New Roman" w:hAnsi="Times New Roman" w:cs="Times New Roman" w:hint="default"/>
                    </w:rPr>
                  </w:pPr>
                  <w:r>
                    <w:rPr>
                      <w:vertAlign w:val="baseline"/>
                      <w:u w:val="none"/>
                      <w:color w:val="auto"/>
                      <w:sz w:val="21"/>
                      <w:lang w:eastAsia="zh-CN"/>
                      <w:szCs w:val="21"/>
                      <w:rFonts w:ascii="Times New Roman" w:hAnsi="Times New Roman" w:cs="Times New Roman" w:hint="default"/>
                    </w:rPr>
                    <w:t>达标</w:t>
                  </w:r>
                </w:p>
              </w:tc>
            </w:tr>
          </w:tbl>
          <w:p w14:paraId="54096A90">
            <w:pPr>
              <w:pStyle w:val="59"/>
              <w:widowControl w:val="0"/>
              <w:keepNext w:val="0"/>
              <w:keepLines w:val="0"/>
              <w:pageBreakBefore w:val="0"/>
              <w:wordWrap w:val="1"/>
              <w:overflowPunct w:val="1"/>
              <w:topLinePunct w:val="0"/>
              <w:kinsoku w:val="1"/>
              <w:autoSpaceDE w:val="1"/>
              <w:autoSpaceDN w:val="1"/>
              <w:bidi w:val="0"/>
              <w:adjustRightInd w:val="1"/>
              <w:snapToGrid w:val="1"/>
              <w:contextualSpacing/>
              <w:spacing w:afterLines="0" w:beforeLines="0" w:line="360" w:lineRule="auto"/>
              <w:ind w:firstLine="480" w:firstLineChars="200"/>
              <w:rPr>
                <w:b w:val="1"/>
                <w:color w:val="auto"/>
                <w:kern w:val="0"/>
                <w:rFonts w:hint="eastAsia" w:hAnsiTheme="minorEastAsia" w:eastAsiaTheme="minorEastAsia"/>
              </w:rPr>
            </w:pPr>
            <w:r>
              <w:rPr>
                <w:u w:val="none"/>
                <w:color w:val="auto"/>
                <w:sz w:val="24"/>
                <w:szCs w:val="24"/>
                <w:rFonts w:ascii="Times New Roman" w:hAnsi="Times New Roman" w:cs="Times New Roman" w:hint="default"/>
              </w:rPr>
              <w:t>由表4.3-1可知，SO</w:t>
            </w:r>
            <w:r>
              <w:rPr>
                <w:vertAlign w:val="subscript"/>
                <w:u w:val="none"/>
                <w:color w:val="auto"/>
                <w:sz w:val="24"/>
                <w:szCs w:val="24"/>
                <w:rFonts w:ascii="Times New Roman" w:hAnsi="Times New Roman" w:cs="Times New Roman" w:hint="default"/>
              </w:rPr>
              <w:t>2</w:t>
            </w:r>
            <w:r>
              <w:rPr>
                <w:u w:val="none"/>
                <w:color w:val="auto"/>
                <w:sz w:val="24"/>
                <w:szCs w:val="24"/>
                <w:rFonts w:ascii="Times New Roman" w:hAnsi="Times New Roman" w:cs="Times New Roman" w:hint="default"/>
              </w:rPr>
              <w:t>、NO</w:t>
            </w:r>
            <w:r>
              <w:rPr>
                <w:vertAlign w:val="subscript"/>
                <w:u w:val="none"/>
                <w:color w:val="auto"/>
                <w:sz w:val="24"/>
                <w:szCs w:val="24"/>
                <w:rFonts w:ascii="Times New Roman" w:hAnsi="Times New Roman" w:cs="Times New Roman" w:hint="default"/>
              </w:rPr>
              <w:t>2</w:t>
            </w:r>
            <w:r>
              <w:rPr>
                <w:u w:val="none"/>
                <w:color w:val="auto"/>
                <w:sz w:val="24"/>
                <w:szCs w:val="24"/>
                <w:rFonts w:ascii="Times New Roman" w:hAnsi="Times New Roman" w:cs="Times New Roman" w:hint="default"/>
              </w:rPr>
              <w:t>、PM</w:t>
            </w:r>
            <w:r>
              <w:rPr>
                <w:vertAlign w:val="subscript"/>
                <w:u w:val="none"/>
                <w:color w:val="auto"/>
                <w:sz w:val="24"/>
                <w:szCs w:val="24"/>
                <w:rFonts w:ascii="Times New Roman" w:hAnsi="Times New Roman" w:cs="Times New Roman" w:hint="default"/>
              </w:rPr>
              <w:t>2.5</w:t>
            </w:r>
            <w:r>
              <w:rPr>
                <w:u w:val="none"/>
                <w:color w:val="auto"/>
                <w:sz w:val="24"/>
                <w:szCs w:val="24"/>
                <w:rFonts w:ascii="Times New Roman" w:hAnsi="Times New Roman" w:cs="Times New Roman" w:hint="default"/>
              </w:rPr>
              <w:t>、PM</w:t>
            </w:r>
            <w:r>
              <w:rPr>
                <w:vertAlign w:val="subscript"/>
                <w:u w:val="none"/>
                <w:color w:val="auto"/>
                <w:sz w:val="24"/>
                <w:szCs w:val="24"/>
                <w:rFonts w:ascii="Times New Roman" w:hAnsi="Times New Roman" w:cs="Times New Roman" w:hint="default"/>
              </w:rPr>
              <w:t>10</w:t>
            </w:r>
            <w:r>
              <w:rPr>
                <w:u w:val="none"/>
                <w:color w:val="auto"/>
                <w:sz w:val="24"/>
                <w:szCs w:val="24"/>
                <w:rFonts w:ascii="Times New Roman" w:hAnsi="Times New Roman" w:cs="Times New Roman" w:hint="default"/>
              </w:rPr>
              <w:t>、CO、O</w:t>
            </w:r>
            <w:r>
              <w:rPr>
                <w:vertAlign w:val="subscript"/>
                <w:u w:val="none"/>
                <w:color w:val="auto"/>
                <w:sz w:val="24"/>
                <w:szCs w:val="24"/>
                <w:rFonts w:ascii="Times New Roman" w:hAnsi="Times New Roman" w:cs="Times New Roman" w:hint="default"/>
              </w:rPr>
              <w:t>3</w:t>
            </w:r>
            <w:r>
              <w:rPr>
                <w:u w:val="none"/>
                <w:color w:val="auto"/>
                <w:sz w:val="24"/>
                <w:szCs w:val="24"/>
                <w:rFonts w:ascii="Times New Roman" w:hAnsi="Times New Roman" w:cs="Times New Roman" w:hint="default"/>
              </w:rPr>
              <w:t>均能满足《环境空气质量标准》（GB3095-2012）二级标准要求，项目所在区域属于环境空气质量达标区域</w:t>
            </w:r>
            <w:r>
              <w:rPr>
                <w:color w:val="auto"/>
                <w:sz w:val="21"/>
                <w:lang w:val="en-US" w:eastAsia="zh-CN"/>
                <w:kern w:val="0"/>
                <w:szCs w:val="21"/>
                <w:rFonts w:hint="eastAsia"/>
              </w:rPr>
              <w:t>。</w:t>
            </w:r>
            <w:r>
              <w:rPr>
                <w:b w:val="1"/>
                <w:color w:val="auto"/>
                <w:kern w:val="0"/>
                <w:rFonts w:hint="eastAsia" w:hAnsiTheme="minorEastAsia" w:eastAsiaTheme="minorEastAsia"/>
              </w:rPr>
              <w:t xml:space="preserve">    </w:t>
            </w:r>
          </w:p>
          <w:p w14:paraId="5C26F4A8">
            <w:pPr>
              <w:pStyle w:val="59"/>
              <w:widowControl w:val="0"/>
              <w:keepNext w:val="0"/>
              <w:keepLines w:val="0"/>
              <w:pageBreakBefore w:val="0"/>
              <w:wordWrap w:val="1"/>
              <w:overflowPunct w:val="1"/>
              <w:topLinePunct w:val="0"/>
              <w:kinsoku w:val="1"/>
              <w:autoSpaceDE w:val="1"/>
              <w:autoSpaceDN w:val="1"/>
              <w:bidi w:val="0"/>
              <w:adjustRightInd w:val="1"/>
              <w:snapToGrid w:val="1"/>
              <w:contextualSpacing/>
              <w:spacing w:afterLines="0" w:beforeLines="0" w:line="360" w:lineRule="auto"/>
              <w:ind w:firstLine="480" w:firstLineChars="200"/>
              <w:rPr>
                <w:color w:val="auto"/>
                <w:kern w:val="0"/>
                <w:rFonts w:hAnsiTheme="minorEastAsia" w:eastAsiaTheme="minorEastAsia"/>
              </w:rPr>
            </w:pPr>
            <w:r>
              <w:rPr>
                <w:color w:val="auto"/>
                <w:kern w:val="0"/>
                <w:rFonts w:hint="eastAsia" w:hAnsiTheme="minorEastAsia" w:eastAsiaTheme="minorEastAsia"/>
              </w:rPr>
              <w:t>（2）特征污染物</w:t>
            </w:r>
          </w:p>
          <w:p w14:paraId="0E201BD8">
            <w:pPr>
              <w:spacing w:line="360" w:lineRule="auto"/>
              <w:ind w:firstLine="480" w:firstLineChars="200"/>
              <w:rPr>
                <w:color w:val="auto"/>
                <w:sz w:val="24"/>
                <w:kern w:val="0"/>
              </w:rPr>
            </w:pPr>
            <w:r>
              <w:rPr>
                <w:color w:val="auto"/>
                <w:sz w:val="24"/>
                <w:kern w:val="0"/>
              </w:rPr>
              <w:t>项目所处区域监测季节主导风向为南西（</w:t>
            </w:r>
            <w:r>
              <w:rPr>
                <w:color w:val="auto"/>
                <w:sz w:val="24"/>
                <w:kern w:val="0"/>
                <w:rFonts w:hint="eastAsia"/>
              </w:rPr>
              <w:t>NW</w:t>
            </w:r>
            <w:r>
              <w:rPr>
                <w:color w:val="auto"/>
                <w:sz w:val="24"/>
                <w:kern w:val="0"/>
              </w:rPr>
              <w:t>）风，共布设</w:t>
            </w:r>
            <w:r>
              <w:rPr>
                <w:color w:val="auto"/>
                <w:sz w:val="24"/>
                <w:kern w:val="0"/>
                <w:rFonts w:hint="eastAsia"/>
              </w:rPr>
              <w:t>1</w:t>
            </w:r>
            <w:r>
              <w:rPr>
                <w:color w:val="auto"/>
                <w:sz w:val="24"/>
                <w:kern w:val="0"/>
              </w:rPr>
              <w:t>处监测点。监测点情况见表</w:t>
            </w:r>
            <w:r>
              <w:rPr>
                <w:color w:val="auto"/>
                <w:sz w:val="24"/>
                <w:lang w:val="en-US" w:eastAsia="zh-CN"/>
                <w:kern w:val="0"/>
                <w:rFonts w:hint="eastAsia"/>
              </w:rPr>
              <w:t>3</w:t>
            </w:r>
            <w:r>
              <w:rPr>
                <w:color w:val="auto"/>
                <w:sz w:val="24"/>
                <w:kern w:val="0"/>
              </w:rPr>
              <w:t>-</w:t>
            </w:r>
            <w:r>
              <w:rPr>
                <w:color w:val="auto"/>
                <w:sz w:val="24"/>
                <w:kern w:val="0"/>
                <w:rFonts w:hint="eastAsia"/>
              </w:rPr>
              <w:t>2</w:t>
            </w:r>
            <w:r>
              <w:rPr>
                <w:color w:val="auto"/>
                <w:sz w:val="24"/>
                <w:kern w:val="0"/>
              </w:rPr>
              <w:t>，监测布点图见附图2。</w:t>
            </w:r>
          </w:p>
          <w:p w14:paraId="3C497B99">
            <w:pPr>
              <w:pStyle w:val="90"/>
              <w:spacing w:line="240" w:lineRule="auto"/>
              <w:rPr>
                <w:b w:val="1"/>
                <w:color w:val="auto"/>
                <w:szCs w:val="24"/>
                <w:rFonts w:eastAsia="宋体"/>
              </w:rPr>
            </w:pPr>
            <w:bookmarkStart w:id="7" w:name="_Hlk71806932"/>
            <w:r>
              <w:rPr>
                <w:b w:val="1"/>
                <w:color w:val="auto"/>
                <w:szCs w:val="24"/>
                <w:rFonts w:eastAsia="宋体"/>
              </w:rPr>
              <w:t>表</w:t>
            </w:r>
            <w:r>
              <w:rPr>
                <w:b w:val="1"/>
                <w:color w:val="auto"/>
                <w:lang w:val="en-US" w:eastAsia="zh-CN"/>
                <w:szCs w:val="24"/>
                <w:rFonts w:eastAsia="宋体" w:hint="eastAsia"/>
              </w:rPr>
              <w:t>3</w:t>
            </w:r>
            <w:r>
              <w:rPr>
                <w:b w:val="1"/>
                <w:color w:val="auto"/>
                <w:szCs w:val="24"/>
                <w:rFonts w:eastAsia="宋体"/>
              </w:rPr>
              <w:t>-</w:t>
            </w:r>
            <w:r>
              <w:rPr>
                <w:b w:val="1"/>
                <w:color w:val="auto"/>
                <w:szCs w:val="24"/>
                <w:rFonts w:eastAsia="宋体" w:hint="eastAsia"/>
              </w:rPr>
              <w:t xml:space="preserve">2 </w:t>
            </w:r>
            <w:r>
              <w:rPr>
                <w:b w:val="1"/>
                <w:color w:val="auto"/>
                <w:szCs w:val="24"/>
                <w:rFonts w:eastAsia="宋体"/>
              </w:rPr>
              <w:t>环境空气监测布点情况</w:t>
            </w:r>
          </w:p>
          <w:bookmarkEnd w:id="7"/>
          <w:tbl>
            <w:tblPr>
              <w:tblStyle w:val="27"/>
              <w:tblW w:w="5000" w:type="pct"/>
              <w:jc w:val="center"/>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427.000000"/>
              <w:gridCol w:w="2054.000000"/>
              <w:gridCol w:w="2054.000000"/>
              <w:gridCol w:w="638.000000"/>
              <w:gridCol w:w="1906.000000"/>
              <w:gridCol w:w="497.000000"/>
              <w:gridCol w:w="532.000000"/>
            </w:tblGrid>
            <w:tr w14:paraId="12A18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54" w:hRule="atLeast"/>
                <w:jc w:val="center"/>
              </w:trPr>
              <w:tc>
                <w:tcPr>
                  <w:tcW w:w="729" w:type="dxa"/>
                  <w:vMerge w:val="restart"/>
                  <w:vAlign w:val="center"/>
                </w:tcPr>
                <w:p w14:paraId="2E731007">
                  <w:pPr>
                    <w:pStyle w:val="91"/>
                    <w:adjustRightInd w:val="0"/>
                    <w:snapToGrid w:val="0"/>
                    <w:rPr>
                      <w:color w:val="auto"/>
                      <w:szCs w:val="21"/>
                      <w:rFonts w:hint="default"/>
                    </w:rPr>
                  </w:pPr>
                  <w:r>
                    <w:rPr>
                      <w:color w:val="auto"/>
                      <w:szCs w:val="21"/>
                      <w:rFonts w:hint="default"/>
                    </w:rPr>
                    <w:t>监测点名称</w:t>
                  </w:r>
                </w:p>
              </w:tc>
              <w:tc>
                <w:tcPr>
                  <w:tcW w:w="2920" w:type="dxa"/>
                  <w:gridSpan w:val="2"/>
                  <w:vAlign w:val="center"/>
                </w:tcPr>
                <w:p w14:paraId="0C1AE08F">
                  <w:pPr>
                    <w:pStyle w:val="91"/>
                    <w:adjustRightInd w:val="0"/>
                    <w:snapToGrid w:val="0"/>
                    <w:rPr>
                      <w:color w:val="auto"/>
                      <w:szCs w:val="21"/>
                      <w:rFonts w:hint="default"/>
                    </w:rPr>
                  </w:pPr>
                  <w:r>
                    <w:rPr>
                      <w:color w:val="auto"/>
                      <w:szCs w:val="21"/>
                      <w:rFonts w:hint="default"/>
                    </w:rPr>
                    <w:t>监测点位坐标</w:t>
                  </w:r>
                </w:p>
              </w:tc>
              <w:tc>
                <w:tcPr>
                  <w:tcW w:w="1153" w:type="dxa"/>
                  <w:vMerge w:val="restart"/>
                  <w:vAlign w:val="center"/>
                </w:tcPr>
                <w:p w14:paraId="04A594B2">
                  <w:pPr>
                    <w:pStyle w:val="91"/>
                    <w:adjustRightInd w:val="0"/>
                    <w:snapToGrid w:val="0"/>
                    <w:rPr>
                      <w:color w:val="auto"/>
                      <w:szCs w:val="21"/>
                      <w:rFonts w:hint="default"/>
                    </w:rPr>
                  </w:pPr>
                  <w:r>
                    <w:rPr>
                      <w:color w:val="auto"/>
                      <w:szCs w:val="21"/>
                      <w:rFonts w:hint="default"/>
                    </w:rPr>
                    <w:t>监测</w:t>
                  </w:r>
                </w:p>
                <w:p w14:paraId="152A4035">
                  <w:pPr>
                    <w:pStyle w:val="91"/>
                    <w:adjustRightInd w:val="0"/>
                    <w:snapToGrid w:val="0"/>
                    <w:rPr>
                      <w:color w:val="auto"/>
                      <w:szCs w:val="21"/>
                      <w:rFonts w:hint="default"/>
                    </w:rPr>
                  </w:pPr>
                  <w:r>
                    <w:rPr>
                      <w:color w:val="auto"/>
                      <w:szCs w:val="21"/>
                      <w:rFonts w:hint="default"/>
                    </w:rPr>
                    <w:t>因子</w:t>
                  </w:r>
                </w:p>
              </w:tc>
              <w:tc>
                <w:tcPr>
                  <w:tcW w:w="2220" w:type="dxa"/>
                  <w:vMerge w:val="restart"/>
                  <w:vAlign w:val="center"/>
                </w:tcPr>
                <w:p w14:paraId="422F55C1">
                  <w:pPr>
                    <w:pStyle w:val="91"/>
                    <w:adjustRightInd w:val="0"/>
                    <w:snapToGrid w:val="0"/>
                    <w:rPr>
                      <w:color w:val="auto"/>
                      <w:szCs w:val="21"/>
                      <w:rFonts w:hint="default"/>
                    </w:rPr>
                  </w:pPr>
                  <w:r>
                    <w:rPr>
                      <w:color w:val="auto"/>
                      <w:szCs w:val="21"/>
                      <w:rFonts w:hint="default"/>
                    </w:rPr>
                    <w:t>监测时段</w:t>
                  </w:r>
                </w:p>
              </w:tc>
              <w:tc>
                <w:tcPr>
                  <w:tcW w:w="747" w:type="dxa"/>
                  <w:vMerge w:val="restart"/>
                  <w:vAlign w:val="center"/>
                </w:tcPr>
                <w:p w14:paraId="4443F093">
                  <w:pPr>
                    <w:pStyle w:val="91"/>
                    <w:adjustRightInd w:val="0"/>
                    <w:snapToGrid w:val="0"/>
                    <w:rPr>
                      <w:color w:val="auto"/>
                      <w:szCs w:val="21"/>
                      <w:rFonts w:hint="default"/>
                    </w:rPr>
                  </w:pPr>
                  <w:r>
                    <w:rPr>
                      <w:color w:val="auto"/>
                      <w:szCs w:val="21"/>
                      <w:rFonts w:hint="default"/>
                    </w:rPr>
                    <w:t>相对厂址方位</w:t>
                  </w:r>
                </w:p>
              </w:tc>
              <w:tc>
                <w:tcPr>
                  <w:tcW w:w="753" w:type="dxa"/>
                  <w:vMerge w:val="restart"/>
                  <w:vAlign w:val="center"/>
                </w:tcPr>
                <w:p w14:paraId="782E15DA">
                  <w:pPr>
                    <w:pStyle w:val="91"/>
                    <w:adjustRightInd w:val="0"/>
                    <w:snapToGrid w:val="0"/>
                    <w:rPr>
                      <w:color w:val="auto"/>
                      <w:szCs w:val="21"/>
                      <w:rFonts w:hint="default"/>
                    </w:rPr>
                  </w:pPr>
                  <w:r>
                    <w:rPr>
                      <w:color w:val="auto"/>
                      <w:szCs w:val="21"/>
                      <w:rFonts w:hint="default"/>
                    </w:rPr>
                    <w:t>相对厂界距离/m</w:t>
                  </w:r>
                </w:p>
              </w:tc>
            </w:tr>
            <w:tr w14:paraId="25C8D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54" w:hRule="atLeast"/>
                <w:jc w:val="center"/>
              </w:trPr>
              <w:tc>
                <w:tcPr>
                  <w:tcW w:w="729" w:type="dxa"/>
                  <w:vMerge w:val="continue"/>
                  <w:vAlign w:val="center"/>
                </w:tcPr>
                <w:p w14:paraId="1260FDA3">
                  <w:pPr>
                    <w:pStyle w:val="91"/>
                    <w:adjustRightInd w:val="0"/>
                    <w:snapToGrid w:val="0"/>
                    <w:rPr>
                      <w:color w:val="auto"/>
                      <w:szCs w:val="21"/>
                      <w:rFonts w:hint="default"/>
                    </w:rPr>
                  </w:pPr>
                </w:p>
              </w:tc>
              <w:tc>
                <w:tcPr>
                  <w:tcW w:w="1529" w:type="dxa"/>
                  <w:vAlign w:val="center"/>
                </w:tcPr>
                <w:p w14:paraId="6DE44C3D">
                  <w:pPr>
                    <w:pStyle w:val="91"/>
                    <w:adjustRightInd w:val="0"/>
                    <w:snapToGrid w:val="0"/>
                    <w:rPr>
                      <w:color w:val="auto"/>
                      <w:szCs w:val="21"/>
                      <w:rFonts w:hint="default"/>
                    </w:rPr>
                  </w:pPr>
                  <w:r>
                    <w:rPr>
                      <w:color w:val="auto"/>
                      <w:szCs w:val="21"/>
                      <w:rFonts w:hint="default"/>
                    </w:rPr>
                    <w:t>东经</w:t>
                  </w:r>
                </w:p>
              </w:tc>
              <w:tc>
                <w:tcPr>
                  <w:tcW w:w="1391" w:type="dxa"/>
                  <w:vAlign w:val="center"/>
                </w:tcPr>
                <w:p w14:paraId="4A96ACA8">
                  <w:pPr>
                    <w:pStyle w:val="91"/>
                    <w:adjustRightInd w:val="0"/>
                    <w:snapToGrid w:val="0"/>
                    <w:rPr>
                      <w:color w:val="auto"/>
                      <w:szCs w:val="21"/>
                      <w:rFonts w:hint="default"/>
                    </w:rPr>
                  </w:pPr>
                  <w:r>
                    <w:rPr>
                      <w:color w:val="auto"/>
                      <w:szCs w:val="21"/>
                      <w:rFonts w:hint="default"/>
                    </w:rPr>
                    <w:t>北纬</w:t>
                  </w:r>
                </w:p>
              </w:tc>
              <w:tc>
                <w:tcPr>
                  <w:tcW w:w="1153" w:type="dxa"/>
                  <w:vMerge w:val="continue"/>
                  <w:vAlign w:val="center"/>
                </w:tcPr>
                <w:p w14:paraId="27BD2149">
                  <w:pPr>
                    <w:pStyle w:val="91"/>
                    <w:adjustRightInd w:val="0"/>
                    <w:snapToGrid w:val="0"/>
                    <w:rPr>
                      <w:color w:val="auto"/>
                      <w:szCs w:val="21"/>
                      <w:rFonts w:hint="default"/>
                    </w:rPr>
                  </w:pPr>
                </w:p>
              </w:tc>
              <w:tc>
                <w:tcPr>
                  <w:tcW w:w="2220" w:type="dxa"/>
                  <w:vMerge w:val="continue"/>
                  <w:vAlign w:val="center"/>
                </w:tcPr>
                <w:p w14:paraId="1B4F8262">
                  <w:pPr>
                    <w:pStyle w:val="91"/>
                    <w:adjustRightInd w:val="0"/>
                    <w:snapToGrid w:val="0"/>
                    <w:rPr>
                      <w:color w:val="auto"/>
                      <w:szCs w:val="21"/>
                      <w:rFonts w:hint="default"/>
                    </w:rPr>
                  </w:pPr>
                </w:p>
              </w:tc>
              <w:tc>
                <w:tcPr>
                  <w:tcW w:w="747" w:type="dxa"/>
                  <w:vMerge w:val="continue"/>
                  <w:vAlign w:val="center"/>
                </w:tcPr>
                <w:p w14:paraId="125C2DF8">
                  <w:pPr>
                    <w:pStyle w:val="91"/>
                    <w:adjustRightInd w:val="0"/>
                    <w:snapToGrid w:val="0"/>
                    <w:jc w:val="both"/>
                    <w:rPr>
                      <w:color w:val="auto"/>
                      <w:szCs w:val="21"/>
                      <w:rFonts w:hint="default"/>
                    </w:rPr>
                  </w:pPr>
                </w:p>
              </w:tc>
              <w:tc>
                <w:tcPr>
                  <w:tcW w:w="753" w:type="dxa"/>
                  <w:vMerge w:val="continue"/>
                  <w:vAlign w:val="center"/>
                </w:tcPr>
                <w:p w14:paraId="4AEC77C4">
                  <w:pPr>
                    <w:pStyle w:val="91"/>
                    <w:adjustRightInd w:val="0"/>
                    <w:snapToGrid w:val="0"/>
                    <w:jc w:val="both"/>
                    <w:rPr>
                      <w:color w:val="auto"/>
                      <w:szCs w:val="21"/>
                      <w:rFonts w:hint="default"/>
                    </w:rPr>
                  </w:pPr>
                </w:p>
              </w:tc>
            </w:tr>
            <w:tr w14:paraId="0BCDF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37" w:hRule="atLeast"/>
                <w:jc w:val="center"/>
              </w:trPr>
              <w:tc>
                <w:tcPr>
                  <w:tcW w:w="729" w:type="dxa"/>
                  <w:vAlign w:val="center"/>
                </w:tcPr>
                <w:p w14:paraId="7AFF66E5">
                  <w:pPr>
                    <w:pStyle w:val="91"/>
                    <w:adjustRightInd w:val="0"/>
                    <w:snapToGrid w:val="0"/>
                    <w:rPr>
                      <w:color w:val="auto"/>
                      <w:szCs w:val="21"/>
                      <w:rFonts w:hint="default"/>
                    </w:rPr>
                  </w:pPr>
                  <w:r>
                    <w:rPr>
                      <w:color w:val="auto"/>
                      <w:kern w:val="0"/>
                    </w:rPr>
                    <w:t>厂界下风向</w:t>
                  </w:r>
                </w:p>
              </w:tc>
              <w:tc>
                <w:tcPr>
                  <w:tcW w:w="1529" w:type="dxa"/>
                  <w:vAlign w:val="center"/>
                </w:tcPr>
                <w:p w14:paraId="6A31AC4A">
                  <w:pPr>
                    <w:pStyle w:val="91"/>
                    <w:adjustRightInd w:val="0"/>
                    <w:snapToGrid w:val="0"/>
                    <w:rPr>
                      <w:color w:val="auto"/>
                      <w:szCs w:val="21"/>
                      <w:rFonts w:hint="default"/>
                    </w:rPr>
                  </w:pPr>
                  <w:r>
                    <w:rPr>
                      <w:color w:val="auto"/>
                      <w:szCs w:val="21"/>
                      <w:rFonts w:hint="eastAsia"/>
                    </w:rPr>
                    <w:t>129°0′59.59542″</w:t>
                  </w:r>
                </w:p>
              </w:tc>
              <w:tc>
                <w:tcPr>
                  <w:tcW w:w="1391" w:type="dxa"/>
                  <w:vAlign w:val="center"/>
                </w:tcPr>
                <w:p w14:paraId="6CB46C28">
                  <w:pPr>
                    <w:pStyle w:val="91"/>
                    <w:adjustRightInd w:val="0"/>
                    <w:snapToGrid w:val="0"/>
                    <w:rPr>
                      <w:color w:val="auto"/>
                      <w:szCs w:val="21"/>
                      <w:rFonts w:hint="default"/>
                    </w:rPr>
                  </w:pPr>
                  <w:r>
                    <w:rPr>
                      <w:color w:val="auto"/>
                      <w:szCs w:val="21"/>
                      <w:rFonts w:hint="eastAsia"/>
                    </w:rPr>
                    <w:t>47°46′23.65914″</w:t>
                  </w:r>
                </w:p>
              </w:tc>
              <w:tc>
                <w:tcPr>
                  <w:tcW w:w="1153" w:type="dxa"/>
                  <w:vAlign w:val="center"/>
                </w:tcPr>
                <w:p w14:paraId="2713DF6D">
                  <w:pPr>
                    <w:pStyle w:val="91"/>
                    <w:adjustRightInd w:val="0"/>
                    <w:snapToGrid w:val="0"/>
                    <w:rPr>
                      <w:color w:val="auto"/>
                      <w:szCs w:val="21"/>
                      <w:rFonts w:hint="default"/>
                    </w:rPr>
                  </w:pPr>
                  <w:r>
                    <w:rPr>
                      <w:color w:val="auto"/>
                      <w:bCs/>
                      <w:szCs w:val="21"/>
                    </w:rPr>
                    <w:t>苯并[a]芘、</w:t>
                  </w:r>
                  <w:r>
                    <w:rPr>
                      <w:color w:val="auto"/>
                      <w:szCs w:val="21"/>
                      <w:rFonts w:hint="default"/>
                    </w:rPr>
                    <w:t>TSP</w:t>
                  </w:r>
                </w:p>
              </w:tc>
              <w:tc>
                <w:tcPr>
                  <w:tcW w:w="2220" w:type="dxa"/>
                  <w:vAlign w:val="center"/>
                </w:tcPr>
                <w:p w14:paraId="0675E9D7">
                  <w:pPr>
                    <w:pStyle w:val="91"/>
                    <w:adjustRightInd w:val="0"/>
                    <w:snapToGrid w:val="0"/>
                    <w:rPr>
                      <w:color w:val="auto"/>
                      <w:lang w:val="en-US" w:eastAsia="zh-CN"/>
                      <w:szCs w:val="21"/>
                      <w:rFonts w:eastAsia="宋体" w:hint="default"/>
                    </w:rPr>
                  </w:pPr>
                  <w:r>
                    <w:rPr>
                      <w:color w:val="auto"/>
                      <w:szCs w:val="21"/>
                      <w:rFonts w:hint="default"/>
                    </w:rPr>
                    <w:t>202</w:t>
                  </w:r>
                  <w:r>
                    <w:rPr>
                      <w:color w:val="auto"/>
                      <w:szCs w:val="21"/>
                    </w:rPr>
                    <w:t>4</w:t>
                  </w:r>
                  <w:r>
                    <w:rPr>
                      <w:color w:val="auto"/>
                      <w:szCs w:val="21"/>
                      <w:rFonts w:hint="default"/>
                    </w:rPr>
                    <w:t>.</w:t>
                  </w:r>
                  <w:r>
                    <w:rPr>
                      <w:color w:val="auto"/>
                      <w:lang w:val="en-US" w:eastAsia="zh-CN"/>
                      <w:szCs w:val="21"/>
                      <w:rFonts w:hint="eastAsia"/>
                    </w:rPr>
                    <w:t>8</w:t>
                  </w:r>
                  <w:r>
                    <w:rPr>
                      <w:color w:val="auto"/>
                      <w:szCs w:val="21"/>
                      <w:rFonts w:hint="default"/>
                    </w:rPr>
                    <w:t>.</w:t>
                  </w:r>
                  <w:r>
                    <w:rPr>
                      <w:color w:val="auto"/>
                      <w:lang w:val="en-US" w:eastAsia="zh-CN"/>
                      <w:szCs w:val="21"/>
                      <w:rFonts w:hint="eastAsia"/>
                    </w:rPr>
                    <w:t>6</w:t>
                  </w:r>
                  <w:r>
                    <w:rPr>
                      <w:color w:val="auto"/>
                      <w:szCs w:val="21"/>
                      <w:rFonts w:hint="default"/>
                    </w:rPr>
                    <w:t>~20</w:t>
                  </w:r>
                  <w:r>
                    <w:rPr>
                      <w:color w:val="auto"/>
                      <w:szCs w:val="21"/>
                    </w:rPr>
                    <w:t>24</w:t>
                  </w:r>
                  <w:r>
                    <w:rPr>
                      <w:color w:val="auto"/>
                      <w:szCs w:val="21"/>
                      <w:rFonts w:hint="default"/>
                    </w:rPr>
                    <w:t>.</w:t>
                  </w:r>
                  <w:r>
                    <w:rPr>
                      <w:color w:val="auto"/>
                      <w:lang w:val="en-US" w:eastAsia="zh-CN"/>
                      <w:szCs w:val="21"/>
                      <w:rFonts w:hint="eastAsia"/>
                    </w:rPr>
                    <w:t>8</w:t>
                  </w:r>
                  <w:r>
                    <w:rPr>
                      <w:color w:val="auto"/>
                      <w:szCs w:val="21"/>
                      <w:rFonts w:hint="default"/>
                    </w:rPr>
                    <w:t>.</w:t>
                  </w:r>
                  <w:r>
                    <w:rPr>
                      <w:color w:val="auto"/>
                      <w:lang w:val="en-US" w:eastAsia="zh-CN"/>
                      <w:szCs w:val="21"/>
                      <w:rFonts w:hint="eastAsia"/>
                    </w:rPr>
                    <w:t>12</w:t>
                  </w:r>
                </w:p>
              </w:tc>
              <w:tc>
                <w:tcPr>
                  <w:tcW w:w="747" w:type="dxa"/>
                  <w:vAlign w:val="center"/>
                </w:tcPr>
                <w:p w14:paraId="21D8C9B9">
                  <w:pPr>
                    <w:pStyle w:val="91"/>
                    <w:adjustRightInd w:val="0"/>
                    <w:snapToGrid w:val="0"/>
                    <w:rPr>
                      <w:color w:val="auto"/>
                      <w:szCs w:val="21"/>
                      <w:rFonts w:hint="default"/>
                    </w:rPr>
                  </w:pPr>
                  <w:r>
                    <w:rPr>
                      <w:color w:val="auto"/>
                      <w:szCs w:val="21"/>
                    </w:rPr>
                    <w:t>NE</w:t>
                  </w:r>
                </w:p>
              </w:tc>
              <w:tc>
                <w:tcPr>
                  <w:tcW w:w="753" w:type="dxa"/>
                  <w:vAlign w:val="center"/>
                </w:tcPr>
                <w:p w14:paraId="581D39D7">
                  <w:pPr>
                    <w:pStyle w:val="91"/>
                    <w:adjustRightInd w:val="0"/>
                    <w:snapToGrid w:val="0"/>
                    <w:rPr>
                      <w:color w:val="auto"/>
                      <w:lang w:val="en-US" w:eastAsia="zh-CN"/>
                      <w:szCs w:val="21"/>
                      <w:rFonts w:eastAsia="宋体" w:hint="default"/>
                    </w:rPr>
                  </w:pPr>
                  <w:r>
                    <w:rPr>
                      <w:color w:val="auto"/>
                      <w:lang w:val="en-US" w:eastAsia="zh-CN"/>
                      <w:szCs w:val="21"/>
                      <w:rFonts w:hint="eastAsia"/>
                    </w:rPr>
                    <w:t>300</w:t>
                  </w:r>
                </w:p>
              </w:tc>
            </w:tr>
          </w:tbl>
          <w:p w14:paraId="3877AF31">
            <w:pPr>
              <w:rPr>
                <w:color w:val="auto"/>
                <w:sz w:val="24"/>
                <w:kern w:val="0"/>
              </w:rPr>
            </w:pPr>
            <w:bookmarkStart w:id="10" w:name="_Hlk71806959"/>
            <w:r>
              <w:rPr>
                <w:color w:val="auto"/>
                <w:sz w:val="24"/>
                <w:kern w:val="0"/>
              </w:rPr>
              <w:t>补充监测统计结果见表</w:t>
            </w:r>
            <w:r>
              <w:rPr>
                <w:color w:val="auto"/>
                <w:sz w:val="24"/>
                <w:lang w:val="en-US" w:eastAsia="zh-CN"/>
                <w:kern w:val="0"/>
                <w:rFonts w:hint="eastAsia"/>
              </w:rPr>
              <w:t>3</w:t>
            </w:r>
            <w:r>
              <w:rPr>
                <w:color w:val="auto"/>
                <w:sz w:val="24"/>
                <w:kern w:val="0"/>
              </w:rPr>
              <w:t>-</w:t>
            </w:r>
            <w:r>
              <w:rPr>
                <w:color w:val="auto"/>
                <w:sz w:val="24"/>
                <w:lang w:val="en-US" w:eastAsia="zh-CN"/>
                <w:kern w:val="0"/>
                <w:rFonts w:hint="eastAsia"/>
              </w:rPr>
              <w:t>3</w:t>
            </w:r>
            <w:r>
              <w:rPr>
                <w:color w:val="auto"/>
                <w:sz w:val="24"/>
                <w:kern w:val="0"/>
              </w:rPr>
              <w:t>。</w:t>
            </w:r>
          </w:p>
          <w:bookmarkEnd w:id="10"/>
          <w:p w14:paraId="444FFF34">
            <w:pPr>
              <w:pStyle w:val="90"/>
              <w:spacing w:line="240" w:lineRule="auto"/>
              <w:rPr>
                <w:b w:val="1"/>
                <w:color w:val="auto"/>
                <w:szCs w:val="24"/>
                <w:rFonts w:eastAsia="宋体"/>
              </w:rPr>
            </w:pPr>
            <w:r>
              <w:rPr>
                <w:b w:val="1"/>
                <w:color w:val="auto"/>
                <w:szCs w:val="24"/>
                <w:rFonts w:eastAsia="宋体"/>
              </w:rPr>
              <w:t>表</w:t>
            </w:r>
            <w:r>
              <w:rPr>
                <w:b w:val="1"/>
                <w:color w:val="auto"/>
                <w:lang w:val="en-US" w:eastAsia="zh-CN"/>
                <w:szCs w:val="24"/>
                <w:rFonts w:eastAsia="宋体" w:hint="eastAsia"/>
              </w:rPr>
              <w:t>3</w:t>
            </w:r>
            <w:r>
              <w:rPr>
                <w:b w:val="1"/>
                <w:color w:val="auto"/>
                <w:szCs w:val="24"/>
                <w:rFonts w:eastAsia="宋体"/>
              </w:rPr>
              <w:t>-</w:t>
            </w:r>
            <w:r>
              <w:rPr>
                <w:b w:val="1"/>
                <w:color w:val="auto"/>
                <w:lang w:val="en-US" w:eastAsia="zh-CN"/>
                <w:szCs w:val="24"/>
                <w:rFonts w:eastAsia="宋体" w:hint="eastAsia"/>
              </w:rPr>
              <w:t>3</w:t>
            </w:r>
            <w:r>
              <w:rPr>
                <w:b w:val="1"/>
                <w:color w:val="auto"/>
                <w:szCs w:val="24"/>
                <w:rFonts w:eastAsia="宋体" w:hint="eastAsia"/>
              </w:rPr>
              <w:t xml:space="preserve"> 环境空气</w:t>
            </w:r>
            <w:r>
              <w:rPr>
                <w:b w:val="1"/>
                <w:color w:val="auto"/>
                <w:szCs w:val="24"/>
                <w:rFonts w:eastAsia="宋体"/>
              </w:rPr>
              <w:t>监测结果一览表</w:t>
            </w:r>
          </w:p>
          <w:tbl>
            <w:tblPr>
              <w:tblStyle w:val="27"/>
              <w:tblW w:w="4998" w:type="pct"/>
              <w:jc w:val="center"/>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1904.000000"/>
              <w:gridCol w:w="1769.000000"/>
              <w:gridCol w:w="2398.000000"/>
              <w:gridCol w:w="2029.000000"/>
              <w:gridCol w:w="5.000000"/>
            </w:tblGrid>
            <w:tr w14:paraId="54B3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12" w:hRule="atLeast"/>
                <w:jc w:val="center"/>
              </w:trPr>
              <w:tc>
                <w:tcPr>
                  <w:tcW w:w="1174" w:type="pct"/>
                  <w:vMerge w:val="restart"/>
                  <w:vAlign w:val="center"/>
                </w:tcPr>
                <w:p w14:paraId="050D6464">
                  <w:pPr>
                    <w:pStyle w:val="83"/>
                    <w:rPr>
                      <w:b w:val="1"/>
                      <w:color w:val="auto"/>
                      <w:sz w:val="21"/>
                      <w:szCs w:val="21"/>
                      <w:rFonts w:ascii="宋体" w:hAnsi="宋体"/>
                    </w:rPr>
                  </w:pPr>
                  <w:r>
                    <w:rPr>
                      <w:b w:val="1"/>
                      <w:color w:val="auto"/>
                      <w:sz w:val="21"/>
                      <w:szCs w:val="21"/>
                      <w:rFonts w:ascii="宋体" w:hAnsi="宋体" w:hint="eastAsia"/>
                    </w:rPr>
                    <w:t>采样时间</w:t>
                  </w:r>
                </w:p>
              </w:tc>
              <w:tc>
                <w:tcPr>
                  <w:tcW w:w="1091" w:type="pct"/>
                  <w:vMerge w:val="restart"/>
                  <w:vAlign w:val="center"/>
                </w:tcPr>
                <w:p w14:paraId="5D4E5B73">
                  <w:pPr>
                    <w:pStyle w:val="83"/>
                    <w:rPr>
                      <w:b w:val="1"/>
                      <w:color w:val="auto"/>
                      <w:sz w:val="21"/>
                      <w:szCs w:val="21"/>
                      <w:rFonts w:ascii="宋体" w:hAnsi="宋体"/>
                    </w:rPr>
                  </w:pPr>
                  <w:r>
                    <w:rPr>
                      <w:b w:val="1"/>
                      <w:color w:val="auto"/>
                      <w:sz w:val="21"/>
                      <w:szCs w:val="21"/>
                      <w:rFonts w:ascii="宋体" w:hAnsi="宋体" w:hint="eastAsia"/>
                    </w:rPr>
                    <w:t>采样地点</w:t>
                  </w:r>
                </w:p>
              </w:tc>
              <w:tc>
                <w:tcPr>
                  <w:tcW w:w="1479" w:type="pct"/>
                  <w:vMerge w:val="restart"/>
                  <w:vAlign w:val="center"/>
                </w:tcPr>
                <w:p w14:paraId="7F1C528D">
                  <w:pPr>
                    <w:pStyle w:val="83"/>
                    <w:rPr>
                      <w:b w:val="1"/>
                      <w:color w:val="auto"/>
                      <w:sz w:val="21"/>
                      <w:lang w:val="en-US" w:eastAsia="zh-CN"/>
                      <w:szCs w:val="21"/>
                      <w:rFonts w:ascii="宋体" w:hAnsi="宋体" w:eastAsia="宋体" w:hint="default"/>
                    </w:rPr>
                  </w:pPr>
                  <w:r>
                    <w:rPr>
                      <w:b w:val="1"/>
                      <w:color w:val="auto"/>
                      <w:sz w:val="21"/>
                      <w:lang w:val="en-US" w:eastAsia="zh-CN"/>
                      <w:szCs w:val="21"/>
                      <w:rFonts w:ascii="宋体" w:hAnsi="宋体" w:hint="eastAsia"/>
                    </w:rPr>
                    <w:t>检测项目</w:t>
                  </w:r>
                </w:p>
              </w:tc>
              <w:tc>
                <w:tcPr>
                  <w:tcW w:w="1254" w:type="pct"/>
                  <w:gridSpan w:val="2"/>
                  <w:vAlign w:val="center"/>
                </w:tcPr>
                <w:p w14:paraId="2DD9E97A">
                  <w:pPr>
                    <w:pStyle w:val="83"/>
                    <w:rPr>
                      <w:b w:val="1"/>
                      <w:color w:val="auto"/>
                      <w:sz w:val="21"/>
                      <w:lang w:eastAsia="zh-CN"/>
                      <w:szCs w:val="21"/>
                      <w:rFonts w:ascii="宋体" w:hAnsi="宋体" w:eastAsia="宋体" w:hint="eastAsia"/>
                    </w:rPr>
                  </w:pPr>
                  <w:r>
                    <w:rPr>
                      <w:b w:val="1"/>
                      <w:color w:val="auto"/>
                      <w:sz w:val="21"/>
                      <w:lang w:val="en-US" w:eastAsia="zh-CN"/>
                      <w:szCs w:val="21"/>
                      <w:rFonts w:ascii="宋体" w:hAnsi="宋体" w:hint="eastAsia"/>
                    </w:rPr>
                    <w:t>检测值</w:t>
                  </w:r>
                </w:p>
              </w:tc>
            </w:tr>
            <w:tr w14:paraId="023B3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312" w:hRule="atLeast"/>
                <w:jc w:val="center"/>
              </w:trPr>
              <w:tc>
                <w:tcPr>
                  <w:tcW w:w="1174" w:type="pct"/>
                  <w:vMerge w:val="continue"/>
                  <w:vAlign w:val="center"/>
                </w:tcPr>
                <w:p w14:paraId="2B94118B">
                  <w:pPr>
                    <w:pStyle w:val="83"/>
                    <w:rPr>
                      <w:b w:val="1"/>
                      <w:color w:val="auto"/>
                      <w:sz w:val="21"/>
                      <w:szCs w:val="21"/>
                      <w:rFonts w:ascii="宋体" w:hAnsi="宋体"/>
                    </w:rPr>
                  </w:pPr>
                </w:p>
              </w:tc>
              <w:tc>
                <w:tcPr>
                  <w:tcW w:w="1091" w:type="pct"/>
                  <w:vMerge w:val="continue"/>
                  <w:vAlign w:val="center"/>
                </w:tcPr>
                <w:p w14:paraId="072CEBB1">
                  <w:pPr>
                    <w:pStyle w:val="83"/>
                    <w:rPr>
                      <w:b w:val="1"/>
                      <w:color w:val="auto"/>
                      <w:sz w:val="21"/>
                      <w:szCs w:val="21"/>
                      <w:rFonts w:ascii="宋体" w:hAnsi="宋体"/>
                    </w:rPr>
                  </w:pPr>
                </w:p>
              </w:tc>
              <w:tc>
                <w:tcPr>
                  <w:tcW w:w="1479" w:type="pct"/>
                  <w:vMerge w:val="continue"/>
                  <w:vAlign w:val="center"/>
                </w:tcPr>
                <w:p w14:paraId="2CE46870">
                  <w:pPr>
                    <w:pStyle w:val="83"/>
                    <w:rPr>
                      <w:b w:val="1"/>
                      <w:color w:val="auto"/>
                      <w:sz w:val="21"/>
                      <w:szCs w:val="21"/>
                      <w:rFonts w:ascii="宋体" w:hAnsi="宋体"/>
                    </w:rPr>
                  </w:pPr>
                </w:p>
              </w:tc>
              <w:tc>
                <w:tcPr>
                  <w:tcW w:w="1251" w:type="pct"/>
                  <w:vAlign w:val="center"/>
                </w:tcPr>
                <w:p w14:paraId="5F2E77ED">
                  <w:pPr>
                    <w:pStyle w:val="83"/>
                    <w:rPr>
                      <w:b w:val="1"/>
                      <w:color w:val="auto"/>
                      <w:sz w:val="21"/>
                      <w:szCs w:val="21"/>
                      <w:rFonts w:ascii="宋体" w:hAnsi="宋体"/>
                    </w:rPr>
                  </w:pPr>
                </w:p>
              </w:tc>
            </w:tr>
            <w:tr w14:paraId="2FDE2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69363547">
                  <w:pPr>
                    <w:pStyle w:val="83"/>
                    <w:rPr>
                      <w:color w:val="auto"/>
                      <w:sz w:val="21"/>
                      <w:lang w:eastAsia="zh-CN"/>
                      <w:szCs w:val="21"/>
                      <w:rFonts w:eastAsia="宋体" w:hint="eastAsia"/>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.0</w:t>
                  </w:r>
                  <w:r>
                    <w:rPr>
                      <w:color w:val="auto"/>
                      <w:sz w:val="21"/>
                      <w:lang w:val="en-US" w:eastAsia="zh-CN"/>
                      <w:szCs w:val="21"/>
                      <w:rFonts w:hint="eastAsia"/>
                    </w:rPr>
                    <w:t>6</w:t>
                  </w:r>
                </w:p>
              </w:tc>
              <w:tc>
                <w:tcPr>
                  <w:tcW w:w="1091" w:type="pct"/>
                  <w:vMerge w:val="restart"/>
                  <w:vAlign w:val="center"/>
                </w:tcPr>
                <w:p w14:paraId="49173798">
                  <w:pPr>
                    <w:pStyle w:val="83"/>
                    <w:rPr>
                      <w:color w:val="auto"/>
                      <w:sz w:val="21"/>
                      <w:szCs w:val="21"/>
                    </w:rPr>
                  </w:pPr>
                  <w:r>
                    <w:rPr>
                      <w:color w:val="auto"/>
                      <w:sz w:val="21"/>
                      <w:szCs w:val="21"/>
                      <w:rFonts w:hint="eastAsia"/>
                    </w:rPr>
                    <w:t>下风向○</w:t>
                  </w:r>
                  <w:r>
                    <w:rPr>
                      <w:color w:val="auto"/>
                      <w:sz w:val="21"/>
                      <w:szCs w:val="21"/>
                    </w:rPr>
                    <w:t>1</w:t>
                  </w:r>
                </w:p>
              </w:tc>
              <w:tc>
                <w:tcPr>
                  <w:tcW w:w="1479" w:type="pct"/>
                  <w:vAlign w:val="center"/>
                </w:tcPr>
                <w:p w14:paraId="5E04EFC2">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474A9F50">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0.104</w:t>
                  </w:r>
                </w:p>
              </w:tc>
            </w:tr>
            <w:tr w14:paraId="047B8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64952629">
                  <w:pPr>
                    <w:pStyle w:val="83"/>
                    <w:rPr>
                      <w:color w:val="auto"/>
                      <w:sz w:val="21"/>
                      <w:szCs w:val="21"/>
                    </w:rPr>
                  </w:pPr>
                </w:p>
              </w:tc>
              <w:tc>
                <w:tcPr>
                  <w:tcW w:w="1091" w:type="pct"/>
                  <w:vMerge w:val="continue"/>
                  <w:vAlign w:val="center"/>
                </w:tcPr>
                <w:p w14:paraId="6E94E04A">
                  <w:pPr>
                    <w:jc w:val="center"/>
                    <w:spacing w:line="280" w:lineRule="exact"/>
                    <w:rPr>
                      <w:color w:val="auto"/>
                      <w:szCs w:val="21"/>
                    </w:rPr>
                  </w:pPr>
                </w:p>
              </w:tc>
              <w:tc>
                <w:tcPr>
                  <w:tcW w:w="1479" w:type="pct"/>
                  <w:vAlign w:val="center"/>
                </w:tcPr>
                <w:p w14:paraId="7A18C4B5">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6EE79008">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r w14:paraId="0C7CC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28F81387">
                  <w:pPr>
                    <w:pStyle w:val="83"/>
                    <w:rPr>
                      <w:color w:val="auto"/>
                      <w:sz w:val="21"/>
                      <w:lang w:eastAsia="zh-CN"/>
                      <w:szCs w:val="21"/>
                      <w:rFonts w:eastAsia="宋体" w:hint="eastAsia"/>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.0</w:t>
                  </w:r>
                  <w:r>
                    <w:rPr>
                      <w:color w:val="auto"/>
                      <w:sz w:val="21"/>
                      <w:lang w:val="en-US" w:eastAsia="zh-CN"/>
                      <w:szCs w:val="21"/>
                      <w:rFonts w:hint="eastAsia"/>
                    </w:rPr>
                    <w:t>7</w:t>
                  </w:r>
                </w:p>
              </w:tc>
              <w:tc>
                <w:tcPr>
                  <w:tcW w:w="1091" w:type="pct"/>
                  <w:vMerge w:val="continue"/>
                  <w:vAlign w:val="center"/>
                </w:tcPr>
                <w:p w14:paraId="3AD9ED8A">
                  <w:pPr>
                    <w:jc w:val="center"/>
                    <w:spacing w:line="280" w:lineRule="exact"/>
                    <w:rPr>
                      <w:color w:val="auto"/>
                      <w:szCs w:val="21"/>
                    </w:rPr>
                  </w:pPr>
                </w:p>
              </w:tc>
              <w:tc>
                <w:tcPr>
                  <w:tcW w:w="1479" w:type="pct"/>
                  <w:vAlign w:val="center"/>
                </w:tcPr>
                <w:p w14:paraId="48AF7586">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7667AFF0">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0.108</w:t>
                  </w:r>
                </w:p>
              </w:tc>
            </w:tr>
            <w:tr w14:paraId="6E215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39EC615D">
                  <w:pPr>
                    <w:pStyle w:val="83"/>
                    <w:rPr>
                      <w:color w:val="auto"/>
                      <w:sz w:val="21"/>
                      <w:szCs w:val="21"/>
                    </w:rPr>
                  </w:pPr>
                </w:p>
              </w:tc>
              <w:tc>
                <w:tcPr>
                  <w:tcW w:w="1091" w:type="pct"/>
                  <w:vMerge w:val="continue"/>
                  <w:vAlign w:val="center"/>
                </w:tcPr>
                <w:p w14:paraId="45D2EAD5">
                  <w:pPr>
                    <w:jc w:val="center"/>
                    <w:spacing w:line="280" w:lineRule="exact"/>
                    <w:rPr>
                      <w:color w:val="auto"/>
                      <w:szCs w:val="21"/>
                    </w:rPr>
                  </w:pPr>
                </w:p>
              </w:tc>
              <w:tc>
                <w:tcPr>
                  <w:tcW w:w="1479" w:type="pct"/>
                  <w:vAlign w:val="center"/>
                </w:tcPr>
                <w:p w14:paraId="6F78F827">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445CE10D">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r w14:paraId="51B7C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38A3A037">
                  <w:pPr>
                    <w:pStyle w:val="83"/>
                    <w:rPr>
                      <w:color w:val="auto"/>
                      <w:sz w:val="21"/>
                      <w:lang w:eastAsia="zh-CN"/>
                      <w:szCs w:val="21"/>
                      <w:rFonts w:eastAsia="宋体" w:hint="eastAsia"/>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.0</w:t>
                  </w:r>
                  <w:r>
                    <w:rPr>
                      <w:color w:val="auto"/>
                      <w:sz w:val="21"/>
                      <w:lang w:val="en-US" w:eastAsia="zh-CN"/>
                      <w:szCs w:val="21"/>
                      <w:rFonts w:hint="eastAsia"/>
                    </w:rPr>
                    <w:t>8</w:t>
                  </w:r>
                </w:p>
              </w:tc>
              <w:tc>
                <w:tcPr>
                  <w:tcW w:w="1091" w:type="pct"/>
                  <w:vMerge w:val="continue"/>
                  <w:vAlign w:val="center"/>
                </w:tcPr>
                <w:p w14:paraId="3C27CCC9">
                  <w:pPr>
                    <w:jc w:val="center"/>
                    <w:spacing w:line="280" w:lineRule="exact"/>
                    <w:rPr>
                      <w:color w:val="auto"/>
                      <w:szCs w:val="21"/>
                    </w:rPr>
                  </w:pPr>
                </w:p>
              </w:tc>
              <w:tc>
                <w:tcPr>
                  <w:tcW w:w="1479" w:type="pct"/>
                  <w:vAlign w:val="center"/>
                </w:tcPr>
                <w:p w14:paraId="6A0AF16B">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4476C745">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0.108</w:t>
                  </w:r>
                </w:p>
              </w:tc>
            </w:tr>
            <w:tr w14:paraId="676BF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4BA9F6EE">
                  <w:pPr>
                    <w:pStyle w:val="83"/>
                    <w:rPr>
                      <w:color w:val="auto"/>
                      <w:sz w:val="21"/>
                      <w:szCs w:val="21"/>
                    </w:rPr>
                  </w:pPr>
                </w:p>
              </w:tc>
              <w:tc>
                <w:tcPr>
                  <w:tcW w:w="1091" w:type="pct"/>
                  <w:vMerge w:val="continue"/>
                  <w:vAlign w:val="center"/>
                </w:tcPr>
                <w:p w14:paraId="0D69C9F2">
                  <w:pPr>
                    <w:jc w:val="center"/>
                    <w:spacing w:line="280" w:lineRule="exact"/>
                    <w:rPr>
                      <w:color w:val="auto"/>
                      <w:szCs w:val="21"/>
                    </w:rPr>
                  </w:pPr>
                </w:p>
              </w:tc>
              <w:tc>
                <w:tcPr>
                  <w:tcW w:w="1479" w:type="pct"/>
                  <w:vAlign w:val="center"/>
                </w:tcPr>
                <w:p w14:paraId="54AF4E3A">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78B873A3">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r w14:paraId="40418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02026554">
                  <w:pPr>
                    <w:pStyle w:val="83"/>
                    <w:rPr>
                      <w:color w:val="auto"/>
                      <w:sz w:val="21"/>
                      <w:lang w:eastAsia="zh-CN"/>
                      <w:szCs w:val="21"/>
                      <w:rFonts w:eastAsia="宋体" w:hint="eastAsia"/>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.0</w:t>
                  </w:r>
                  <w:r>
                    <w:rPr>
                      <w:color w:val="auto"/>
                      <w:sz w:val="21"/>
                      <w:lang w:val="en-US" w:eastAsia="zh-CN"/>
                      <w:szCs w:val="21"/>
                      <w:rFonts w:hint="eastAsia"/>
                    </w:rPr>
                    <w:t>9</w:t>
                  </w:r>
                </w:p>
              </w:tc>
              <w:tc>
                <w:tcPr>
                  <w:tcW w:w="1091" w:type="pct"/>
                  <w:vMerge w:val="continue"/>
                  <w:vAlign w:val="center"/>
                </w:tcPr>
                <w:p w14:paraId="3CA68BDE">
                  <w:pPr>
                    <w:jc w:val="center"/>
                    <w:spacing w:line="280" w:lineRule="exact"/>
                    <w:rPr>
                      <w:color w:val="auto"/>
                      <w:szCs w:val="21"/>
                    </w:rPr>
                  </w:pPr>
                </w:p>
              </w:tc>
              <w:tc>
                <w:tcPr>
                  <w:tcW w:w="1479" w:type="pct"/>
                  <w:vAlign w:val="center"/>
                </w:tcPr>
                <w:p w14:paraId="0183C071">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40B90DE6">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0.106</w:t>
                  </w:r>
                </w:p>
              </w:tc>
            </w:tr>
            <w:tr w14:paraId="0FFE5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6897F201">
                  <w:pPr>
                    <w:snapToGrid w:val="0"/>
                    <w:jc w:val="center"/>
                    <w:rPr>
                      <w:color w:val="auto"/>
                      <w:kern w:val="0"/>
                      <w:szCs w:val="21"/>
                    </w:rPr>
                  </w:pPr>
                </w:p>
              </w:tc>
              <w:tc>
                <w:tcPr>
                  <w:tcW w:w="1091" w:type="pct"/>
                  <w:vMerge w:val="continue"/>
                  <w:vAlign w:val="center"/>
                </w:tcPr>
                <w:p w14:paraId="46CF2BC2">
                  <w:pPr>
                    <w:jc w:val="center"/>
                    <w:spacing w:line="280" w:lineRule="exact"/>
                    <w:rPr>
                      <w:color w:val="auto"/>
                      <w:szCs w:val="21"/>
                    </w:rPr>
                  </w:pPr>
                </w:p>
              </w:tc>
              <w:tc>
                <w:tcPr>
                  <w:tcW w:w="1479" w:type="pct"/>
                  <w:vAlign w:val="center"/>
                </w:tcPr>
                <w:p w14:paraId="71658659">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4EBC8414">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r w14:paraId="4A06A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68BBC74C">
                  <w:pPr>
                    <w:pStyle w:val="83"/>
                    <w:rPr>
                      <w:color w:val="auto"/>
                      <w:sz w:val="21"/>
                      <w:lang w:val="en-US" w:eastAsia="zh-CN"/>
                      <w:szCs w:val="21"/>
                      <w:rFonts w:eastAsia="宋体" w:hint="default"/>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w:t>
                  </w:r>
                  <w:r>
                    <w:rPr>
                      <w:color w:val="auto"/>
                      <w:sz w:val="21"/>
                      <w:lang w:val="en-US" w:eastAsia="zh-CN"/>
                      <w:szCs w:val="21"/>
                      <w:rFonts w:hint="eastAsia"/>
                    </w:rPr>
                    <w:t>10</w:t>
                  </w:r>
                </w:p>
              </w:tc>
              <w:tc>
                <w:tcPr>
                  <w:tcW w:w="1091" w:type="pct"/>
                  <w:vMerge w:val="continue"/>
                  <w:vAlign w:val="center"/>
                </w:tcPr>
                <w:p w14:paraId="7441DF3B">
                  <w:pPr>
                    <w:jc w:val="center"/>
                    <w:spacing w:line="280" w:lineRule="exact"/>
                    <w:rPr>
                      <w:color w:val="auto"/>
                      <w:szCs w:val="21"/>
                    </w:rPr>
                  </w:pPr>
                </w:p>
              </w:tc>
              <w:tc>
                <w:tcPr>
                  <w:tcW w:w="1479" w:type="pct"/>
                  <w:vAlign w:val="center"/>
                </w:tcPr>
                <w:p w14:paraId="52661A4A">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2383164F">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0.110</w:t>
                  </w:r>
                </w:p>
              </w:tc>
            </w:tr>
            <w:tr w14:paraId="2D484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012EA29A">
                  <w:pPr>
                    <w:snapToGrid w:val="0"/>
                    <w:jc w:val="center"/>
                    <w:rPr>
                      <w:color w:val="auto"/>
                      <w:kern w:val="0"/>
                      <w:szCs w:val="21"/>
                    </w:rPr>
                  </w:pPr>
                </w:p>
              </w:tc>
              <w:tc>
                <w:tcPr>
                  <w:tcW w:w="1091" w:type="pct"/>
                  <w:vMerge w:val="continue"/>
                  <w:vAlign w:val="center"/>
                </w:tcPr>
                <w:p w14:paraId="071F4656">
                  <w:pPr>
                    <w:jc w:val="center"/>
                    <w:spacing w:line="280" w:lineRule="exact"/>
                    <w:rPr>
                      <w:color w:val="auto"/>
                      <w:szCs w:val="21"/>
                    </w:rPr>
                  </w:pPr>
                </w:p>
              </w:tc>
              <w:tc>
                <w:tcPr>
                  <w:tcW w:w="1479" w:type="pct"/>
                  <w:vAlign w:val="center"/>
                </w:tcPr>
                <w:p w14:paraId="7B61214D">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35F8F7F5">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r w14:paraId="5BED5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6D5D94DF">
                  <w:pPr>
                    <w:pStyle w:val="83"/>
                    <w:rPr>
                      <w:color w:val="auto"/>
                      <w:sz w:val="21"/>
                      <w:lang w:val="en-US" w:eastAsia="zh-CN"/>
                      <w:szCs w:val="21"/>
                      <w:rFonts w:eastAsia="宋体" w:hint="default"/>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w:t>
                  </w:r>
                  <w:r>
                    <w:rPr>
                      <w:color w:val="auto"/>
                      <w:sz w:val="21"/>
                      <w:lang w:val="en-US" w:eastAsia="zh-CN"/>
                      <w:szCs w:val="21"/>
                      <w:rFonts w:hint="eastAsia"/>
                    </w:rPr>
                    <w:t>11</w:t>
                  </w:r>
                </w:p>
              </w:tc>
              <w:tc>
                <w:tcPr>
                  <w:tcW w:w="1091" w:type="pct"/>
                  <w:vMerge w:val="continue"/>
                  <w:vAlign w:val="center"/>
                </w:tcPr>
                <w:p w14:paraId="4F12DD57">
                  <w:pPr>
                    <w:jc w:val="center"/>
                    <w:spacing w:line="280" w:lineRule="exact"/>
                    <w:rPr>
                      <w:color w:val="auto"/>
                      <w:szCs w:val="21"/>
                    </w:rPr>
                  </w:pPr>
                </w:p>
              </w:tc>
              <w:tc>
                <w:tcPr>
                  <w:tcW w:w="1479" w:type="pct"/>
                  <w:vAlign w:val="center"/>
                </w:tcPr>
                <w:p w14:paraId="672FDDC1">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059028B0">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0.104</w:t>
                  </w:r>
                </w:p>
              </w:tc>
            </w:tr>
            <w:tr w14:paraId="24E2F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78313A32">
                  <w:pPr>
                    <w:snapToGrid w:val="0"/>
                    <w:jc w:val="center"/>
                    <w:rPr>
                      <w:color w:val="auto"/>
                      <w:kern w:val="0"/>
                      <w:szCs w:val="21"/>
                    </w:rPr>
                  </w:pPr>
                </w:p>
              </w:tc>
              <w:tc>
                <w:tcPr>
                  <w:tcW w:w="1091" w:type="pct"/>
                  <w:vMerge w:val="continue"/>
                  <w:vAlign w:val="center"/>
                </w:tcPr>
                <w:p w14:paraId="2A2161D8">
                  <w:pPr>
                    <w:jc w:val="center"/>
                    <w:spacing w:line="280" w:lineRule="exact"/>
                    <w:rPr>
                      <w:color w:val="auto"/>
                      <w:szCs w:val="21"/>
                    </w:rPr>
                  </w:pPr>
                </w:p>
              </w:tc>
              <w:tc>
                <w:tcPr>
                  <w:tcW w:w="1479" w:type="pct"/>
                  <w:vAlign w:val="center"/>
                </w:tcPr>
                <w:p w14:paraId="30DE6111">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26DDD9F8">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r w14:paraId="3D3F1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restart"/>
                  <w:vAlign w:val="center"/>
                </w:tcPr>
                <w:p w14:paraId="53A04567">
                  <w:pPr>
                    <w:pStyle w:val="83"/>
                    <w:rPr>
                      <w:color w:val="auto"/>
                      <w:sz w:val="21"/>
                      <w:lang w:val="en-US" w:eastAsia="zh-CN"/>
                      <w:szCs w:val="21"/>
                      <w:rFonts w:eastAsia="宋体" w:hint="default"/>
                    </w:rPr>
                  </w:pPr>
                  <w:r>
                    <w:rPr>
                      <w:color w:val="auto"/>
                      <w:sz w:val="21"/>
                      <w:szCs w:val="21"/>
                      <w:rFonts w:hint="eastAsia"/>
                    </w:rPr>
                    <w:t>2024.0</w:t>
                  </w:r>
                  <w:r>
                    <w:rPr>
                      <w:color w:val="auto"/>
                      <w:sz w:val="21"/>
                      <w:lang w:val="en-US" w:eastAsia="zh-CN"/>
                      <w:szCs w:val="21"/>
                      <w:rFonts w:hint="eastAsia"/>
                    </w:rPr>
                    <w:t>8</w:t>
                  </w:r>
                  <w:r>
                    <w:rPr>
                      <w:color w:val="auto"/>
                      <w:sz w:val="21"/>
                      <w:szCs w:val="21"/>
                      <w:rFonts w:hint="eastAsia"/>
                    </w:rPr>
                    <w:t>.</w:t>
                  </w:r>
                  <w:r>
                    <w:rPr>
                      <w:color w:val="auto"/>
                      <w:sz w:val="21"/>
                      <w:lang w:val="en-US" w:eastAsia="zh-CN"/>
                      <w:szCs w:val="21"/>
                      <w:rFonts w:hint="eastAsia"/>
                    </w:rPr>
                    <w:t>12</w:t>
                  </w:r>
                </w:p>
              </w:tc>
              <w:tc>
                <w:tcPr>
                  <w:tcW w:w="1091" w:type="pct"/>
                  <w:vMerge w:val="continue"/>
                  <w:vAlign w:val="center"/>
                </w:tcPr>
                <w:p w14:paraId="4923AFC8">
                  <w:pPr>
                    <w:jc w:val="center"/>
                    <w:spacing w:line="280" w:lineRule="exact"/>
                    <w:rPr>
                      <w:color w:val="auto"/>
                      <w:szCs w:val="21"/>
                    </w:rPr>
                  </w:pPr>
                </w:p>
              </w:tc>
              <w:tc>
                <w:tcPr>
                  <w:tcW w:w="1479" w:type="pct"/>
                  <w:vAlign w:val="center"/>
                </w:tcPr>
                <w:p w14:paraId="499C15C6">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TSP（</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67F463EB">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0.108</w:t>
                  </w:r>
                </w:p>
              </w:tc>
            </w:tr>
            <w:tr w14:paraId="7751A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3" w:type="pct"/>
                <w:trHeight w:val="275" w:hRule="atLeast"/>
                <w:jc w:val="center"/>
              </w:trPr>
              <w:tc>
                <w:tcPr>
                  <w:tcW w:w="1174" w:type="pct"/>
                  <w:vMerge w:val="continue"/>
                  <w:vAlign w:val="center"/>
                </w:tcPr>
                <w:p w14:paraId="53E013ED">
                  <w:pPr>
                    <w:snapToGrid w:val="0"/>
                    <w:jc w:val="center"/>
                    <w:rPr>
                      <w:color w:val="auto"/>
                      <w:kern w:val="0"/>
                      <w:szCs w:val="21"/>
                    </w:rPr>
                  </w:pPr>
                </w:p>
              </w:tc>
              <w:tc>
                <w:tcPr>
                  <w:tcW w:w="1091" w:type="pct"/>
                  <w:vMerge w:val="continue"/>
                  <w:vAlign w:val="center"/>
                </w:tcPr>
                <w:p w14:paraId="4E7E62CF">
                  <w:pPr>
                    <w:jc w:val="center"/>
                    <w:spacing w:line="280" w:lineRule="exact"/>
                    <w:rPr>
                      <w:color w:val="auto"/>
                      <w:szCs w:val="21"/>
                    </w:rPr>
                  </w:pPr>
                </w:p>
              </w:tc>
              <w:tc>
                <w:tcPr>
                  <w:tcW w:w="1479" w:type="pct"/>
                  <w:vAlign w:val="center"/>
                </w:tcPr>
                <w:p w14:paraId="4F89B181">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lang w:val="en-US" w:eastAsia="zh-CN"/>
                      <w:szCs w:val="21"/>
                      <w:rFonts w:ascii="Times New Roman" w:hAnsi="Times New Roman" w:hint="eastAsia"/>
                    </w:rPr>
                    <w:t>苯并[a]芘</w:t>
                  </w:r>
                  <w:r>
                    <w:rPr>
                      <w:color w:val="auto"/>
                      <w:sz w:val="21"/>
                      <w:lang w:val="en-US" w:eastAsia="zh-CN"/>
                      <w:szCs w:val="21"/>
                      <w:rFonts w:ascii="Times New Roman" w:hAnsi="Times New Roman" w:cs="Times New Roman" w:hint="eastAsia"/>
                    </w:rPr>
                    <w:t>（</w:t>
                  </w:r>
                  <w:r>
                    <w:rPr>
                      <w:color w:val="auto"/>
                      <w:lang w:val="en-US" w:eastAsia="zh-CN"/>
                      <w:szCs w:val="21"/>
                      <w:rFonts w:ascii="Times New Roman" w:hAnsi="Times New Roman" w:eastAsia="宋体" w:cs="Times New Roman" w:hint="eastAsia"/>
                    </w:rPr>
                    <w:t>mg/m</w:t>
                  </w:r>
                  <w:r>
                    <w:rPr>
                      <w:vertAlign w:val="superscript"/>
                      <w:color w:val="auto"/>
                      <w:lang w:val="en-US" w:eastAsia="zh-CN"/>
                      <w:szCs w:val="21"/>
                      <w:rFonts w:ascii="Times New Roman" w:hAnsi="Times New Roman" w:eastAsia="宋体" w:cs="Times New Roman" w:hint="eastAsia"/>
                    </w:rPr>
                    <w:t>3</w:t>
                  </w:r>
                  <w:r>
                    <w:rPr>
                      <w:color w:val="auto"/>
                      <w:sz w:val="21"/>
                      <w:lang w:val="en-US" w:eastAsia="zh-CN"/>
                      <w:szCs w:val="21"/>
                      <w:rFonts w:ascii="Times New Roman" w:hAnsi="Times New Roman" w:cs="Times New Roman" w:hint="eastAsia"/>
                    </w:rPr>
                    <w:t>）</w:t>
                  </w:r>
                </w:p>
              </w:tc>
              <w:tc>
                <w:tcPr>
                  <w:tcW w:w="1251" w:type="pct"/>
                  <w:vAlign w:val="center"/>
                </w:tcPr>
                <w:p w14:paraId="7C8893F9">
                  <w:pPr>
                    <w:widowControl w:val="0"/>
                    <w:keepNext w:val="0"/>
                    <w:keepLines w:val="0"/>
                    <w:pageBreakBefore w:val="0"/>
                    <w:wordWrap w:val="1"/>
                    <w:overflowPunct w:val="1"/>
                    <w:topLinePunct w:val="0"/>
                    <w:kinsoku w:val="1"/>
                    <w:autoSpaceDE w:val="1"/>
                    <w:autoSpaceDN w:val="1"/>
                    <w:bidi w:val="0"/>
                    <w:adjustRightInd w:val="1"/>
                    <w:snapToGrid w:val="1"/>
                    <w:jc w:val="center"/>
                    <w:spacing w:line="240" w:lineRule="auto"/>
                    <w:rPr>
                      <w:color w:val="auto"/>
                      <w:sz w:val="21"/>
                      <w:szCs w:val="21"/>
                    </w:rPr>
                  </w:pPr>
                  <w:r>
                    <w:rPr>
                      <w:color w:val="auto"/>
                      <w:sz w:val="21"/>
                      <w:lang w:val="en-US" w:eastAsia="zh-CN"/>
                      <w:szCs w:val="21"/>
                      <w:rFonts w:ascii="Times New Roman" w:hAnsi="Times New Roman" w:cs="Times New Roman" w:hint="eastAsia"/>
                    </w:rPr>
                    <w:t>0.0000001L</w:t>
                  </w:r>
                </w:p>
              </w:tc>
            </w:tr>
          </w:tbl>
          <w:p w14:paraId="146C5F81">
            <w:pPr>
              <w:contextualSpacing/>
              <w:spacing w:line="360" w:lineRule="auto"/>
              <w:ind w:firstLine="480" w:firstLineChars="200"/>
              <w:rPr>
                <w:color w:val="auto"/>
                <w:sz w:val="24"/>
                <w:rFonts w:hint="eastAsia"/>
              </w:rPr>
            </w:pPr>
            <w:r>
              <w:rPr>
                <w:color w:val="auto"/>
                <w:sz w:val="24"/>
                <w:kern w:val="0"/>
              </w:rPr>
              <w:t>注：</w:t>
            </w:r>
            <w:r>
              <w:rPr>
                <w:color w:val="auto"/>
                <w:sz w:val="24"/>
                <w:kern w:val="0"/>
                <w:rFonts w:hint="eastAsia"/>
              </w:rPr>
              <w:t>“L”为低于检出限。</w:t>
            </w:r>
          </w:p>
          <w:p w14:paraId="442C4797">
            <w:pPr>
              <w:spacing w:line="360" w:lineRule="auto"/>
              <w:rPr>
                <w:color w:val="auto"/>
                <w:sz w:val="24"/>
                <w:kern w:val="0"/>
              </w:rPr>
            </w:pPr>
            <w:bookmarkStart w:id="12" w:name="_Hlk71807008"/>
            <w:r>
              <w:rPr>
                <w:color w:val="auto"/>
                <w:sz w:val="24"/>
                <w:kern w:val="0"/>
              </w:rPr>
              <w:t>（3）评价方法</w:t>
            </w:r>
          </w:p>
          <w:p w14:paraId="177DDEAE">
            <w:pPr>
              <w:pStyle w:val="65"/>
              <w:rPr>
                <w:color w:val="auto"/>
                <w:kern w:val="0"/>
              </w:rPr>
            </w:pPr>
            <w:r>
              <w:rPr>
                <w:color w:val="auto"/>
                <w:kern w:val="0"/>
              </w:rPr>
              <w:t>环境空气质量评价采用如下方法：</w:t>
            </w:r>
          </w:p>
          <w:p w14:paraId="329CD1B5">
            <w:pPr>
              <w:pStyle w:val="65"/>
              <w:jc w:val="center"/>
              <w:ind w:firstLine="0" w:firstLineChars="0"/>
              <w:rPr>
                <w:color w:val="auto"/>
                <w:kern w:val="0"/>
              </w:rPr>
            </w:pPr>
            <w:r>
              <w:rPr>
                <w:i w:val="1"/>
                <w:color w:val="auto"/>
                <w:kern w:val="0"/>
              </w:rPr>
              <w:t>C</w:t>
            </w:r>
            <w:r>
              <w:rPr>
                <w:vertAlign w:val="subscript"/>
                <w:color w:val="auto"/>
                <w:kern w:val="0"/>
              </w:rPr>
              <w:t>现状（x,y）</w:t>
            </w:r>
            <w:r>
              <w:rPr>
                <w:color w:val="auto"/>
                <w:kern w:val="0"/>
              </w:rPr>
              <w:t>=MAX[</w:t>
            </w:r>
            <m:oMath>
              <m:f>
                <m:fPr>
                  <m:ctrlPr>
                    <w:rPr>
                      <w:rFonts w:ascii="Cambria Math" w:hAnsi="Cambria Math"/>
                      <w:color w:val="auto"/>
                    </w:rPr>
                  </m:ctrlPr>
                </m:fPr>
                <m:num>
                  <m:r>
                    <w:rPr>
                      <w:rFonts w:ascii="Cambria Math" w:hAnsi="Cambria Math"/>
                      <w:color w:val="auto"/>
                    </w:rPr>
                    <m:rPr/>
                    <m:t>1</m:t>
                  </m:r>
                  <m:ctrlPr>
                    <w:rPr>
                      <w:rFonts w:ascii="Cambria Math" w:hAnsi="Cambria Math"/>
                      <w:color w:val="auto"/>
                    </w:rPr>
                  </m:ctrlPr>
                </m:num>
                <m:den>
                  <m:r>
                    <w:rPr>
                      <w:rFonts w:ascii="Cambria Math" w:hAnsi="Cambria Math"/>
                      <w:color w:val="auto"/>
                    </w:rPr>
                    <m:rPr/>
                    <m:t>n</m:t>
                  </m:r>
                  <m:ctrlPr>
                    <w:rPr>
                      <w:rFonts w:ascii="Cambria Math" w:hAnsi="Cambria Math"/>
                      <w:color w:val="auto"/>
                    </w:rPr>
                  </m:ctrlPr>
                </m:den>
              </m:f>
              <m:nary>
                <m:naryPr>
                  <m:chr m:val="∑"/>
                  <m:limLoc m:val="subSup"/>
                  <m:ctrlPr>
                    <w:rPr>
                      <w:rFonts w:ascii="Cambria Math" w:hAnsi="Cambria Math"/>
                      <w:i/>
                      <w:color w:val="auto"/>
                    </w:rPr>
                  </m:ctrlPr>
                </m:naryPr>
                <m:sub>
                  <m:r>
                    <w:rPr>
                      <w:rFonts w:ascii="Cambria Math" w:hAnsi="Cambria Math"/>
                      <w:color w:val="auto"/>
                    </w:rPr>
                    <m:rPr/>
                    <m:t>j=1</m:t>
                  </m:r>
                  <m:ctrlPr>
                    <w:rPr>
                      <w:rFonts w:ascii="Cambria Math" w:hAnsi="Cambria Math"/>
                      <w:i/>
                      <w:color w:val="auto"/>
                    </w:rPr>
                  </m:ctrlPr>
                </m:sub>
                <m:sup>
                  <m:r>
                    <w:rPr>
                      <w:rFonts w:ascii="Cambria Math" w:hAnsi="Cambria Math"/>
                      <w:color w:val="auto"/>
                    </w:rPr>
                    <m:rPr/>
                    <m:t>n</m:t>
                  </m:r>
                  <m:ctrlPr>
                    <w:rPr>
                      <w:rFonts w:ascii="Cambria Math" w:hAnsi="Cambria Math"/>
                      <w:i/>
                      <w:color w:val="auto"/>
                    </w:rPr>
                  </m:ctrlPr>
                </m:sup>
                <m:e>
                  <m:sSub>
                    <m:sSubPr>
                      <m:ctrlPr>
                        <w:rPr>
                          <w:rFonts w:ascii="Cambria Math" w:hAnsi="Cambria Math"/>
                          <w:i/>
                          <w:color w:val="auto"/>
                        </w:rPr>
                      </m:ctrlPr>
                    </m:sSubPr>
                    <m:e>
                      <m:r>
                        <w:rPr>
                          <w:rFonts w:ascii="Cambria Math" w:hAnsi="Cambria Math"/>
                          <w:color w:val="auto"/>
                        </w:rPr>
                        <m:rPr/>
                        <m:t>C</m:t>
                      </m:r>
                      <m:ctrlPr>
                        <w:rPr>
                          <w:rFonts w:ascii="Cambria Math" w:hAnsi="Cambria Math"/>
                          <w:i/>
                          <w:color w:val="auto"/>
                        </w:rPr>
                      </m:ctrlPr>
                    </m:e>
                    <m:sub>
                      <m:r>
                        <w:rPr>
                          <w:rFonts w:ascii="Cambria Math" w:hAnsi="Cambria Math"/>
                          <w:color w:val="auto"/>
                        </w:rPr>
                        <m:rPr>
                          <m:sty m:val="p"/>
                        </m:rPr>
                        <m:t>监测</m:t>
                      </m:r>
                      <m:r>
                        <w:rPr>
                          <w:rFonts w:ascii="Cambria Math" w:hAnsi="Cambria Math"/>
                          <w:color w:val="auto"/>
                        </w:rPr>
                        <m:rPr/>
                        <m:t>（j,t）</m:t>
                      </m:r>
                      <m:ctrlPr>
                        <w:rPr>
                          <w:rFonts w:ascii="Cambria Math" w:hAnsi="Cambria Math"/>
                          <w:i/>
                          <w:color w:val="auto"/>
                        </w:rPr>
                      </m:ctrlPr>
                    </m:sub>
                  </m:sSub>
                  <m:ctrlPr>
                    <w:rPr>
                      <w:rFonts w:ascii="Cambria Math" w:hAnsi="Cambria Math"/>
                      <w:i/>
                      <w:color w:val="auto"/>
                    </w:rPr>
                  </m:ctrlPr>
                </m:e>
              </m:nary>
            </m:oMath>
            <w:r>
              <w:rPr>
                <w:color w:val="auto"/>
                <w:kern w:val="0"/>
              </w:rPr>
              <w:t>]</w:t>
            </w:r>
          </w:p>
          <w:p w14:paraId="67C2E06F">
            <w:pPr>
              <w:pStyle w:val="65"/>
              <w:rPr>
                <w:color w:val="auto"/>
                <w:kern w:val="0"/>
              </w:rPr>
            </w:pPr>
            <w:r>
              <w:rPr>
                <w:color w:val="auto"/>
                <w:kern w:val="0"/>
              </w:rPr>
              <w:t>式中：</w:t>
            </w:r>
            <w:r>
              <w:rPr>
                <w:i w:val="1"/>
                <w:color w:val="auto"/>
                <w:kern w:val="0"/>
              </w:rPr>
              <w:t>C</w:t>
            </w:r>
            <w:r>
              <w:rPr>
                <w:vertAlign w:val="subscript"/>
                <w:color w:val="auto"/>
                <w:kern w:val="0"/>
              </w:rPr>
              <w:t>现状（x,y）</w:t>
            </w:r>
            <w:r>
              <w:rPr>
                <w:color w:val="auto"/>
                <w:kern w:val="0"/>
              </w:rPr>
              <w:t>—环境空气保护目标及网格点（x,y）环境质量现状浓度，μg/m</w:t>
            </w:r>
            <w:r>
              <w:rPr>
                <w:vertAlign w:val="superscript"/>
                <w:color w:val="auto"/>
                <w:kern w:val="0"/>
              </w:rPr>
              <w:t>3</w:t>
            </w:r>
            <w:r>
              <w:rPr>
                <w:color w:val="auto"/>
                <w:kern w:val="0"/>
              </w:rPr>
              <w:t>；</w:t>
            </w:r>
          </w:p>
          <w:p w14:paraId="492C3259">
            <w:pPr>
              <w:pStyle w:val="65"/>
              <w:ind w:firstLine="1200" w:firstLineChars="500"/>
              <w:rPr>
                <w:color w:val="auto"/>
                <w:kern w:val="0"/>
              </w:rPr>
            </w:pPr>
            <w:r>
              <w:rPr>
                <w:i w:val="1"/>
                <w:color w:val="auto"/>
                <w:kern w:val="0"/>
              </w:rPr>
              <w:t>C</w:t>
            </w:r>
            <w:r>
              <w:rPr>
                <w:vertAlign w:val="subscript"/>
                <w:color w:val="auto"/>
                <w:kern w:val="0"/>
              </w:rPr>
              <w:t>监测（</w:t>
            </w:r>
            <w:r>
              <w:rPr>
                <w:vertAlign w:val="subscript"/>
                <w:i w:val="1"/>
                <w:color w:val="auto"/>
                <w:iCs/>
                <w:kern w:val="0"/>
              </w:rPr>
              <w:t>j,t</w:t>
            </w:r>
            <w:r>
              <w:rPr>
                <w:vertAlign w:val="subscript"/>
                <w:color w:val="auto"/>
                <w:kern w:val="0"/>
              </w:rPr>
              <w:t>）</w:t>
            </w:r>
            <w:r>
              <w:rPr>
                <w:color w:val="auto"/>
                <w:kern w:val="0"/>
              </w:rPr>
              <w:t>—第j个监测点位在t时刻环境质量现状浓度（包括1h平均、8h平均或日平均质量浓度）采用估算模型计算出的第</w:t>
            </w:r>
            <w:r>
              <w:rPr>
                <w:i w:val="1"/>
                <w:color w:val="auto"/>
                <w:kern w:val="0"/>
              </w:rPr>
              <w:t>i</w:t>
            </w:r>
            <w:r>
              <w:rPr>
                <w:color w:val="auto"/>
                <w:kern w:val="0"/>
              </w:rPr>
              <w:t>个污染物的最大1h地面空气质量浓度，</w:t>
            </w:r>
            <w:bookmarkStart w:id="13" w:name="_Hlk53993784"/>
            <w:r>
              <w:rPr>
                <w:color w:val="auto"/>
                <w:kern w:val="0"/>
              </w:rPr>
              <w:t>μg/m</w:t>
            </w:r>
            <w:r>
              <w:rPr>
                <w:vertAlign w:val="superscript"/>
                <w:color w:val="auto"/>
                <w:kern w:val="0"/>
              </w:rPr>
              <w:t>3</w:t>
            </w:r>
            <w:bookmarkEnd w:id="13"/>
            <w:r>
              <w:rPr>
                <w:color w:val="auto"/>
                <w:kern w:val="0"/>
              </w:rPr>
              <w:t>；</w:t>
            </w:r>
          </w:p>
          <w:p w14:paraId="4B7A5DD6">
            <w:pPr>
              <w:pStyle w:val="65"/>
              <w:ind w:firstLine="1200" w:firstLineChars="500"/>
              <w:rPr>
                <w:color w:val="auto"/>
                <w:kern w:val="0"/>
              </w:rPr>
            </w:pPr>
            <w:r>
              <w:rPr>
                <w:color w:val="auto"/>
                <w:kern w:val="0"/>
              </w:rPr>
              <w:t>n—现状补充监测点位数。</w:t>
            </w:r>
          </w:p>
          <w:p w14:paraId="6B6A5CC6">
            <w:pPr>
              <w:spacing w:line="360" w:lineRule="auto"/>
              <w:ind w:firstLine="480" w:firstLineChars="200"/>
              <w:rPr>
                <w:color w:val="auto"/>
                <w:sz w:val="24"/>
                <w:kern w:val="0"/>
              </w:rPr>
            </w:pPr>
            <w:r>
              <w:rPr>
                <w:color w:val="auto"/>
                <w:sz w:val="24"/>
                <w:kern w:val="0"/>
              </w:rPr>
              <w:t>（4）监测结果分析</w:t>
            </w:r>
          </w:p>
          <w:p w14:paraId="5209DF78">
            <w:pPr>
              <w:spacing w:line="360" w:lineRule="auto"/>
              <w:ind w:firstLine="480" w:firstLineChars="200"/>
              <w:rPr>
                <w:color w:val="auto"/>
                <w:sz w:val="24"/>
                <w:kern w:val="0"/>
              </w:rPr>
            </w:pPr>
            <w:r>
              <w:rPr>
                <w:color w:val="auto"/>
                <w:sz w:val="24"/>
                <w:kern w:val="0"/>
              </w:rPr>
              <w:t>补充现状监测统计结果分析情况见表</w:t>
            </w:r>
            <w:r>
              <w:rPr>
                <w:color w:val="auto"/>
                <w:sz w:val="24"/>
                <w:lang w:val="en-US" w:eastAsia="zh-CN"/>
                <w:kern w:val="0"/>
                <w:rFonts w:hint="eastAsia"/>
              </w:rPr>
              <w:t>3</w:t>
            </w:r>
            <w:r>
              <w:rPr>
                <w:color w:val="auto"/>
                <w:sz w:val="24"/>
                <w:kern w:val="0"/>
              </w:rPr>
              <w:t>-</w:t>
            </w:r>
            <w:r>
              <w:rPr>
                <w:color w:val="auto"/>
                <w:sz w:val="24"/>
                <w:lang w:val="en-US" w:eastAsia="zh-CN"/>
                <w:kern w:val="0"/>
                <w:rFonts w:hint="eastAsia"/>
              </w:rPr>
              <w:t>4</w:t>
            </w:r>
            <w:r>
              <w:rPr>
                <w:color w:val="auto"/>
                <w:sz w:val="24"/>
                <w:kern w:val="0"/>
              </w:rPr>
              <w:t>。</w:t>
            </w:r>
            <w:bookmarkEnd w:id="12"/>
          </w:p>
          <w:p w14:paraId="6FAF8C83">
            <w:pPr>
              <w:pStyle w:val="90"/>
              <w:spacing w:line="240" w:lineRule="auto"/>
              <w:rPr>
                <w:b w:val="1"/>
                <w:color w:val="auto"/>
                <w:szCs w:val="24"/>
                <w:rFonts w:eastAsia="宋体"/>
              </w:rPr>
            </w:pPr>
            <w:bookmarkStart w:id="14" w:name="_Hlk71807216"/>
            <w:r>
              <w:rPr>
                <w:b w:val="1"/>
                <w:color w:val="auto"/>
                <w:szCs w:val="24"/>
                <w:rFonts w:eastAsia="宋体"/>
              </w:rPr>
              <w:t>表</w:t>
            </w:r>
            <w:r>
              <w:rPr>
                <w:b w:val="1"/>
                <w:color w:val="auto"/>
                <w:lang w:val="en-US" w:eastAsia="zh-CN"/>
                <w:szCs w:val="24"/>
                <w:rFonts w:eastAsia="宋体" w:hint="eastAsia"/>
              </w:rPr>
              <w:t>3</w:t>
            </w:r>
            <w:r>
              <w:rPr>
                <w:b w:val="1"/>
                <w:color w:val="auto"/>
                <w:szCs w:val="24"/>
                <w:rFonts w:eastAsia="宋体"/>
              </w:rPr>
              <w:t>-</w:t>
            </w:r>
            <w:r>
              <w:rPr>
                <w:b w:val="1"/>
                <w:color w:val="auto"/>
                <w:lang w:val="en-US" w:eastAsia="zh-CN"/>
                <w:szCs w:val="24"/>
                <w:rFonts w:eastAsia="宋体" w:hint="eastAsia"/>
              </w:rPr>
              <w:t>4</w:t>
            </w:r>
            <w:r>
              <w:rPr>
                <w:b w:val="1"/>
                <w:color w:val="auto"/>
                <w:szCs w:val="24"/>
                <w:rFonts w:eastAsia="宋体" w:hint="eastAsia"/>
              </w:rPr>
              <w:t xml:space="preserve"> </w:t>
            </w:r>
            <w:r>
              <w:rPr>
                <w:b w:val="1"/>
                <w:color w:val="auto"/>
                <w:szCs w:val="24"/>
                <w:rFonts w:eastAsia="宋体"/>
              </w:rPr>
              <w:t>其他污染物环境现状监测统计表</w:t>
            </w:r>
          </w:p>
          <w:tbl>
            <w:tblPr>
              <w:tblStyle w:val="27"/>
              <w:tblW w:w="5000" w:type="pct"/>
              <w:jc w:val="center"/>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886.000000"/>
              <w:gridCol w:w="1182.000000"/>
              <w:gridCol w:w="1250.000000"/>
              <w:gridCol w:w="907.000000"/>
              <w:gridCol w:w="1130.000000"/>
              <w:gridCol w:w="987.000000"/>
              <w:gridCol w:w="821.000000"/>
              <w:gridCol w:w="945.000000"/>
            </w:tblGrid>
            <w:tr w14:paraId="40DCB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jc w:val="center"/>
              </w:trPr>
              <w:tc>
                <w:tcPr>
                  <w:tcW w:w="546" w:type="pct"/>
                  <w:vAlign w:val="center"/>
                </w:tcPr>
                <w:p w14:paraId="2B23341F">
                  <w:pPr>
                    <w:pStyle w:val="83"/>
                    <w:rPr>
                      <w:color w:val="auto"/>
                      <w:sz w:val="21"/>
                      <w:szCs w:val="21"/>
                    </w:rPr>
                  </w:pPr>
                  <w:r>
                    <w:rPr>
                      <w:color w:val="auto"/>
                      <w:sz w:val="21"/>
                      <w:szCs w:val="21"/>
                    </w:rPr>
                    <w:t>污染物</w:t>
                  </w:r>
                </w:p>
              </w:tc>
              <w:tc>
                <w:tcPr>
                  <w:tcW w:w="728" w:type="pct"/>
                  <w:vAlign w:val="center"/>
                </w:tcPr>
                <w:p w14:paraId="6C0480D2">
                  <w:pPr>
                    <w:pStyle w:val="83"/>
                    <w:rPr>
                      <w:color w:val="auto"/>
                      <w:sz w:val="21"/>
                      <w:szCs w:val="21"/>
                    </w:rPr>
                  </w:pPr>
                  <w:r>
                    <w:rPr>
                      <w:color w:val="auto"/>
                      <w:sz w:val="21"/>
                      <w:szCs w:val="21"/>
                    </w:rPr>
                    <w:t>检测点位</w:t>
                  </w:r>
                </w:p>
              </w:tc>
              <w:tc>
                <w:tcPr>
                  <w:tcW w:w="770" w:type="pct"/>
                  <w:vAlign w:val="center"/>
                </w:tcPr>
                <w:p w14:paraId="197E1F27">
                  <w:pPr>
                    <w:pStyle w:val="83"/>
                    <w:rPr>
                      <w:color w:val="auto"/>
                      <w:sz w:val="21"/>
                      <w:szCs w:val="21"/>
                    </w:rPr>
                  </w:pPr>
                  <w:r>
                    <w:rPr>
                      <w:color w:val="auto"/>
                      <w:sz w:val="21"/>
                      <w:szCs w:val="21"/>
                    </w:rPr>
                    <w:t>平均时间</w:t>
                  </w:r>
                </w:p>
              </w:tc>
              <w:tc>
                <w:tcPr>
                  <w:tcW w:w="559" w:type="pct"/>
                  <w:vAlign w:val="center"/>
                </w:tcPr>
                <w:p w14:paraId="7B8D1908">
                  <w:pPr>
                    <w:pStyle w:val="83"/>
                    <w:rPr>
                      <w:color w:val="auto"/>
                      <w:sz w:val="21"/>
                      <w:szCs w:val="21"/>
                    </w:rPr>
                  </w:pPr>
                  <w:r>
                    <w:rPr>
                      <w:color w:val="auto"/>
                      <w:sz w:val="21"/>
                      <w:szCs w:val="21"/>
                    </w:rPr>
                    <w:t>评价标准/μg/m</w:t>
                  </w:r>
                  <w:r>
                    <w:rPr>
                      <w:vertAlign w:val="superscript"/>
                      <w:color w:val="auto"/>
                      <w:sz w:val="21"/>
                      <w:szCs w:val="21"/>
                    </w:rPr>
                    <w:t>3</w:t>
                  </w:r>
                </w:p>
              </w:tc>
              <w:tc>
                <w:tcPr>
                  <w:tcW w:w="696" w:type="pct"/>
                  <w:vAlign w:val="center"/>
                </w:tcPr>
                <w:p w14:paraId="5EE97464">
                  <w:pPr>
                    <w:pStyle w:val="83"/>
                    <w:rPr>
                      <w:color w:val="auto"/>
                      <w:sz w:val="21"/>
                      <w:szCs w:val="21"/>
                    </w:rPr>
                  </w:pPr>
                  <w:r>
                    <w:rPr>
                      <w:color w:val="auto"/>
                      <w:sz w:val="21"/>
                      <w:szCs w:val="21"/>
                    </w:rPr>
                    <w:t>监测浓度范围/μg/m</w:t>
                  </w:r>
                  <w:r>
                    <w:rPr>
                      <w:vertAlign w:val="superscript"/>
                      <w:color w:val="auto"/>
                      <w:sz w:val="21"/>
                      <w:szCs w:val="21"/>
                    </w:rPr>
                    <w:t>3</w:t>
                  </w:r>
                </w:p>
              </w:tc>
              <w:tc>
                <w:tcPr>
                  <w:tcW w:w="608" w:type="pct"/>
                  <w:vAlign w:val="center"/>
                </w:tcPr>
                <w:p w14:paraId="73C0E10A">
                  <w:pPr>
                    <w:pStyle w:val="83"/>
                    <w:rPr>
                      <w:color w:val="auto"/>
                      <w:sz w:val="21"/>
                      <w:szCs w:val="21"/>
                    </w:rPr>
                  </w:pPr>
                  <w:r>
                    <w:rPr>
                      <w:color w:val="auto"/>
                      <w:sz w:val="21"/>
                      <w:szCs w:val="21"/>
                    </w:rPr>
                    <w:t>最大浓度占标率/%</w:t>
                  </w:r>
                </w:p>
              </w:tc>
              <w:tc>
                <w:tcPr>
                  <w:tcW w:w="506" w:type="pct"/>
                  <w:vAlign w:val="center"/>
                </w:tcPr>
                <w:p w14:paraId="0FC6E57B">
                  <w:pPr>
                    <w:pStyle w:val="83"/>
                    <w:rPr>
                      <w:color w:val="auto"/>
                      <w:sz w:val="21"/>
                      <w:szCs w:val="21"/>
                    </w:rPr>
                  </w:pPr>
                  <w:r>
                    <w:rPr>
                      <w:color w:val="auto"/>
                      <w:sz w:val="21"/>
                      <w:szCs w:val="21"/>
                    </w:rPr>
                    <w:t>超标率/%</w:t>
                  </w:r>
                </w:p>
              </w:tc>
              <w:tc>
                <w:tcPr>
                  <w:tcW w:w="582" w:type="pct"/>
                  <w:vAlign w:val="center"/>
                </w:tcPr>
                <w:p w14:paraId="33067CD7">
                  <w:pPr>
                    <w:pStyle w:val="83"/>
                    <w:rPr>
                      <w:color w:val="auto"/>
                      <w:sz w:val="21"/>
                      <w:szCs w:val="21"/>
                    </w:rPr>
                  </w:pPr>
                  <w:r>
                    <w:rPr>
                      <w:color w:val="auto"/>
                      <w:sz w:val="21"/>
                      <w:szCs w:val="21"/>
                    </w:rPr>
                    <w:t>达标情况</w:t>
                  </w:r>
                </w:p>
              </w:tc>
            </w:tr>
            <w:tr w14:paraId="53694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24" w:hRule="atLeast"/>
                <w:jc w:val="center"/>
              </w:trPr>
              <w:tc>
                <w:tcPr>
                  <w:tcW w:w="546" w:type="pct"/>
                  <w:vAlign w:val="center"/>
                </w:tcPr>
                <w:p w14:paraId="380F0130">
                  <w:pPr>
                    <w:pStyle w:val="83"/>
                    <w:rPr>
                      <w:color w:val="auto"/>
                      <w:sz w:val="21"/>
                      <w:szCs w:val="21"/>
                    </w:rPr>
                  </w:pPr>
                  <w:r>
                    <w:rPr>
                      <w:color w:val="auto"/>
                      <w:sz w:val="21"/>
                      <w:szCs w:val="21"/>
                    </w:rPr>
                    <w:t>TSP</w:t>
                  </w:r>
                </w:p>
              </w:tc>
              <w:tc>
                <w:tcPr>
                  <w:tcW w:w="728" w:type="pct"/>
                  <w:vMerge w:val="restart"/>
                  <w:vAlign w:val="center"/>
                </w:tcPr>
                <w:p w14:paraId="2EA526B8">
                  <w:pPr>
                    <w:pStyle w:val="91"/>
                    <w:adjustRightInd w:val="0"/>
                    <w:snapToGrid w:val="0"/>
                    <w:rPr>
                      <w:color w:val="auto"/>
                      <w:szCs w:val="21"/>
                      <w:rFonts w:hint="default"/>
                    </w:rPr>
                  </w:pPr>
                  <w:r>
                    <w:rPr>
                      <w:color w:val="auto"/>
                      <w:szCs w:val="21"/>
                    </w:rPr>
                    <w:t>下风向○1</w:t>
                  </w:r>
                </w:p>
              </w:tc>
              <w:tc>
                <w:tcPr>
                  <w:tcW w:w="770" w:type="pct"/>
                  <w:vAlign w:val="center"/>
                </w:tcPr>
                <w:p w14:paraId="065AABD3">
                  <w:pPr>
                    <w:pStyle w:val="83"/>
                    <w:rPr>
                      <w:color w:val="auto"/>
                      <w:sz w:val="21"/>
                      <w:szCs w:val="21"/>
                    </w:rPr>
                  </w:pPr>
                  <w:r>
                    <w:rPr>
                      <w:color w:val="auto"/>
                      <w:sz w:val="21"/>
                      <w:szCs w:val="21"/>
                    </w:rPr>
                    <w:t>24h平均</w:t>
                  </w:r>
                </w:p>
              </w:tc>
              <w:tc>
                <w:tcPr>
                  <w:tcW w:w="559" w:type="pct"/>
                  <w:vAlign w:val="center"/>
                </w:tcPr>
                <w:p w14:paraId="72AD9D60">
                  <w:pPr>
                    <w:pStyle w:val="83"/>
                    <w:rPr>
                      <w:color w:val="auto"/>
                      <w:sz w:val="21"/>
                      <w:szCs w:val="21"/>
                    </w:rPr>
                  </w:pPr>
                  <w:r>
                    <w:rPr>
                      <w:color w:val="auto"/>
                      <w:sz w:val="21"/>
                      <w:szCs w:val="21"/>
                    </w:rPr>
                    <w:t>300</w:t>
                  </w:r>
                </w:p>
              </w:tc>
              <w:tc>
                <w:tcPr>
                  <w:tcW w:w="696" w:type="pct"/>
                  <w:vAlign w:val="center"/>
                </w:tcPr>
                <w:p w14:paraId="009EDA68">
                  <w:pPr>
                    <w:pStyle w:val="83"/>
                    <w:rPr>
                      <w:color w:val="auto"/>
                      <w:sz w:val="21"/>
                      <w:lang w:val="en-US" w:eastAsia="zh-CN"/>
                      <w:szCs w:val="21"/>
                      <w:rFonts w:eastAsia="宋体" w:hint="default"/>
                    </w:rPr>
                  </w:pPr>
                  <w:r>
                    <w:rPr>
                      <w:color w:val="auto"/>
                      <w:sz w:val="21"/>
                      <w:lang w:val="en-US" w:eastAsia="zh-CN"/>
                      <w:szCs w:val="21"/>
                      <w:rFonts w:hint="eastAsia"/>
                    </w:rPr>
                    <w:t>104-110</w:t>
                  </w:r>
                </w:p>
              </w:tc>
              <w:tc>
                <w:tcPr>
                  <w:tcW w:w="608" w:type="pct"/>
                  <w:vAlign w:val="center"/>
                </w:tcPr>
                <w:p w14:paraId="3C18DDEB">
                  <w:pPr>
                    <w:pStyle w:val="83"/>
                    <w:rPr>
                      <w:color w:val="auto"/>
                      <w:sz w:val="21"/>
                      <w:lang w:val="en-US" w:eastAsia="zh-CN"/>
                      <w:szCs w:val="21"/>
                      <w:rFonts w:eastAsia="宋体" w:hint="default"/>
                    </w:rPr>
                  </w:pPr>
                  <w:r>
                    <w:rPr>
                      <w:color w:val="auto"/>
                      <w:sz w:val="21"/>
                      <w:lang w:val="en-US" w:eastAsia="zh-CN"/>
                      <w:szCs w:val="21"/>
                      <w:rFonts w:hint="eastAsia"/>
                    </w:rPr>
                    <w:t>36.7</w:t>
                  </w:r>
                </w:p>
              </w:tc>
              <w:tc>
                <w:tcPr>
                  <w:tcW w:w="506" w:type="pct"/>
                  <w:vAlign w:val="center"/>
                </w:tcPr>
                <w:p w14:paraId="0F636734">
                  <w:pPr>
                    <w:pStyle w:val="83"/>
                    <w:rPr>
                      <w:color w:val="auto"/>
                      <w:sz w:val="21"/>
                      <w:szCs w:val="21"/>
                    </w:rPr>
                  </w:pPr>
                  <w:r>
                    <w:rPr>
                      <w:color w:val="auto"/>
                      <w:sz w:val="21"/>
                      <w:szCs w:val="21"/>
                    </w:rPr>
                    <w:t>0</w:t>
                  </w:r>
                </w:p>
              </w:tc>
              <w:tc>
                <w:tcPr>
                  <w:tcW w:w="582" w:type="pct"/>
                  <w:vAlign w:val="center"/>
                </w:tcPr>
                <w:p w14:paraId="030AC20C">
                  <w:pPr>
                    <w:pStyle w:val="83"/>
                    <w:rPr>
                      <w:color w:val="auto"/>
                      <w:sz w:val="21"/>
                      <w:szCs w:val="21"/>
                    </w:rPr>
                  </w:pPr>
                  <w:r>
                    <w:rPr>
                      <w:color w:val="auto"/>
                      <w:sz w:val="21"/>
                      <w:szCs w:val="21"/>
                    </w:rPr>
                    <w:t>达标</w:t>
                  </w:r>
                </w:p>
              </w:tc>
            </w:tr>
            <w:tr w14:paraId="38980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54" w:hRule="atLeast"/>
                <w:jc w:val="center"/>
              </w:trPr>
              <w:tc>
                <w:tcPr>
                  <w:tcW w:w="546" w:type="pct"/>
                  <w:vAlign w:val="center"/>
                </w:tcPr>
                <w:p w14:paraId="4DBC93D2">
                  <w:pPr>
                    <w:pStyle w:val="83"/>
                    <w:rPr>
                      <w:color w:val="auto"/>
                      <w:sz w:val="21"/>
                      <w:szCs w:val="21"/>
                    </w:rPr>
                  </w:pPr>
                  <w:r>
                    <w:rPr>
                      <w:color w:val="auto"/>
                      <w:sz w:val="21"/>
                      <w:szCs w:val="21"/>
                    </w:rPr>
                    <w:t>苯并[a]芘</w:t>
                  </w:r>
                </w:p>
              </w:tc>
              <w:tc>
                <w:tcPr>
                  <w:tcW w:w="728" w:type="pct"/>
                  <w:vMerge w:val="continue"/>
                  <w:vAlign w:val="center"/>
                </w:tcPr>
                <w:p w14:paraId="25CAD59F">
                  <w:pPr>
                    <w:pStyle w:val="91"/>
                    <w:adjustRightInd w:val="0"/>
                    <w:snapToGrid w:val="0"/>
                    <w:rPr>
                      <w:color w:val="auto"/>
                      <w:szCs w:val="21"/>
                      <w:rFonts w:hint="default"/>
                    </w:rPr>
                  </w:pPr>
                </w:p>
              </w:tc>
              <w:tc>
                <w:tcPr>
                  <w:tcW w:w="770" w:type="pct"/>
                  <w:vAlign w:val="center"/>
                </w:tcPr>
                <w:p w14:paraId="505BF440">
                  <w:pPr>
                    <w:pStyle w:val="83"/>
                    <w:rPr>
                      <w:color w:val="auto"/>
                      <w:sz w:val="21"/>
                      <w:szCs w:val="21"/>
                    </w:rPr>
                  </w:pPr>
                  <w:r>
                    <w:rPr>
                      <w:color w:val="auto"/>
                      <w:sz w:val="21"/>
                      <w:szCs w:val="21"/>
                    </w:rPr>
                    <w:t>日均值</w:t>
                  </w:r>
                </w:p>
              </w:tc>
              <w:tc>
                <w:tcPr>
                  <w:tcW w:w="559" w:type="pct"/>
                  <w:vAlign w:val="center"/>
                </w:tcPr>
                <w:p w14:paraId="37CEF966">
                  <w:pPr>
                    <w:pStyle w:val="83"/>
                    <w:rPr>
                      <w:color w:val="auto"/>
                      <w:sz w:val="21"/>
                      <w:szCs w:val="21"/>
                    </w:rPr>
                  </w:pPr>
                  <w:r>
                    <w:rPr>
                      <w:color w:val="auto"/>
                      <w:sz w:val="21"/>
                      <w:szCs w:val="21"/>
                    </w:rPr>
                    <w:t>0.0025</w:t>
                  </w:r>
                </w:p>
              </w:tc>
              <w:tc>
                <w:tcPr>
                  <w:tcW w:w="696" w:type="pct"/>
                  <w:vAlign w:val="center"/>
                </w:tcPr>
                <w:p w14:paraId="477B7A34">
                  <w:pPr>
                    <w:pStyle w:val="83"/>
                    <w:rPr>
                      <w:color w:val="auto"/>
                      <w:sz w:val="21"/>
                      <w:szCs w:val="21"/>
                    </w:rPr>
                  </w:pPr>
                  <w:r>
                    <w:rPr>
                      <w:color w:val="auto"/>
                      <w:sz w:val="21"/>
                      <w:szCs w:val="21"/>
                      <w:rFonts w:hint="eastAsia"/>
                    </w:rPr>
                    <w:t>未检出</w:t>
                  </w:r>
                </w:p>
              </w:tc>
              <w:tc>
                <w:tcPr>
                  <w:tcW w:w="608" w:type="pct"/>
                  <w:vAlign w:val="center"/>
                </w:tcPr>
                <w:p w14:paraId="7C00AA5F">
                  <w:pPr>
                    <w:pStyle w:val="83"/>
                    <w:rPr>
                      <w:color w:val="auto"/>
                      <w:sz w:val="21"/>
                      <w:szCs w:val="21"/>
                    </w:rPr>
                  </w:pPr>
                  <w:r>
                    <w:rPr>
                      <w:color w:val="auto"/>
                      <w:sz w:val="21"/>
                      <w:szCs w:val="21"/>
                      <w:rFonts w:hint="eastAsia"/>
                    </w:rPr>
                    <w:t>/</w:t>
                  </w:r>
                </w:p>
              </w:tc>
              <w:tc>
                <w:tcPr>
                  <w:tcW w:w="506" w:type="pct"/>
                  <w:vAlign w:val="center"/>
                </w:tcPr>
                <w:p w14:paraId="7E5324D0">
                  <w:pPr>
                    <w:pStyle w:val="83"/>
                    <w:rPr>
                      <w:color w:val="auto"/>
                      <w:sz w:val="21"/>
                      <w:szCs w:val="21"/>
                    </w:rPr>
                  </w:pPr>
                  <w:r>
                    <w:rPr>
                      <w:color w:val="auto"/>
                      <w:sz w:val="21"/>
                      <w:szCs w:val="21"/>
                      <w:rFonts w:hint="eastAsia"/>
                    </w:rPr>
                    <w:t>/</w:t>
                  </w:r>
                </w:p>
              </w:tc>
              <w:tc>
                <w:tcPr>
                  <w:tcW w:w="582" w:type="pct"/>
                  <w:vAlign w:val="center"/>
                </w:tcPr>
                <w:p w14:paraId="7746493A">
                  <w:pPr>
                    <w:pStyle w:val="83"/>
                    <w:rPr>
                      <w:color w:val="auto"/>
                      <w:sz w:val="21"/>
                      <w:szCs w:val="21"/>
                    </w:rPr>
                  </w:pPr>
                  <w:r>
                    <w:rPr>
                      <w:color w:val="auto"/>
                      <w:sz w:val="21"/>
                      <w:szCs w:val="21"/>
                      <w:rFonts w:hint="eastAsia"/>
                    </w:rPr>
                    <w:t>/</w:t>
                  </w:r>
                </w:p>
              </w:tc>
            </w:tr>
          </w:tbl>
          <w:p w14:paraId="3D62355C">
            <w:pPr>
              <w:spacing w:line="360" w:lineRule="auto"/>
              <w:ind w:firstLine="480" w:firstLineChars="200"/>
              <w:rPr>
                <w:color w:val="auto"/>
                <w:sz w:val="24"/>
                <w:kern w:val="0"/>
              </w:rPr>
            </w:pPr>
            <w:bookmarkStart w:id="16" w:name="_Hlk71807269"/>
            <w:r>
              <w:rPr>
                <w:color w:val="auto"/>
                <w:sz w:val="24"/>
                <w:kern w:val="0"/>
              </w:rPr>
              <w:t>（5）环境空气补充监测评价结论</w:t>
            </w:r>
          </w:p>
          <w:p w14:paraId="3F6D6FCA">
            <w:pPr>
              <w:contextualSpacing/>
              <w:spacing w:line="360" w:lineRule="auto"/>
              <w:ind w:firstLine="480" w:firstLineChars="200"/>
              <w:rPr>
                <w:color w:val="auto"/>
                <w:sz w:val="24"/>
                <w:rFonts w:hAnsi="宋体"/>
              </w:rPr>
            </w:pPr>
            <w:r>
              <w:rPr>
                <w:color w:val="auto"/>
                <w:sz w:val="24"/>
                <w:lang w:val="en-GB"/>
              </w:rPr>
              <w:t>根据表</w:t>
            </w:r>
            <w:r>
              <w:rPr>
                <w:color w:val="auto"/>
                <w:sz w:val="24"/>
                <w:lang w:val="en-US" w:eastAsia="zh-CN"/>
                <w:rFonts w:hint="eastAsia"/>
              </w:rPr>
              <w:t>3</w:t>
            </w:r>
            <w:r>
              <w:rPr>
                <w:color w:val="auto"/>
                <w:sz w:val="24"/>
                <w:lang w:val="en-GB"/>
              </w:rPr>
              <w:t>-</w:t>
            </w:r>
            <w:r>
              <w:rPr>
                <w:color w:val="auto"/>
                <w:sz w:val="24"/>
                <w:lang w:val="en-US" w:eastAsia="zh-CN"/>
                <w:rFonts w:hint="eastAsia"/>
              </w:rPr>
              <w:t>4</w:t>
            </w:r>
            <w:r>
              <w:rPr>
                <w:color w:val="auto"/>
                <w:sz w:val="24"/>
                <w:lang w:val="en-GB"/>
              </w:rPr>
              <w:t>，本项目补充监测的</w:t>
            </w:r>
            <w:bookmarkEnd w:id="14"/>
            <w:bookmarkEnd w:id="16"/>
            <w:r>
              <w:rPr>
                <w:color w:val="auto"/>
                <w:sz w:val="24"/>
              </w:rPr>
              <w:t>TSP24小时平均浓度满足《环境空气质量标准》（GB3095-2012）及修改单中的二级标准要求。</w:t>
            </w:r>
            <w:r>
              <w:rPr>
                <w:color w:val="auto"/>
                <w:sz w:val="24"/>
                <w:lang w:val="en-GB"/>
              </w:rPr>
              <w:t>本项目</w:t>
            </w:r>
            <w:r>
              <w:rPr>
                <w:color w:val="auto"/>
                <w:sz w:val="24"/>
                <w:lang w:val="en-GB"/>
                <w:rFonts w:hint="eastAsia"/>
              </w:rPr>
              <w:t>所在区域大气环境</w:t>
            </w:r>
            <w:r>
              <w:rPr>
                <w:color w:val="auto"/>
                <w:sz w:val="24"/>
                <w:bCs/>
              </w:rPr>
              <w:t>苯并[a]芘</w:t>
            </w:r>
            <w:r>
              <w:rPr>
                <w:color w:val="auto"/>
                <w:sz w:val="24"/>
                <w:lang w:val="en-GB"/>
                <w:rFonts w:hint="eastAsia"/>
              </w:rPr>
              <w:t>均未检出，</w:t>
            </w:r>
            <w:r>
              <w:rPr>
                <w:color w:val="auto"/>
                <w:sz w:val="24"/>
                <w:rFonts w:hAnsi="宋体"/>
              </w:rPr>
              <w:t>满足《环境空气质量标准》（</w:t>
            </w:r>
            <w:r>
              <w:rPr>
                <w:color w:val="auto"/>
                <w:sz w:val="24"/>
              </w:rPr>
              <w:t>GB3095</w:t>
            </w:r>
            <w:r>
              <w:rPr>
                <w:color w:val="auto"/>
                <w:sz w:val="24"/>
              </w:rPr>
              <w:sym w:char="F02D" w:font="Symbol"/>
            </w:r>
            <w:r>
              <w:rPr>
                <w:color w:val="auto"/>
                <w:sz w:val="24"/>
              </w:rPr>
              <w:t>2012</w:t>
            </w:r>
            <w:r>
              <w:rPr>
                <w:color w:val="auto"/>
                <w:sz w:val="24"/>
                <w:rFonts w:hAnsi="宋体"/>
              </w:rPr>
              <w:t>）二级标准的浓度限值。</w:t>
            </w:r>
          </w:p>
          <w:p w14:paraId="6E270613">
            <w:pPr>
              <w:pStyle w:val="59"/>
              <w:contextualSpacing/>
              <w:spacing w:afterLines="0" w:beforeLines="0" w:line="360" w:lineRule="auto"/>
              <w:ind w:firstLine="482"/>
              <w:rPr>
                <w:b w:val="1"/>
                <w:color w:val="auto"/>
              </w:rPr>
            </w:pPr>
            <w:r>
              <w:rPr>
                <w:b w:val="1"/>
                <w:color w:val="auto"/>
              </w:rPr>
              <w:t>2、地表水环境</w:t>
            </w:r>
          </w:p>
          <w:p w14:paraId="22A896E3">
            <w:pPr>
              <w:widowControl w:val="1"/>
              <w:adjustRightInd w:val="0"/>
              <w:snapToGrid w:val="0"/>
              <w:jc w:val="left"/>
              <w:spacing w:line="360" w:lineRule="auto"/>
              <w:ind w:firstLine="480" w:firstLineChars="200"/>
              <w:rPr>
                <w:u w:val="none"/>
                <w:color w:val="auto"/>
                <w:sz w:val="24"/>
                <w:lang w:val="zh-CN" w:eastAsia="zh-CN"/>
                <w:szCs w:val="24"/>
                <w:rFonts w:ascii="Times New Roman" w:hAnsi="Times New Roman" w:eastAsia="宋体" w:cs="Times New Roman" w:hint="eastAsia"/>
              </w:rPr>
            </w:pPr>
            <w:r>
              <w:rPr>
                <w:u w:val="none"/>
                <w:color w:val="auto"/>
                <w:sz w:val="24"/>
                <w:lang w:val="en-US" w:eastAsia="zh-CN"/>
                <w:szCs w:val="24"/>
                <w:rFonts w:ascii="Times New Roman" w:hAnsi="Times New Roman" w:eastAsia="宋体" w:cs="Times New Roman" w:hint="default"/>
              </w:rPr>
              <w:t>根据伊春市生态环境局公布的《2022年伊春市生态环境质量公报》，2022年，伊春市有监测断面的数据为13个，Ⅰ-Ⅲ类水质断面比例为69.2%，同比升高7.7%，达到年度考核目标61.5%，劣Ⅴ类水体比例为0。根据监测结果，汤旺河友好断面水体满足Ⅴ类地表水环境质量标准，其中高锰酸盐指数及化学需氧量超标，超标倍数分别为0.7和0.4；汤旺河苗圃断面水体满足Ⅱ类地表水环境质量标准；汤旺河晨明水体满足Ⅳ类地表水环境质量标准，其中高锰酸盐指数及化学需氧量超标，超标倍数分别为0.2和0.01。</w:t>
            </w:r>
          </w:p>
          <w:p w14:paraId="77B5202B">
            <w:pPr>
              <w:pStyle w:val="59"/>
              <w:contextualSpacing/>
              <w:spacing w:afterLines="0" w:beforeLines="0" w:line="360" w:lineRule="auto"/>
              <w:ind w:firstLine="482"/>
              <w:rPr>
                <w:b w:val="1"/>
                <w:color w:val="auto"/>
              </w:rPr>
            </w:pPr>
            <w:r>
              <w:rPr>
                <w:b w:val="1"/>
                <w:color w:val="auto"/>
              </w:rPr>
              <w:t>3、声环境</w:t>
            </w:r>
          </w:p>
          <w:p w14:paraId="4F33C6FB">
            <w:pPr>
              <w:widowControl w:val="1"/>
              <w:adjustRightInd w:val="0"/>
              <w:snapToGrid w:val="0"/>
              <w:jc w:val="left"/>
              <w:spacing w:line="360" w:lineRule="auto"/>
              <w:ind w:firstLine="480" w:firstLineChars="200"/>
              <w:rPr>
                <w:color w:val="auto"/>
                <w:sz w:val="24"/>
                <w:szCs w:val="24"/>
              </w:rPr>
            </w:pPr>
            <w:r>
              <w:rPr>
                <w:u w:val="none"/>
                <w:color w:val="auto"/>
                <w:sz w:val="24"/>
                <w:lang w:val="zh-CN" w:eastAsia="zh-CN"/>
                <w:szCs w:val="24"/>
                <w:rFonts w:ascii="Times New Roman" w:hAnsi="Times New Roman" w:eastAsia="宋体" w:cs="Times New Roman" w:hint="eastAsia"/>
              </w:rPr>
              <w:t>根据《2022年伊春市生态环境质量公报》，2022年，伊春市昼间区域环境噪声平均等效声级为50.2分贝，声环境质量为好，比去年升高了0.1分贝。伊春市昼间交通干线噪声平均等效声级为65.4分贝，声环境质量为好，比去年升高了1.1分贝。2022年度，对各功能区声环境监测点位共进行4次检测，各监测点噪声昼间等效声级达标率为95.8%，同比下降4.2%；夜间等效声级达标率为100%，同比无变化</w:t>
            </w:r>
            <w:r>
              <w:rPr>
                <w:color w:val="auto"/>
                <w:sz w:val="24"/>
                <w:szCs w:val="24"/>
                <w:rFonts w:hint="eastAsia"/>
              </w:rPr>
              <w:t>。</w:t>
            </w:r>
          </w:p>
          <w:p w14:paraId="5EBF8BB3">
            <w:pPr>
              <w:pStyle w:val="59"/>
              <w:contextualSpacing/>
              <w:spacing w:afterLines="0" w:beforeLines="0" w:line="360" w:lineRule="auto"/>
              <w:ind w:firstLine="482"/>
              <w:rPr>
                <w:b w:val="1"/>
                <w:color w:val="auto"/>
              </w:rPr>
            </w:pPr>
            <w:r>
              <w:rPr>
                <w:b w:val="1"/>
                <w:color w:val="auto"/>
              </w:rPr>
              <w:t>4、生态环境</w:t>
            </w:r>
          </w:p>
          <w:p w14:paraId="68FC334F">
            <w:pPr>
              <w:jc w:val="left"/>
              <w:contextualSpacing/>
              <w:spacing w:line="360" w:lineRule="auto"/>
              <w:ind w:firstLine="480" w:firstLineChars="200"/>
              <w:rPr>
                <w:color w:val="auto"/>
                <w:sz w:val="24"/>
                <w:kern w:val="0"/>
              </w:rPr>
            </w:pPr>
            <w:r>
              <w:rPr>
                <w:color w:val="auto"/>
                <w:sz w:val="24"/>
                <w:kern w:val="0"/>
              </w:rPr>
              <w:t>本项目建设地点属于</w:t>
            </w:r>
            <w:r>
              <w:rPr>
                <w:color w:val="auto"/>
                <w:sz w:val="24"/>
              </w:rPr>
              <w:t>黑龙江省</w:t>
            </w:r>
            <w:r>
              <w:rPr>
                <w:color w:val="auto"/>
                <w:sz w:val="24"/>
                <w:lang w:val="en-US" w:eastAsia="zh-CN"/>
                <w:rFonts w:hint="eastAsia"/>
              </w:rPr>
              <w:t>伊春市</w:t>
            </w:r>
            <w:r>
              <w:rPr>
                <w:color w:val="auto"/>
                <w:sz w:val="24"/>
                <w:bCs/>
              </w:rPr>
              <w:t>，</w:t>
            </w:r>
            <w:r>
              <w:rPr>
                <w:color w:val="auto"/>
                <w:sz w:val="24"/>
                <w:bCs/>
              </w:rPr>
              <w:t>用地性质为</w:t>
            </w:r>
            <w:r>
              <w:rPr>
                <w:color w:val="auto"/>
                <w:sz w:val="24"/>
                <w:lang w:val="en-US" w:eastAsia="zh-CN"/>
                <w:bCs/>
                <w:rFonts w:hint="eastAsia"/>
              </w:rPr>
              <w:t>临时</w:t>
            </w:r>
            <w:r>
              <w:rPr>
                <w:color w:val="auto"/>
                <w:sz w:val="24"/>
                <w:bCs/>
              </w:rPr>
              <w:t>用地，</w:t>
            </w:r>
            <w:r>
              <w:rPr>
                <w:color w:val="auto"/>
                <w:sz w:val="24"/>
                <w:kern w:val="0"/>
              </w:rPr>
              <w:t>用地范围内无生态环境保护目标，通过现状调查，</w:t>
            </w:r>
            <w:r>
              <w:rPr>
                <w:color w:val="auto"/>
                <w:sz w:val="24"/>
                <w:kern w:val="0"/>
                <w:rFonts w:hint="eastAsia"/>
              </w:rPr>
              <w:t>场地为闲置场地</w:t>
            </w:r>
            <w:r>
              <w:rPr>
                <w:color w:val="auto"/>
                <w:sz w:val="24"/>
                <w:kern w:val="0"/>
              </w:rPr>
              <w:t>。</w:t>
            </w:r>
          </w:p>
          <w:p w14:paraId="7F64DCC3">
            <w:pPr>
              <w:jc w:val="left"/>
              <w:contextualSpacing/>
              <w:spacing w:line="360" w:lineRule="auto"/>
              <w:ind w:firstLine="480" w:firstLineChars="200"/>
              <w:rPr>
                <w:color w:val="auto"/>
                <w:sz w:val="24"/>
                <w:kern w:val="0"/>
              </w:rPr>
            </w:pPr>
            <w:r>
              <w:rPr>
                <w:color w:val="auto"/>
                <w:sz w:val="24"/>
              </w:rPr>
              <w:t>通过现场踏查，本项目</w:t>
            </w:r>
            <w:r>
              <w:rPr>
                <w:color w:val="auto"/>
                <w:sz w:val="24"/>
                <w:rFonts w:hint="eastAsia"/>
              </w:rPr>
              <w:t>占地范围</w:t>
            </w:r>
            <w:r>
              <w:rPr>
                <w:color w:val="auto"/>
                <w:sz w:val="24"/>
              </w:rPr>
              <w:t>内无国家、省、市级自然保护区，无自然保护区、风景名胜区、饮用水水源地等特殊敏感区，无重要旅游景点。因此不进行生态环境现状调查。</w:t>
            </w:r>
          </w:p>
          <w:p w14:paraId="29C017D1">
            <w:pPr>
              <w:pStyle w:val="59"/>
              <w:contextualSpacing/>
              <w:spacing w:afterLines="0" w:beforeLines="0" w:line="360" w:lineRule="auto"/>
              <w:ind w:firstLine="482"/>
              <w:rPr>
                <w:b w:val="1"/>
                <w:color w:val="auto"/>
              </w:rPr>
            </w:pPr>
            <w:r>
              <w:rPr>
                <w:b w:val="1"/>
                <w:color w:val="auto"/>
              </w:rPr>
              <w:t>5、地下水</w:t>
            </w:r>
          </w:p>
          <w:p w14:paraId="7F7905EA">
            <w:pPr>
              <w:jc w:val="left"/>
              <w:contextualSpacing/>
              <w:spacing w:line="360" w:lineRule="auto"/>
              <w:ind w:firstLine="480" w:firstLineChars="200"/>
              <w:rPr>
                <w:color w:val="auto"/>
                <w:sz w:val="24"/>
                <w:kern w:val="0"/>
              </w:rPr>
            </w:pPr>
            <w:r>
              <w:rPr>
                <w:color w:val="auto"/>
                <w:sz w:val="24"/>
                <w:kern w:val="0"/>
              </w:rPr>
              <w:t>根据《建设项目环境影响报告表编制技术指南(污染影响类)(试行)》，原则上不开展地下水和土壤环境质量现状调查，</w:t>
            </w:r>
            <w:r>
              <w:rPr>
                <w:color w:val="auto"/>
                <w:sz w:val="24"/>
                <w:lang w:val="en-US" w:eastAsia="zh-CN"/>
                <w:kern w:val="0"/>
                <w:rFonts w:hint="eastAsia"/>
              </w:rPr>
              <w:t>厂区进行分区防渗</w:t>
            </w:r>
            <w:r>
              <w:rPr>
                <w:color w:val="auto"/>
                <w:sz w:val="24"/>
                <w:kern w:val="0"/>
              </w:rPr>
              <w:t>，不会对地下水环境产生影响。因此，不开展地下水环境质量现状调查。</w:t>
            </w:r>
          </w:p>
          <w:p w14:paraId="50613771">
            <w:pPr>
              <w:pStyle w:val="59"/>
              <w:contextualSpacing/>
              <w:spacing w:afterLines="0" w:beforeLines="0" w:line="360" w:lineRule="auto"/>
              <w:ind w:firstLine="480"/>
              <w:rPr>
                <w:color w:val="auto"/>
                <w:lang w:eastAsia="zh-CN"/>
                <w:kern w:val="0"/>
                <w:rFonts w:eastAsia="宋体" w:hint="eastAsia"/>
              </w:rPr>
            </w:pPr>
          </w:p>
        </w:tc>
      </w:tr>
      <w:tr w14:paraId="32D6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0" w:hRule="atLeast"/>
          <w:jc w:val="center"/>
        </w:trPr>
        <w:tc>
          <w:tcPr>
            <w:tcW w:w="996" w:type="dxa"/>
            <w:vAlign w:val="center"/>
          </w:tcPr>
          <w:p w14:paraId="2C58007F">
            <w:pPr>
              <w:adjustRightInd w:val="0"/>
              <w:snapToGrid w:val="0"/>
              <w:jc w:val="center"/>
              <w:rPr>
                <w:color w:val="auto"/>
                <w:sz w:val="24"/>
                <w:kern w:val="0"/>
              </w:rPr>
            </w:pPr>
            <w:r>
              <w:rPr>
                <w:color w:val="auto"/>
                <w:sz w:val="24"/>
                <w:kern w:val="0"/>
              </w:rPr>
              <w:t>环境</w:t>
            </w:r>
          </w:p>
          <w:p w14:paraId="62D712DF">
            <w:pPr>
              <w:adjustRightInd w:val="0"/>
              <w:snapToGrid w:val="0"/>
              <w:jc w:val="center"/>
              <w:rPr>
                <w:color w:val="auto"/>
                <w:sz w:val="24"/>
                <w:kern w:val="0"/>
              </w:rPr>
            </w:pPr>
            <w:r>
              <w:rPr>
                <w:color w:val="auto"/>
                <w:sz w:val="24"/>
                <w:kern w:val="0"/>
              </w:rPr>
              <w:t>保护</w:t>
            </w:r>
          </w:p>
          <w:p w14:paraId="1784211B">
            <w:pPr>
              <w:adjustRightInd w:val="0"/>
              <w:snapToGrid w:val="0"/>
              <w:jc w:val="center"/>
              <w:rPr>
                <w:color w:val="auto"/>
                <w:sz w:val="24"/>
                <w:kern w:val="0"/>
              </w:rPr>
            </w:pPr>
            <w:r>
              <w:rPr>
                <w:color w:val="auto"/>
                <w:sz w:val="24"/>
                <w:kern w:val="0"/>
              </w:rPr>
              <w:t>目标</w:t>
            </w:r>
          </w:p>
        </w:tc>
        <w:tc>
          <w:tcPr>
            <w:tcW w:w="8329" w:type="dxa"/>
            <w:vAlign w:val="center"/>
          </w:tcPr>
          <w:p w14:paraId="4EF8D6AD">
            <w:pPr>
              <w:contextualSpacing/>
              <w:spacing w:line="360" w:lineRule="auto"/>
              <w:ind w:firstLine="482" w:firstLineChars="200"/>
              <w:rPr>
                <w:b w:val="1"/>
                <w:color w:val="auto"/>
                <w:sz w:val="24"/>
                <w:kern w:val="0"/>
              </w:rPr>
            </w:pPr>
            <w:r>
              <w:rPr>
                <w:b w:val="1"/>
                <w:color w:val="auto"/>
                <w:sz w:val="24"/>
                <w:kern w:val="0"/>
              </w:rPr>
              <w:t>1、大气环境保护目标</w:t>
            </w:r>
          </w:p>
          <w:p w14:paraId="4646A4EC">
            <w:pPr>
              <w:contextualSpacing/>
              <w:spacing w:line="360" w:lineRule="auto"/>
              <w:ind w:firstLine="480" w:firstLineChars="200"/>
              <w:rPr>
                <w:color w:val="auto"/>
                <w:sz w:val="24"/>
                <w:rFonts w:eastAsiaTheme="minorEastAsia"/>
              </w:rPr>
            </w:pPr>
            <w:r>
              <w:rPr>
                <w:color w:val="auto"/>
                <w:sz w:val="24"/>
                <w:kern w:val="0"/>
              </w:rPr>
              <w:t>本项目评价范围内无自然保护区、风景名胜区等保护目标，</w:t>
            </w:r>
            <w:r>
              <w:rPr>
                <w:color w:val="auto"/>
                <w:sz w:val="24"/>
                <w:lang w:val="en-US" w:eastAsia="zh-CN"/>
                <w:kern w:val="0"/>
                <w:rFonts w:hint="eastAsia"/>
              </w:rPr>
              <w:t>厂区周围500米范围内无</w:t>
            </w:r>
            <w:r>
              <w:rPr>
                <w:color w:val="auto"/>
                <w:sz w:val="24"/>
                <w:kern w:val="0"/>
              </w:rPr>
              <w:t>大气环境保护目标</w:t>
            </w:r>
            <w:r>
              <w:rPr>
                <w:color w:val="auto"/>
                <w:sz w:val="24"/>
                <w:rFonts w:eastAsiaTheme="minorEastAsia"/>
              </w:rPr>
              <w:t>。</w:t>
            </w:r>
          </w:p>
          <w:p w14:paraId="78C26C57">
            <w:pPr>
              <w:contextualSpacing/>
              <w:spacing w:line="360" w:lineRule="auto"/>
              <w:ind w:firstLine="482" w:firstLineChars="200"/>
              <w:rPr>
                <w:b w:val="1"/>
                <w:color w:val="auto"/>
                <w:sz w:val="24"/>
                <w:kern w:val="0"/>
              </w:rPr>
            </w:pPr>
            <w:r>
              <w:rPr>
                <w:b w:val="1"/>
                <w:color w:val="auto"/>
                <w:sz w:val="24"/>
                <w:kern w:val="0"/>
              </w:rPr>
              <w:t>2、声环境保护目标</w:t>
            </w:r>
          </w:p>
          <w:p w14:paraId="524DDDC8">
            <w:pPr>
              <w:contextualSpacing/>
              <w:spacing w:line="360" w:lineRule="auto"/>
              <w:ind w:firstLine="480" w:firstLineChars="200"/>
              <w:rPr>
                <w:color w:val="auto"/>
                <w:sz w:val="24"/>
                <w:lang w:eastAsia="zh-CN"/>
                <w:kern w:val="0"/>
                <w:rFonts w:hint="eastAsia" w:hAnsiTheme="minorEastAsia" w:eastAsiaTheme="minorEastAsia"/>
              </w:rPr>
            </w:pPr>
            <w:r>
              <w:rPr>
                <w:color w:val="auto"/>
                <w:sz w:val="24"/>
                <w:kern w:val="0"/>
                <w:rFonts w:hAnsiTheme="minorEastAsia" w:eastAsiaTheme="minorEastAsia"/>
              </w:rPr>
              <w:t>厂界外</w:t>
            </w:r>
            <w:r>
              <w:rPr>
                <w:color w:val="auto"/>
                <w:sz w:val="24"/>
                <w:kern w:val="0"/>
                <w:rFonts w:eastAsiaTheme="minorEastAsia"/>
              </w:rPr>
              <w:t>50m</w:t>
            </w:r>
            <w:r>
              <w:rPr>
                <w:color w:val="auto"/>
                <w:sz w:val="24"/>
                <w:kern w:val="0"/>
                <w:rFonts w:hAnsiTheme="minorEastAsia" w:eastAsiaTheme="minorEastAsia"/>
              </w:rPr>
              <w:t>范围</w:t>
            </w:r>
            <w:r>
              <w:rPr>
                <w:color w:val="auto"/>
                <w:sz w:val="24"/>
                <w:lang w:val="en-US" w:eastAsia="zh-CN"/>
                <w:kern w:val="0"/>
                <w:rFonts w:hint="eastAsia" w:hAnsiTheme="minorEastAsia" w:eastAsiaTheme="minorEastAsia"/>
              </w:rPr>
              <w:t>无</w:t>
            </w:r>
            <w:r>
              <w:rPr>
                <w:color w:val="auto"/>
                <w:sz w:val="24"/>
                <w:kern w:val="0"/>
                <w:rFonts w:hAnsiTheme="minorEastAsia" w:eastAsiaTheme="minorEastAsia"/>
              </w:rPr>
              <w:t>声环境保护目标</w:t>
            </w:r>
            <w:r>
              <w:rPr>
                <w:color w:val="auto"/>
                <w:sz w:val="24"/>
                <w:lang w:eastAsia="zh-CN"/>
                <w:kern w:val="0"/>
                <w:rFonts w:hint="eastAsia" w:hAnsiTheme="minorEastAsia" w:eastAsiaTheme="minorEastAsia"/>
              </w:rPr>
              <w:t>。</w:t>
            </w:r>
          </w:p>
          <w:p w14:paraId="36E4206E">
            <w:pPr>
              <w:contextualSpacing/>
              <w:spacing w:line="360" w:lineRule="auto"/>
              <w:ind w:firstLine="482" w:firstLineChars="200"/>
              <w:rPr>
                <w:b w:val="1"/>
                <w:color w:val="auto"/>
                <w:sz w:val="24"/>
                <w:kern w:val="0"/>
              </w:rPr>
            </w:pPr>
            <w:r>
              <w:rPr>
                <w:b w:val="1"/>
                <w:color w:val="auto"/>
                <w:sz w:val="24"/>
                <w:kern w:val="0"/>
              </w:rPr>
              <w:t>3、地下水环境保护目标</w:t>
            </w:r>
          </w:p>
          <w:p w14:paraId="0D1D4381">
            <w:pPr>
              <w:contextualSpacing/>
              <w:spacing w:line="360" w:lineRule="auto"/>
              <w:ind w:firstLine="480" w:firstLineChars="200"/>
              <w:rPr>
                <w:color w:val="auto"/>
                <w:sz w:val="24"/>
                <w:kern w:val="0"/>
              </w:rPr>
            </w:pPr>
            <w:r>
              <w:rPr>
                <w:color w:val="auto"/>
                <w:sz w:val="24"/>
                <w:kern w:val="0"/>
              </w:rPr>
              <w:t>厂界外500m范围内无热水、矿泉水、温泉、</w:t>
            </w:r>
            <w:r>
              <w:rPr>
                <w:color w:val="auto"/>
                <w:sz w:val="24"/>
                <w:kern w:val="0"/>
                <w:rFonts w:hAnsiTheme="minorEastAsia" w:eastAsiaTheme="minorEastAsia"/>
              </w:rPr>
              <w:t>集中式饮用水源井</w:t>
            </w:r>
            <w:r>
              <w:rPr>
                <w:color w:val="auto"/>
                <w:sz w:val="24"/>
                <w:kern w:val="0"/>
              </w:rPr>
              <w:t>等特殊地下水资源。</w:t>
            </w:r>
          </w:p>
          <w:p w14:paraId="15E0912D">
            <w:pPr>
              <w:pStyle w:val="59"/>
              <w:contextualSpacing/>
              <w:spacing w:afterLines="0" w:beforeLines="0" w:line="360" w:lineRule="auto"/>
              <w:ind w:firstLine="482"/>
              <w:rPr>
                <w:b w:val="1"/>
                <w:color w:val="auto"/>
              </w:rPr>
            </w:pPr>
            <w:r>
              <w:rPr>
                <w:b w:val="1"/>
                <w:color w:val="auto"/>
              </w:rPr>
              <w:t>4、生态环境保护目标</w:t>
            </w:r>
          </w:p>
          <w:p w14:paraId="613EBB40">
            <w:pPr>
              <w:jc w:val="left"/>
              <w:contextualSpacing/>
              <w:spacing w:line="360" w:lineRule="auto"/>
              <w:ind w:firstLine="480" w:firstLineChars="200"/>
              <w:rPr>
                <w:color w:val="auto"/>
                <w:sz w:val="24"/>
                <w:kern w:val="0"/>
              </w:rPr>
            </w:pPr>
            <w:r>
              <w:rPr>
                <w:color w:val="auto"/>
                <w:sz w:val="24"/>
                <w:kern w:val="0"/>
              </w:rPr>
              <w:t>本项目用地范围内无生态环境保护目标。</w:t>
            </w:r>
          </w:p>
        </w:tc>
      </w:tr>
      <w:tr w14:paraId="37463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974" w:hRule="atLeast"/>
          <w:jc w:val="center"/>
        </w:trPr>
        <w:tc>
          <w:tcPr>
            <w:tcW w:w="996" w:type="dxa"/>
            <w:vAlign w:val="center"/>
            <w:tcMar>
              <w:left w:type="dxa" w:w="28.000000"/>
              <w:right w:type="dxa" w:w="28.000000"/>
            </w:tcMar>
          </w:tcPr>
          <w:p w14:paraId="056148F4">
            <w:pPr>
              <w:adjustRightInd w:val="0"/>
              <w:snapToGrid w:val="0"/>
              <w:jc w:val="center"/>
              <w:rPr>
                <w:color w:val="auto"/>
                <w:sz w:val="24"/>
                <w:kern w:val="0"/>
              </w:rPr>
            </w:pPr>
            <w:r>
              <w:rPr>
                <w:color w:val="auto"/>
                <w:sz w:val="24"/>
                <w:kern w:val="0"/>
              </w:rPr>
              <w:t>污染</w:t>
            </w:r>
          </w:p>
          <w:p w14:paraId="70FE2F1F">
            <w:pPr>
              <w:adjustRightInd w:val="0"/>
              <w:snapToGrid w:val="0"/>
              <w:jc w:val="center"/>
              <w:rPr>
                <w:color w:val="auto"/>
                <w:sz w:val="24"/>
                <w:kern w:val="0"/>
              </w:rPr>
            </w:pPr>
            <w:r>
              <w:rPr>
                <w:color w:val="auto"/>
                <w:sz w:val="24"/>
                <w:kern w:val="0"/>
              </w:rPr>
              <w:t>物排</w:t>
            </w:r>
          </w:p>
          <w:p w14:paraId="7EE32EDA">
            <w:pPr>
              <w:adjustRightInd w:val="0"/>
              <w:snapToGrid w:val="0"/>
              <w:jc w:val="center"/>
              <w:rPr>
                <w:color w:val="auto"/>
                <w:sz w:val="24"/>
                <w:kern w:val="0"/>
              </w:rPr>
            </w:pPr>
            <w:r>
              <w:rPr>
                <w:color w:val="auto"/>
                <w:sz w:val="24"/>
                <w:kern w:val="0"/>
              </w:rPr>
              <w:t>放控</w:t>
            </w:r>
          </w:p>
          <w:p w14:paraId="2D239700">
            <w:pPr>
              <w:adjustRightInd w:val="0"/>
              <w:snapToGrid w:val="0"/>
              <w:jc w:val="center"/>
              <w:rPr>
                <w:color w:val="auto"/>
                <w:sz w:val="24"/>
                <w:kern w:val="0"/>
              </w:rPr>
            </w:pPr>
            <w:r>
              <w:rPr>
                <w:color w:val="auto"/>
                <w:sz w:val="24"/>
                <w:kern w:val="0"/>
              </w:rPr>
              <w:t>制标</w:t>
            </w:r>
          </w:p>
          <w:p w14:paraId="1FBDA296">
            <w:pPr>
              <w:adjustRightInd w:val="0"/>
              <w:snapToGrid w:val="0"/>
              <w:jc w:val="center"/>
              <w:rPr>
                <w:color w:val="auto"/>
                <w:sz w:val="24"/>
                <w:kern w:val="0"/>
              </w:rPr>
            </w:pPr>
            <w:r>
              <w:rPr>
                <w:color w:val="auto"/>
                <w:sz w:val="24"/>
                <w:kern w:val="0"/>
              </w:rPr>
              <w:t>准</w:t>
            </w:r>
          </w:p>
        </w:tc>
        <w:tc>
          <w:tcPr>
            <w:tcW w:w="8329" w:type="dxa"/>
            <w:vAlign w:val="center"/>
          </w:tcPr>
          <w:p w14:paraId="32C02710">
            <w:pPr>
              <w:contextualSpacing/>
              <w:spacing w:line="360" w:lineRule="auto"/>
              <w:ind w:firstLine="482" w:firstLineChars="200"/>
              <w:rPr>
                <w:b w:val="1"/>
                <w:color w:val="auto"/>
                <w:sz w:val="24"/>
                <w:kern w:val="0"/>
              </w:rPr>
            </w:pPr>
            <w:r>
              <w:rPr>
                <w:b w:val="1"/>
                <w:color w:val="auto"/>
                <w:sz w:val="24"/>
                <w:kern w:val="0"/>
              </w:rPr>
              <w:t>1、废气</w:t>
            </w:r>
          </w:p>
          <w:p w14:paraId="2CC8E1AD">
            <w:pPr>
              <w:pStyle w:val="61"/>
              <w:snapToGrid w:val="1"/>
              <w:jc w:val="left"/>
              <w:contextualSpacing/>
              <w:ind w:firstLine="480"/>
              <w:rPr>
                <w:color w:val="auto"/>
                <w:sz w:val="24"/>
                <w:bCs/>
              </w:rPr>
            </w:pPr>
            <w:r>
              <w:rPr>
                <w:color w:val="auto"/>
                <w:sz w:val="24"/>
                <w:bCs/>
              </w:rPr>
              <w:t>施工期废气执行《大气污染物综合排放标准》（GB16297-1996）表</w:t>
            </w:r>
            <w:r>
              <w:rPr>
                <w:color w:val="auto"/>
                <w:sz w:val="24"/>
                <w:bCs/>
                <w:rFonts w:hint="eastAsia"/>
              </w:rPr>
              <w:t>2</w:t>
            </w:r>
            <w:r>
              <w:rPr>
                <w:color w:val="auto"/>
                <w:sz w:val="24"/>
                <w:bCs/>
              </w:rPr>
              <w:t>无组织排放监控浓度限值要求；营运期</w:t>
            </w:r>
            <w:r>
              <w:rPr>
                <w:color w:val="auto"/>
                <w:sz w:val="24"/>
                <w:rFonts w:eastAsiaTheme="minorEastAsia"/>
              </w:rPr>
              <w:t>原料堆场、铲装集堆粉尘</w:t>
            </w:r>
            <w:r>
              <w:rPr>
                <w:color w:val="auto"/>
                <w:sz w:val="24"/>
                <w:bCs/>
              </w:rPr>
              <w:t>执行《大气污染物综合排放标准》（GB16297-1996）表</w:t>
            </w:r>
            <w:r>
              <w:rPr>
                <w:color w:val="auto"/>
                <w:sz w:val="24"/>
                <w:bCs/>
                <w:rFonts w:hint="eastAsia"/>
              </w:rPr>
              <w:t>2</w:t>
            </w:r>
            <w:r>
              <w:rPr>
                <w:color w:val="auto"/>
                <w:sz w:val="24"/>
                <w:bCs/>
              </w:rPr>
              <w:t>无组织排放监控浓度限值要求。</w:t>
            </w:r>
            <w:r>
              <w:rPr>
                <w:color w:val="auto"/>
                <w:sz w:val="24"/>
                <w:bCs/>
                <w:rFonts w:eastAsiaTheme="minorEastAsia"/>
              </w:rPr>
              <w:t>非甲烷总烃、</w:t>
            </w:r>
            <w:r>
              <w:rPr>
                <w:color w:val="auto"/>
                <w:sz w:val="24"/>
                <w:bCs/>
              </w:rPr>
              <w:t>沥青烟和苯并[a]芘排放执行《大气污染物综合排放标准》（GB16297-1996）表2 中二级排放标准限值。燃</w:t>
            </w:r>
            <w:r>
              <w:rPr>
                <w:color w:val="auto"/>
                <w:sz w:val="24"/>
                <w:bCs/>
                <w:rFonts w:hint="eastAsia"/>
              </w:rPr>
              <w:t>天然气</w:t>
            </w:r>
            <w:r>
              <w:rPr>
                <w:color w:val="auto"/>
                <w:sz w:val="24"/>
                <w:bCs/>
              </w:rPr>
              <w:t>导热油炉废气执行《锅炉大气污染物排放标准》（GB13271-2014）表2燃</w:t>
            </w:r>
            <w:r>
              <w:rPr>
                <w:color w:val="auto"/>
                <w:sz w:val="24"/>
                <w:bCs/>
                <w:rFonts w:hint="eastAsia"/>
              </w:rPr>
              <w:t>气</w:t>
            </w:r>
            <w:r>
              <w:rPr>
                <w:color w:val="auto"/>
                <w:sz w:val="24"/>
                <w:bCs/>
              </w:rPr>
              <w:t>锅炉大气污染物排放限值标准。燃</w:t>
            </w:r>
            <w:r>
              <w:rPr>
                <w:color w:val="auto"/>
                <w:sz w:val="24"/>
                <w:bCs/>
                <w:rFonts w:hint="eastAsia"/>
              </w:rPr>
              <w:t>天然气</w:t>
            </w:r>
            <w:r>
              <w:rPr>
                <w:color w:val="auto"/>
                <w:sz w:val="24"/>
                <w:bCs/>
              </w:rPr>
              <w:t>燃烧器排气筒排放废气执行《大气污染物综合排放标准》（GB16297-1996）表2 中二级排放标准限值。</w:t>
            </w:r>
            <w:r>
              <w:rPr>
                <w:color w:val="auto"/>
                <w:sz w:val="24"/>
                <w:rFonts w:hint="eastAsia"/>
              </w:rPr>
              <w:t>厂区</w:t>
            </w:r>
            <w:r>
              <w:rPr>
                <w:color w:val="auto"/>
                <w:sz w:val="24"/>
              </w:rPr>
              <w:t>内无组织非甲烷总烃执行《挥发性有机物无组织排放标准》（GB</w:t>
            </w:r>
            <w:r>
              <w:rPr>
                <w:color w:val="auto"/>
                <w:sz w:val="24"/>
                <w:rFonts w:hint="eastAsia"/>
              </w:rPr>
              <w:t>37822</w:t>
            </w:r>
            <w:r>
              <w:rPr>
                <w:color w:val="auto"/>
                <w:sz w:val="24"/>
              </w:rPr>
              <w:t>-20</w:t>
            </w:r>
            <w:r>
              <w:rPr>
                <w:color w:val="auto"/>
                <w:sz w:val="24"/>
                <w:rFonts w:hint="eastAsia"/>
              </w:rPr>
              <w:t>19</w:t>
            </w:r>
            <w:r>
              <w:rPr>
                <w:color w:val="auto"/>
                <w:sz w:val="24"/>
              </w:rPr>
              <w:t>）中表</w:t>
            </w:r>
            <w:r>
              <w:rPr>
                <w:color w:val="auto"/>
                <w:sz w:val="24"/>
                <w:rFonts w:hint="eastAsia"/>
              </w:rPr>
              <w:t>A.1无组织排放限值，厂界</w:t>
            </w:r>
            <w:r>
              <w:rPr>
                <w:color w:val="auto"/>
                <w:sz w:val="24"/>
              </w:rPr>
              <w:t>非甲烷总烃、</w:t>
            </w:r>
            <w:r>
              <w:rPr>
                <w:color w:val="auto"/>
                <w:sz w:val="24"/>
                <w:bCs/>
              </w:rPr>
              <w:t>苯并[a]芘和沥青烟</w:t>
            </w:r>
            <w:r>
              <w:rPr>
                <w:color w:val="auto"/>
                <w:sz w:val="24"/>
                <w:rFonts w:hint="eastAsia"/>
              </w:rPr>
              <w:t>执行</w:t>
            </w:r>
            <w:r>
              <w:rPr>
                <w:color w:val="auto"/>
                <w:sz w:val="24"/>
                <w:bCs/>
              </w:rPr>
              <w:t>《大气污染物综合排放标准》（GB16297-1996）表2无组织排放限值要求</w:t>
            </w:r>
            <w:r>
              <w:rPr>
                <w:color w:val="auto"/>
                <w:sz w:val="24"/>
                <w:rFonts w:hint="eastAsia"/>
              </w:rPr>
              <w:t>。</w:t>
            </w:r>
          </w:p>
          <w:p w14:paraId="4226D344">
            <w:pPr>
              <w:pStyle w:val="61"/>
              <w:snapToGrid w:val="1"/>
              <w:jc w:val="left"/>
              <w:contextualSpacing/>
              <w:ind w:firstLine="480"/>
              <w:rPr>
                <w:color w:val="auto"/>
                <w:sz w:val="24"/>
                <w:kern w:val="0"/>
                <w:rFonts w:hAnsiTheme="minorEastAsia" w:eastAsiaTheme="minorEastAsia"/>
              </w:rPr>
            </w:pPr>
            <w:r>
              <w:rPr>
                <w:color w:val="auto"/>
                <w:sz w:val="24"/>
                <w:kern w:val="0"/>
                <w:rFonts w:hAnsiTheme="minorEastAsia" w:eastAsiaTheme="minorEastAsia"/>
              </w:rPr>
              <w:t>根据</w:t>
            </w:r>
            <w:r>
              <w:rPr>
                <w:color w:val="auto"/>
                <w:sz w:val="24"/>
                <w:bCs/>
                <w:kern w:val="0"/>
                <w:rFonts w:hAnsiTheme="minorEastAsia" w:eastAsiaTheme="minorEastAsia"/>
              </w:rPr>
              <w:t>《大气污染物综合排放标准》（</w:t>
            </w:r>
            <w:r>
              <w:rPr>
                <w:color w:val="auto"/>
                <w:sz w:val="24"/>
                <w:bCs/>
                <w:kern w:val="0"/>
                <w:rFonts w:eastAsiaTheme="minorEastAsia"/>
              </w:rPr>
              <w:t>GB16297-1996</w:t>
            </w:r>
            <w:r>
              <w:rPr>
                <w:color w:val="auto"/>
                <w:sz w:val="24"/>
                <w:bCs/>
                <w:kern w:val="0"/>
                <w:rFonts w:hAnsiTheme="minorEastAsia" w:eastAsiaTheme="minorEastAsia"/>
              </w:rPr>
              <w:t>）</w:t>
            </w:r>
            <w:r>
              <w:rPr>
                <w:color w:val="auto"/>
                <w:sz w:val="24"/>
                <w:kern w:val="0"/>
                <w:rFonts w:hAnsiTheme="minorEastAsia" w:eastAsiaTheme="minorEastAsia"/>
              </w:rPr>
              <w:t>中要求的</w:t>
            </w:r>
            <w:r>
              <w:rPr>
                <w:color w:val="auto"/>
                <w:sz w:val="24"/>
                <w:kern w:val="0"/>
                <w:rFonts w:hint="eastAsia" w:eastAsiaTheme="minorEastAsia"/>
              </w:rPr>
              <w:t>“</w:t>
            </w:r>
            <w:r>
              <w:rPr>
                <w:color w:val="auto"/>
                <w:sz w:val="24"/>
                <w:kern w:val="0"/>
                <w:rFonts w:hint="eastAsia" w:hAnsiTheme="minorEastAsia" w:eastAsiaTheme="minorEastAsia"/>
              </w:rPr>
              <w:t>排气筒</w:t>
            </w:r>
            <w:r>
              <w:rPr>
                <w:color w:val="auto"/>
                <w:sz w:val="24"/>
                <w:kern w:val="0"/>
                <w:rFonts w:hAnsiTheme="minorEastAsia" w:eastAsiaTheme="minorEastAsia"/>
              </w:rPr>
              <w:t>高度高出周围半径</w:t>
            </w:r>
            <w:r>
              <w:rPr>
                <w:color w:val="auto"/>
                <w:sz w:val="24"/>
                <w:kern w:val="0"/>
                <w:rFonts w:eastAsiaTheme="minorEastAsia"/>
              </w:rPr>
              <w:t>200m范围内的</w:t>
            </w:r>
            <w:r>
              <w:rPr>
                <w:color w:val="auto"/>
                <w:sz w:val="24"/>
                <w:kern w:val="0"/>
                <w:rFonts w:hAnsiTheme="minorEastAsia" w:eastAsiaTheme="minorEastAsia"/>
              </w:rPr>
              <w:t>建筑物</w:t>
            </w:r>
            <w:r>
              <w:rPr>
                <w:color w:val="auto"/>
                <w:sz w:val="24"/>
                <w:kern w:val="0"/>
                <w:rFonts w:hint="eastAsia" w:hAnsiTheme="minorEastAsia" w:eastAsiaTheme="minorEastAsia"/>
              </w:rPr>
              <w:t>5m以上”</w:t>
            </w:r>
            <w:r>
              <w:rPr>
                <w:color w:val="auto"/>
                <w:sz w:val="24"/>
                <w:kern w:val="0"/>
                <w:rFonts w:hAnsiTheme="minorEastAsia" w:eastAsiaTheme="minorEastAsia"/>
              </w:rPr>
              <w:t>，本项目周围半径</w:t>
            </w:r>
            <w:r>
              <w:rPr>
                <w:color w:val="auto"/>
                <w:sz w:val="24"/>
                <w:kern w:val="0"/>
                <w:rFonts w:eastAsiaTheme="minorEastAsia"/>
              </w:rPr>
              <w:t>200m范围内</w:t>
            </w:r>
            <w:r>
              <w:rPr>
                <w:color w:val="auto"/>
                <w:sz w:val="24"/>
                <w:kern w:val="0"/>
                <w:rFonts w:hint="eastAsia" w:eastAsiaTheme="minorEastAsia"/>
              </w:rPr>
              <w:t>最高</w:t>
            </w:r>
            <w:r>
              <w:rPr>
                <w:color w:val="auto"/>
                <w:sz w:val="24"/>
                <w:kern w:val="0"/>
                <w:rFonts w:hAnsiTheme="minorEastAsia" w:eastAsiaTheme="minorEastAsia"/>
              </w:rPr>
              <w:t>建筑物为</w:t>
            </w:r>
            <w:r>
              <w:rPr>
                <w:color w:val="auto"/>
                <w:sz w:val="24"/>
                <w:kern w:val="0"/>
                <w:rFonts w:hint="eastAsia" w:hAnsiTheme="minorEastAsia" w:eastAsiaTheme="minorEastAsia"/>
              </w:rPr>
              <w:t>7m，本项目排气筒高度为15m和12m，满足要求</w:t>
            </w:r>
            <w:r>
              <w:rPr>
                <w:color w:val="auto"/>
                <w:sz w:val="24"/>
                <w:kern w:val="0"/>
                <w:rFonts w:hAnsiTheme="minorEastAsia" w:eastAsiaTheme="minorEastAsia"/>
              </w:rPr>
              <w:t>。根据</w:t>
            </w:r>
            <w:r>
              <w:rPr>
                <w:color w:val="auto"/>
                <w:sz w:val="24"/>
                <w:bCs/>
              </w:rPr>
              <w:t>《锅炉大气污染物排放标准》（GB13271-2014）</w:t>
            </w:r>
            <w:r>
              <w:rPr>
                <w:color w:val="auto"/>
                <w:sz w:val="24"/>
                <w:kern w:val="0"/>
                <w:rFonts w:hAnsiTheme="minorEastAsia" w:eastAsiaTheme="minorEastAsia"/>
              </w:rPr>
              <w:t>中要求的</w:t>
            </w:r>
            <w:r>
              <w:rPr>
                <w:color w:val="auto"/>
                <w:sz w:val="24"/>
                <w:kern w:val="0"/>
                <w:rFonts w:hint="eastAsia" w:eastAsiaTheme="minorEastAsia"/>
              </w:rPr>
              <w:t>“燃气锅炉烟囱不低于8m，新建锅炉房的烟囱周围</w:t>
            </w:r>
            <w:r>
              <w:rPr>
                <w:color w:val="auto"/>
                <w:sz w:val="24"/>
                <w:kern w:val="0"/>
                <w:rFonts w:hAnsiTheme="minorEastAsia" w:eastAsiaTheme="minorEastAsia"/>
              </w:rPr>
              <w:t>半径</w:t>
            </w:r>
            <w:r>
              <w:rPr>
                <w:color w:val="auto"/>
                <w:sz w:val="24"/>
                <w:kern w:val="0"/>
                <w:rFonts w:eastAsiaTheme="minorEastAsia"/>
              </w:rPr>
              <w:t>200m范围内</w:t>
            </w:r>
            <w:r>
              <w:rPr>
                <w:color w:val="auto"/>
                <w:sz w:val="24"/>
                <w:kern w:val="0"/>
                <w:rFonts w:hint="eastAsia" w:eastAsiaTheme="minorEastAsia"/>
              </w:rPr>
              <w:t>有</w:t>
            </w:r>
            <w:r>
              <w:rPr>
                <w:color w:val="auto"/>
                <w:sz w:val="24"/>
                <w:kern w:val="0"/>
                <w:rFonts w:hAnsiTheme="minorEastAsia" w:eastAsiaTheme="minorEastAsia"/>
              </w:rPr>
              <w:t>建筑物时，其烟囱高出最高建筑物</w:t>
            </w:r>
            <w:r>
              <w:rPr>
                <w:color w:val="auto"/>
                <w:sz w:val="24"/>
                <w:kern w:val="0"/>
                <w:rFonts w:hint="eastAsia" w:hAnsiTheme="minorEastAsia" w:eastAsiaTheme="minorEastAsia"/>
              </w:rPr>
              <w:t>3m以上”</w:t>
            </w:r>
            <w:r>
              <w:rPr>
                <w:color w:val="auto"/>
                <w:sz w:val="24"/>
                <w:kern w:val="0"/>
                <w:rFonts w:hAnsiTheme="minorEastAsia" w:eastAsiaTheme="minorEastAsia"/>
              </w:rPr>
              <w:t>，本项目周围半径</w:t>
            </w:r>
            <w:r>
              <w:rPr>
                <w:color w:val="auto"/>
                <w:sz w:val="24"/>
                <w:kern w:val="0"/>
                <w:rFonts w:eastAsiaTheme="minorEastAsia"/>
              </w:rPr>
              <w:t>200m范围内</w:t>
            </w:r>
            <w:r>
              <w:rPr>
                <w:color w:val="auto"/>
                <w:sz w:val="24"/>
                <w:kern w:val="0"/>
                <w:rFonts w:hint="eastAsia" w:eastAsiaTheme="minorEastAsia"/>
              </w:rPr>
              <w:t>最高</w:t>
            </w:r>
            <w:r>
              <w:rPr>
                <w:color w:val="auto"/>
                <w:sz w:val="24"/>
                <w:kern w:val="0"/>
                <w:rFonts w:hAnsiTheme="minorEastAsia" w:eastAsiaTheme="minorEastAsia"/>
              </w:rPr>
              <w:t>建筑物为</w:t>
            </w:r>
            <w:r>
              <w:rPr>
                <w:color w:val="auto"/>
                <w:sz w:val="24"/>
                <w:kern w:val="0"/>
                <w:rFonts w:hint="eastAsia" w:hAnsiTheme="minorEastAsia" w:eastAsiaTheme="minorEastAsia"/>
              </w:rPr>
              <w:t>7m，本项目锅炉烟囱高度为12m，满足要求</w:t>
            </w:r>
            <w:r>
              <w:rPr>
                <w:color w:val="auto"/>
                <w:sz w:val="24"/>
                <w:kern w:val="0"/>
                <w:rFonts w:hAnsiTheme="minorEastAsia" w:eastAsiaTheme="minorEastAsia"/>
              </w:rPr>
              <w:t>。</w:t>
            </w:r>
          </w:p>
          <w:p w14:paraId="15B15D87">
            <w:pPr>
              <w:pStyle w:val="104"/>
              <w:adjustRightInd w:val="1"/>
              <w:jc w:val="center"/>
              <w:contextualSpacing/>
              <w:spacing w:line="240" w:lineRule="auto"/>
              <w:ind w:firstLine="482" w:firstLineChars="200"/>
              <w:rPr>
                <w:b w:val="1"/>
                <w:color w:val="auto"/>
                <w:bCs/>
                <w:szCs w:val="24"/>
                <w:rFonts w:eastAsiaTheme="minorEastAsia"/>
              </w:rPr>
            </w:pPr>
            <w:r>
              <w:rPr>
                <w:b w:val="1"/>
                <w:color w:val="auto"/>
                <w:bCs/>
                <w:szCs w:val="24"/>
                <w:rFonts w:eastAsiaTheme="minorEastAsia"/>
              </w:rPr>
              <w:t>表3-</w:t>
            </w:r>
            <w:r>
              <w:rPr>
                <w:b w:val="1"/>
                <w:color w:val="auto"/>
                <w:lang w:val="en-US" w:eastAsia="zh-CN"/>
                <w:bCs/>
                <w:szCs w:val="24"/>
                <w:rFonts w:hint="eastAsia" w:eastAsiaTheme="minorEastAsia"/>
              </w:rPr>
              <w:t>5</w:t>
            </w:r>
            <w:r>
              <w:rPr>
                <w:b w:val="1"/>
                <w:color w:val="auto"/>
                <w:bCs/>
                <w:szCs w:val="24"/>
                <w:rFonts w:eastAsiaTheme="minorEastAsia"/>
              </w:rPr>
              <w:t xml:space="preserve"> 锅炉大气污染物排放标准    单位：mg/m</w:t>
            </w:r>
            <w:r>
              <w:rPr>
                <w:vertAlign w:val="superscript"/>
                <w:b w:val="1"/>
                <w:color w:val="auto"/>
                <w:bCs/>
                <w:szCs w:val="24"/>
                <w:rFonts w:eastAsiaTheme="minorEastAsia"/>
              </w:rPr>
              <w:t>3</w:t>
            </w:r>
          </w:p>
          <w:tbl>
            <w:tblPr>
              <w:tblStyle w:val="27"/>
              <w:tblW w:w="5000" w:type="pct"/>
              <w:jc w:val="center"/>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4060.000000"/>
              <w:gridCol w:w="4048.000000"/>
            </w:tblGrid>
            <w:tr w14:paraId="2132F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0" w:hRule="atLeast"/>
                <w:jc w:val="center"/>
              </w:trPr>
              <w:tc>
                <w:tcPr>
                  <w:tcW w:w="2504" w:type="pct"/>
                  <w:vMerge w:val="restart"/>
                  <w:vAlign w:val="center"/>
                </w:tcPr>
                <w:p w14:paraId="52854B06">
                  <w:pPr>
                    <w:jc w:val="center"/>
                    <w:rPr>
                      <w:color w:val="auto"/>
                      <w:szCs w:val="21"/>
                      <w:rFonts w:eastAsiaTheme="minorEastAsia"/>
                    </w:rPr>
                  </w:pPr>
                  <w:r>
                    <w:rPr>
                      <w:color w:val="auto"/>
                      <w:szCs w:val="21"/>
                      <w:rFonts w:eastAsiaTheme="minorEastAsia"/>
                    </w:rPr>
                    <w:t>污染物项目</w:t>
                  </w:r>
                </w:p>
              </w:tc>
              <w:tc>
                <w:tcPr>
                  <w:tcW w:w="2496" w:type="pct"/>
                  <w:vAlign w:val="center"/>
                </w:tcPr>
                <w:p w14:paraId="248ED44A">
                  <w:pPr>
                    <w:jc w:val="center"/>
                    <w:rPr>
                      <w:color w:val="auto"/>
                      <w:szCs w:val="21"/>
                      <w:rFonts w:eastAsiaTheme="minorEastAsia"/>
                    </w:rPr>
                  </w:pPr>
                  <w:r>
                    <w:rPr>
                      <w:color w:val="auto"/>
                      <w:szCs w:val="21"/>
                      <w:rFonts w:eastAsiaTheme="minorEastAsia"/>
                    </w:rPr>
                    <w:t>排放限值</w:t>
                  </w:r>
                </w:p>
              </w:tc>
            </w:tr>
            <w:tr w14:paraId="7EC88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0" w:hRule="atLeast"/>
                <w:jc w:val="center"/>
              </w:trPr>
              <w:tc>
                <w:tcPr>
                  <w:tcW w:w="2504" w:type="pct"/>
                  <w:vMerge w:val="continue"/>
                  <w:vAlign w:val="center"/>
                </w:tcPr>
                <w:p w14:paraId="2AC2B0A4">
                  <w:pPr>
                    <w:jc w:val="center"/>
                    <w:rPr>
                      <w:color w:val="auto"/>
                      <w:szCs w:val="21"/>
                      <w:rFonts w:eastAsiaTheme="minorEastAsia"/>
                    </w:rPr>
                  </w:pPr>
                </w:p>
              </w:tc>
              <w:tc>
                <w:tcPr>
                  <w:tcW w:w="2496" w:type="pct"/>
                  <w:vAlign w:val="center"/>
                </w:tcPr>
                <w:p w14:paraId="5A5037F2">
                  <w:pPr>
                    <w:jc w:val="center"/>
                    <w:rPr>
                      <w:color w:val="auto"/>
                      <w:szCs w:val="21"/>
                      <w:rFonts w:eastAsiaTheme="minorEastAsia"/>
                    </w:rPr>
                  </w:pPr>
                  <w:r>
                    <w:rPr>
                      <w:color w:val="auto"/>
                      <w:szCs w:val="21"/>
                      <w:rFonts w:eastAsiaTheme="minorEastAsia"/>
                    </w:rPr>
                    <w:t>燃</w:t>
                  </w:r>
                  <w:r>
                    <w:rPr>
                      <w:color w:val="auto"/>
                      <w:szCs w:val="21"/>
                      <w:rFonts w:hint="eastAsia" w:eastAsiaTheme="minorEastAsia"/>
                    </w:rPr>
                    <w:t>气</w:t>
                  </w:r>
                  <w:r>
                    <w:rPr>
                      <w:color w:val="auto"/>
                      <w:szCs w:val="21"/>
                      <w:rFonts w:eastAsiaTheme="minorEastAsia"/>
                    </w:rPr>
                    <w:t>锅炉</w:t>
                  </w:r>
                </w:p>
              </w:tc>
            </w:tr>
            <w:tr w14:paraId="3EF18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0" w:hRule="atLeast"/>
                <w:jc w:val="center"/>
              </w:trPr>
              <w:tc>
                <w:tcPr>
                  <w:tcW w:w="2504" w:type="pct"/>
                  <w:vAlign w:val="center"/>
                </w:tcPr>
                <w:p w14:paraId="09605619">
                  <w:pPr>
                    <w:jc w:val="center"/>
                    <w:rPr>
                      <w:color w:val="auto"/>
                      <w:szCs w:val="21"/>
                      <w:rFonts w:eastAsiaTheme="minorEastAsia"/>
                    </w:rPr>
                  </w:pPr>
                  <w:r>
                    <w:rPr>
                      <w:color w:val="auto"/>
                      <w:szCs w:val="21"/>
                      <w:rFonts w:eastAsiaTheme="minorEastAsia"/>
                    </w:rPr>
                    <w:t>颗粒物</w:t>
                  </w:r>
                </w:p>
              </w:tc>
              <w:tc>
                <w:tcPr>
                  <w:tcW w:w="2496" w:type="pct"/>
                  <w:vAlign w:val="center"/>
                </w:tcPr>
                <w:p w14:paraId="06B78565">
                  <w:pPr>
                    <w:jc w:val="center"/>
                    <w:rPr>
                      <w:color w:val="auto"/>
                      <w:szCs w:val="21"/>
                      <w:rFonts w:eastAsiaTheme="minorEastAsia"/>
                    </w:rPr>
                  </w:pPr>
                  <w:r>
                    <w:rPr>
                      <w:color w:val="auto"/>
                      <w:szCs w:val="21"/>
                      <w:rFonts w:hint="eastAsia" w:eastAsiaTheme="minorEastAsia"/>
                    </w:rPr>
                    <w:t>20</w:t>
                  </w:r>
                </w:p>
              </w:tc>
            </w:tr>
            <w:tr w14:paraId="7ABE2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0" w:hRule="atLeast"/>
                <w:jc w:val="center"/>
              </w:trPr>
              <w:tc>
                <w:tcPr>
                  <w:tcW w:w="2504" w:type="pct"/>
                  <w:vAlign w:val="center"/>
                </w:tcPr>
                <w:p w14:paraId="3C6A16C8">
                  <w:pPr>
                    <w:jc w:val="center"/>
                    <w:rPr>
                      <w:color w:val="auto"/>
                      <w:szCs w:val="21"/>
                      <w:rFonts w:eastAsiaTheme="minorEastAsia"/>
                    </w:rPr>
                  </w:pPr>
                  <w:r>
                    <w:rPr>
                      <w:color w:val="auto"/>
                      <w:szCs w:val="21"/>
                      <w:rFonts w:eastAsiaTheme="minorEastAsia"/>
                    </w:rPr>
                    <w:t>二氧化硫</w:t>
                  </w:r>
                </w:p>
              </w:tc>
              <w:tc>
                <w:tcPr>
                  <w:tcW w:w="2496" w:type="pct"/>
                  <w:vAlign w:val="center"/>
                </w:tcPr>
                <w:p w14:paraId="50910D9E">
                  <w:pPr>
                    <w:jc w:val="center"/>
                    <w:rPr>
                      <w:color w:val="auto"/>
                      <w:szCs w:val="21"/>
                      <w:rFonts w:eastAsiaTheme="minorEastAsia"/>
                    </w:rPr>
                  </w:pPr>
                  <w:r>
                    <w:rPr>
                      <w:color w:val="auto"/>
                      <w:szCs w:val="21"/>
                      <w:rFonts w:hint="eastAsia" w:eastAsiaTheme="minorEastAsia"/>
                    </w:rPr>
                    <w:t>50</w:t>
                  </w:r>
                </w:p>
              </w:tc>
            </w:tr>
            <w:tr w14:paraId="6BCF0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0" w:hRule="atLeast"/>
                <w:jc w:val="center"/>
              </w:trPr>
              <w:tc>
                <w:tcPr>
                  <w:tcW w:w="2504" w:type="pct"/>
                  <w:vAlign w:val="center"/>
                </w:tcPr>
                <w:p w14:paraId="0E6D1D3A">
                  <w:pPr>
                    <w:jc w:val="center"/>
                    <w:rPr>
                      <w:color w:val="auto"/>
                      <w:szCs w:val="21"/>
                      <w:rFonts w:eastAsiaTheme="minorEastAsia"/>
                    </w:rPr>
                  </w:pPr>
                  <w:r>
                    <w:rPr>
                      <w:color w:val="auto"/>
                      <w:szCs w:val="21"/>
                      <w:rFonts w:eastAsiaTheme="minorEastAsia"/>
                    </w:rPr>
                    <w:t>氮氧化物</w:t>
                  </w:r>
                </w:p>
              </w:tc>
              <w:tc>
                <w:tcPr>
                  <w:tcW w:w="2496" w:type="pct"/>
                  <w:vAlign w:val="center"/>
                </w:tcPr>
                <w:p w14:paraId="717E8390">
                  <w:pPr>
                    <w:jc w:val="center"/>
                    <w:rPr>
                      <w:color w:val="auto"/>
                      <w:szCs w:val="21"/>
                      <w:rFonts w:eastAsiaTheme="minorEastAsia"/>
                    </w:rPr>
                  </w:pPr>
                  <w:r>
                    <w:rPr>
                      <w:color w:val="auto"/>
                      <w:szCs w:val="21"/>
                      <w:rFonts w:hint="eastAsia" w:eastAsiaTheme="minorEastAsia"/>
                    </w:rPr>
                    <w:t>200</w:t>
                  </w:r>
                </w:p>
              </w:tc>
            </w:tr>
            <w:tr w14:paraId="0A3AD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0" w:hRule="atLeast"/>
                <w:jc w:val="center"/>
              </w:trPr>
              <w:tc>
                <w:tcPr>
                  <w:tcW w:w="2504" w:type="pct"/>
                  <w:vAlign w:val="center"/>
                </w:tcPr>
                <w:p w14:paraId="086218FE">
                  <w:pPr>
                    <w:jc w:val="center"/>
                    <w:rPr>
                      <w:color w:val="auto"/>
                      <w:szCs w:val="21"/>
                      <w:rFonts w:eastAsiaTheme="minorEastAsia"/>
                    </w:rPr>
                  </w:pPr>
                  <w:r>
                    <w:rPr>
                      <w:color w:val="auto"/>
                      <w:kern w:val="0"/>
                      <w:szCs w:val="21"/>
                      <w:rFonts w:hint="eastAsia"/>
                    </w:rPr>
                    <w:t>烟气黑度</w:t>
                  </w:r>
                </w:p>
              </w:tc>
              <w:tc>
                <w:tcPr>
                  <w:tcW w:w="2496" w:type="pct"/>
                  <w:vAlign w:val="center"/>
                </w:tcPr>
                <w:p w14:paraId="05C4EA47">
                  <w:pPr>
                    <w:jc w:val="center"/>
                    <w:rPr>
                      <w:color w:val="auto"/>
                      <w:szCs w:val="21"/>
                      <w:rFonts w:eastAsiaTheme="minorEastAsia"/>
                    </w:rPr>
                  </w:pPr>
                  <w:r>
                    <w:rPr>
                      <w:color w:val="auto"/>
                      <w:szCs w:val="21"/>
                      <w:rFonts w:hint="eastAsia" w:eastAsiaTheme="minorEastAsia"/>
                    </w:rPr>
                    <w:t>1级</w:t>
                  </w:r>
                </w:p>
              </w:tc>
            </w:tr>
          </w:tbl>
          <w:p w14:paraId="6942E128">
            <w:pPr>
              <w:pStyle w:val="104"/>
              <w:adjustRightInd w:val="1"/>
              <w:jc w:val="center"/>
              <w:contextualSpacing/>
              <w:spacing w:line="240" w:lineRule="auto"/>
              <w:ind w:firstLine="482" w:firstLineChars="200"/>
              <w:rPr>
                <w:b w:val="1"/>
                <w:color w:val="auto"/>
                <w:bCs/>
                <w:szCs w:val="24"/>
                <w:rFonts w:eastAsiaTheme="minorEastAsia"/>
              </w:rPr>
            </w:pPr>
            <w:r>
              <w:rPr>
                <w:b w:val="1"/>
                <w:color w:val="auto"/>
                <w:bCs/>
                <w:szCs w:val="24"/>
                <w:rFonts w:eastAsiaTheme="minorEastAsia"/>
              </w:rPr>
              <w:t>表3-</w:t>
            </w:r>
            <w:r>
              <w:rPr>
                <w:b w:val="1"/>
                <w:color w:val="auto"/>
                <w:lang w:val="en-US" w:eastAsia="zh-CN"/>
                <w:bCs/>
                <w:szCs w:val="24"/>
                <w:rFonts w:hint="eastAsia" w:eastAsiaTheme="minorEastAsia"/>
              </w:rPr>
              <w:t>6</w:t>
            </w:r>
            <w:r>
              <w:rPr>
                <w:b w:val="1"/>
                <w:color w:val="auto"/>
                <w:bCs/>
                <w:szCs w:val="24"/>
                <w:rFonts w:eastAsiaTheme="minorEastAsia"/>
              </w:rPr>
              <w:t xml:space="preserve"> 大气污染物综合排放标准</w:t>
            </w:r>
          </w:p>
          <w:tbl>
            <w:tblPr>
              <w:tblStyle w:val="27"/>
              <w:tblW w:w="0" w:type="auto"/>
              <w:tblInd w:type="dxa" w:w="0.000000"/>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
            <w:tblGrid>
              <w:gridCol w:w="911.000000"/>
              <w:gridCol w:w="964.000000"/>
              <w:gridCol w:w="1321.000000"/>
              <w:gridCol w:w="1299.000000"/>
              <w:gridCol w:w="1250.000000"/>
              <w:gridCol w:w="2363.000000"/>
            </w:tblGrid>
            <w:tr w14:paraId="4330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70" w:hRule="atLeast"/>
              </w:trPr>
              <w:tc>
                <w:tcPr>
                  <w:tcW w:w="0" w:type="auto"/>
                  <w:vMerge w:val="restart"/>
                  <w:vAlign w:val="center"/>
                </w:tcPr>
                <w:p w14:paraId="2F77F3E9">
                  <w:pPr>
                    <w:pStyle w:val="106"/>
                    <w:rPr>
                      <w:b w:val="1"/>
                      <w:color w:val="auto"/>
                      <w:bCs/>
                      <w:rFonts w:eastAsiaTheme="minorEastAsia"/>
                    </w:rPr>
                  </w:pPr>
                  <w:r>
                    <w:rPr>
                      <w:b w:val="1"/>
                      <w:color w:val="auto"/>
                      <w:bCs/>
                      <w:rFonts w:eastAsiaTheme="minorEastAsia"/>
                    </w:rPr>
                    <w:t>废气源</w:t>
                  </w:r>
                </w:p>
              </w:tc>
              <w:tc>
                <w:tcPr>
                  <w:tcW w:w="965" w:type="dxa"/>
                  <w:vMerge w:val="restart"/>
                  <w:vAlign w:val="center"/>
                </w:tcPr>
                <w:p w14:paraId="191151B9">
                  <w:pPr>
                    <w:pStyle w:val="106"/>
                    <w:rPr>
                      <w:b w:val="1"/>
                      <w:color w:val="auto"/>
                      <w:bCs/>
                      <w:rFonts w:eastAsiaTheme="minorEastAsia"/>
                    </w:rPr>
                  </w:pPr>
                  <w:r>
                    <w:rPr>
                      <w:b w:val="1"/>
                      <w:color w:val="auto"/>
                      <w:bCs/>
                      <w:rFonts w:eastAsiaTheme="minorEastAsia"/>
                    </w:rPr>
                    <w:t>污染物</w:t>
                  </w:r>
                </w:p>
              </w:tc>
              <w:tc>
                <w:tcPr>
                  <w:tcW w:w="1321" w:type="dxa"/>
                  <w:vMerge w:val="restart"/>
                  <w:vAlign w:val="center"/>
                </w:tcPr>
                <w:p w14:paraId="2FF9159B">
                  <w:pPr>
                    <w:pStyle w:val="106"/>
                    <w:rPr>
                      <w:b w:val="1"/>
                      <w:color w:val="auto"/>
                      <w:bCs/>
                      <w:rFonts w:eastAsiaTheme="minorEastAsia"/>
                    </w:rPr>
                  </w:pPr>
                  <w:r>
                    <w:rPr>
                      <w:b w:val="1"/>
                      <w:color w:val="auto"/>
                      <w:bCs/>
                      <w:rFonts w:eastAsiaTheme="minorEastAsia"/>
                    </w:rPr>
                    <w:t>最高允许</w:t>
                  </w:r>
                </w:p>
                <w:p w14:paraId="39380985">
                  <w:pPr>
                    <w:pStyle w:val="106"/>
                    <w:rPr>
                      <w:b w:val="1"/>
                      <w:color w:val="auto"/>
                      <w:bCs/>
                      <w:rFonts w:eastAsiaTheme="minorEastAsia"/>
                    </w:rPr>
                  </w:pPr>
                  <w:r>
                    <w:rPr>
                      <w:b w:val="1"/>
                      <w:color w:val="auto"/>
                      <w:bCs/>
                      <w:rFonts w:eastAsiaTheme="minorEastAsia"/>
                    </w:rPr>
                    <w:t>排放浓度（mg/m</w:t>
                  </w:r>
                  <w:r>
                    <w:rPr>
                      <w:vertAlign w:val="superscript"/>
                      <w:b w:val="1"/>
                      <w:color w:val="auto"/>
                      <w:bCs/>
                      <w:rFonts w:eastAsiaTheme="minorEastAsia"/>
                    </w:rPr>
                    <w:t>3</w:t>
                  </w:r>
                  <w:r>
                    <w:rPr>
                      <w:b w:val="1"/>
                      <w:color w:val="auto"/>
                      <w:bCs/>
                      <w:rFonts w:eastAsiaTheme="minorEastAsia"/>
                    </w:rPr>
                    <w:t>）</w:t>
                  </w:r>
                </w:p>
              </w:tc>
              <w:tc>
                <w:tcPr>
                  <w:tcW w:w="0" w:type="auto"/>
                  <w:gridSpan w:val="2"/>
                  <w:vAlign w:val="center"/>
                </w:tcPr>
                <w:p w14:paraId="3E98D77D">
                  <w:pPr>
                    <w:pStyle w:val="106"/>
                    <w:rPr>
                      <w:b w:val="1"/>
                      <w:color w:val="auto"/>
                      <w:bCs/>
                      <w:rFonts w:eastAsiaTheme="minorEastAsia"/>
                    </w:rPr>
                  </w:pPr>
                  <w:r>
                    <w:rPr>
                      <w:b w:val="1"/>
                      <w:color w:val="auto"/>
                      <w:bCs/>
                      <w:rFonts w:eastAsiaTheme="minorEastAsia"/>
                    </w:rPr>
                    <w:t>最高允许排放速率</w:t>
                  </w:r>
                </w:p>
              </w:tc>
              <w:tc>
                <w:tcPr>
                  <w:tcW w:w="0" w:type="auto"/>
                  <w:vMerge w:val="restart"/>
                  <w:vAlign w:val="center"/>
                </w:tcPr>
                <w:p w14:paraId="389DB196">
                  <w:pPr>
                    <w:pStyle w:val="106"/>
                    <w:rPr>
                      <w:b w:val="1"/>
                      <w:color w:val="auto"/>
                      <w:bCs/>
                      <w:rFonts w:eastAsiaTheme="minorEastAsia"/>
                    </w:rPr>
                  </w:pPr>
                  <w:r>
                    <w:rPr>
                      <w:b w:val="1"/>
                      <w:color w:val="auto"/>
                      <w:bCs/>
                      <w:rFonts w:eastAsiaTheme="minorEastAsia"/>
                    </w:rPr>
                    <w:t>无组织排放监控浓度限值（mg/m</w:t>
                  </w:r>
                  <w:r>
                    <w:rPr>
                      <w:vertAlign w:val="superscript"/>
                      <w:b w:val="1"/>
                      <w:color w:val="auto"/>
                      <w:bCs/>
                      <w:rFonts w:eastAsiaTheme="minorEastAsia"/>
                    </w:rPr>
                    <w:t>3</w:t>
                  </w:r>
                  <w:r>
                    <w:rPr>
                      <w:b w:val="1"/>
                      <w:color w:val="auto"/>
                      <w:bCs/>
                      <w:rFonts w:eastAsiaTheme="minorEastAsia"/>
                    </w:rPr>
                    <w:t>）</w:t>
                  </w:r>
                </w:p>
              </w:tc>
            </w:tr>
            <w:tr w14:paraId="74C64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70" w:hRule="atLeast"/>
              </w:trPr>
              <w:tc>
                <w:tcPr>
                  <w:tcW w:w="0" w:type="auto"/>
                  <w:vMerge w:val="continue"/>
                  <w:vAlign w:val="center"/>
                </w:tcPr>
                <w:p w14:paraId="740170C1">
                  <w:pPr>
                    <w:pStyle w:val="106"/>
                    <w:rPr>
                      <w:color w:val="auto"/>
                      <w:rFonts w:eastAsiaTheme="minorEastAsia"/>
                    </w:rPr>
                  </w:pPr>
                </w:p>
              </w:tc>
              <w:tc>
                <w:tcPr>
                  <w:tcW w:w="965" w:type="dxa"/>
                  <w:vMerge w:val="continue"/>
                  <w:vAlign w:val="center"/>
                </w:tcPr>
                <w:p w14:paraId="28ABF6D2">
                  <w:pPr>
                    <w:pStyle w:val="106"/>
                    <w:rPr>
                      <w:color w:val="auto"/>
                      <w:rFonts w:eastAsiaTheme="minorEastAsia"/>
                    </w:rPr>
                  </w:pPr>
                </w:p>
              </w:tc>
              <w:tc>
                <w:tcPr>
                  <w:tcW w:w="1321" w:type="dxa"/>
                  <w:vMerge w:val="continue"/>
                  <w:vAlign w:val="center"/>
                </w:tcPr>
                <w:p w14:paraId="10B8DB0B">
                  <w:pPr>
                    <w:pStyle w:val="106"/>
                    <w:rPr>
                      <w:color w:val="auto"/>
                      <w:rFonts w:eastAsiaTheme="minorEastAsia"/>
                    </w:rPr>
                  </w:pPr>
                </w:p>
              </w:tc>
              <w:tc>
                <w:tcPr>
                  <w:tcW w:w="0" w:type="auto"/>
                  <w:vAlign w:val="center"/>
                </w:tcPr>
                <w:p w14:paraId="20599224">
                  <w:pPr>
                    <w:pStyle w:val="106"/>
                    <w:rPr>
                      <w:b w:val="1"/>
                      <w:color w:val="auto"/>
                      <w:bCs/>
                      <w:rFonts w:eastAsiaTheme="minorEastAsia"/>
                    </w:rPr>
                  </w:pPr>
                  <w:r>
                    <w:rPr>
                      <w:b w:val="1"/>
                      <w:color w:val="auto"/>
                      <w:bCs/>
                      <w:rFonts w:eastAsiaTheme="minorEastAsia"/>
                    </w:rPr>
                    <w:t>排气筒高度（m）</w:t>
                  </w:r>
                </w:p>
              </w:tc>
              <w:tc>
                <w:tcPr>
                  <w:tcW w:w="0" w:type="auto"/>
                  <w:vAlign w:val="center"/>
                </w:tcPr>
                <w:p w14:paraId="3D3B1A6A">
                  <w:pPr>
                    <w:pStyle w:val="106"/>
                    <w:rPr>
                      <w:b w:val="1"/>
                      <w:color w:val="auto"/>
                      <w:bCs/>
                      <w:rFonts w:eastAsiaTheme="minorEastAsia"/>
                    </w:rPr>
                  </w:pPr>
                  <w:r>
                    <w:rPr>
                      <w:b w:val="1"/>
                      <w:color w:val="auto"/>
                      <w:bCs/>
                      <w:rFonts w:eastAsiaTheme="minorEastAsia"/>
                    </w:rPr>
                    <w:t>二级（kg/h）</w:t>
                  </w:r>
                </w:p>
              </w:tc>
              <w:tc>
                <w:tcPr>
                  <w:tcW w:w="0" w:type="auto"/>
                  <w:vMerge w:val="continue"/>
                  <w:vAlign w:val="center"/>
                </w:tcPr>
                <w:p w14:paraId="24BA2D7B">
                  <w:pPr>
                    <w:pStyle w:val="106"/>
                    <w:rPr>
                      <w:color w:val="auto"/>
                      <w:rFonts w:eastAsiaTheme="minorEastAsia"/>
                    </w:rPr>
                  </w:pPr>
                </w:p>
              </w:tc>
            </w:tr>
            <w:tr w14:paraId="6A974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251" w:hRule="atLeast"/>
              </w:trPr>
              <w:tc>
                <w:tcPr>
                  <w:tcW w:w="0" w:type="auto"/>
                  <w:vMerge w:val="restart"/>
                  <w:vAlign w:val="center"/>
                </w:tcPr>
                <w:p w14:paraId="08197983">
                  <w:pPr>
                    <w:pStyle w:val="106"/>
                    <w:rPr>
                      <w:color w:val="auto"/>
                      <w:rFonts w:eastAsiaTheme="minorEastAsia"/>
                    </w:rPr>
                  </w:pPr>
                  <w:r>
                    <w:rPr>
                      <w:color w:val="auto"/>
                      <w:rFonts w:eastAsiaTheme="minorEastAsia"/>
                    </w:rPr>
                    <w:t>沥青烟气</w:t>
                  </w:r>
                </w:p>
              </w:tc>
              <w:tc>
                <w:tcPr>
                  <w:tcW w:w="965" w:type="dxa"/>
                  <w:vAlign w:val="center"/>
                </w:tcPr>
                <w:p w14:paraId="5F5B3238">
                  <w:pPr>
                    <w:pStyle w:val="106"/>
                    <w:rPr>
                      <w:color w:val="auto"/>
                      <w:rFonts w:eastAsiaTheme="minorEastAsia"/>
                    </w:rPr>
                  </w:pPr>
                  <w:r>
                    <w:rPr>
                      <w:color w:val="auto"/>
                      <w:rFonts w:eastAsiaTheme="minorEastAsia"/>
                    </w:rPr>
                    <w:t>苯并[a]芘</w:t>
                  </w:r>
                </w:p>
              </w:tc>
              <w:tc>
                <w:tcPr>
                  <w:tcW w:w="1321" w:type="dxa"/>
                  <w:vAlign w:val="center"/>
                </w:tcPr>
                <w:p w14:paraId="68FBD9AC">
                  <w:pPr>
                    <w:pStyle w:val="106"/>
                    <w:rPr>
                      <w:color w:val="auto"/>
                      <w:rFonts w:eastAsiaTheme="minorEastAsia"/>
                    </w:rPr>
                  </w:pPr>
                  <w:r>
                    <w:rPr>
                      <w:color w:val="auto"/>
                      <w:rFonts w:eastAsiaTheme="minorEastAsia"/>
                    </w:rPr>
                    <w:t>0.30×10</w:t>
                  </w:r>
                  <w:r>
                    <w:rPr>
                      <w:vertAlign w:val="superscript"/>
                      <w:color w:val="auto"/>
                      <w:rFonts w:eastAsiaTheme="minorEastAsia"/>
                    </w:rPr>
                    <w:t>-3</w:t>
                  </w:r>
                </w:p>
              </w:tc>
              <w:tc>
                <w:tcPr>
                  <w:tcW w:w="0" w:type="auto"/>
                  <w:vAlign w:val="center"/>
                </w:tcPr>
                <w:p w14:paraId="7BE9D49E">
                  <w:pPr>
                    <w:pStyle w:val="106"/>
                    <w:rPr>
                      <w:color w:val="auto"/>
                      <w:rFonts w:eastAsiaTheme="minorEastAsia"/>
                    </w:rPr>
                  </w:pPr>
                  <w:r>
                    <w:rPr>
                      <w:color w:val="auto"/>
                      <w:rFonts w:hint="eastAsia" w:eastAsiaTheme="minorEastAsia"/>
                    </w:rPr>
                    <w:t>15</w:t>
                  </w:r>
                </w:p>
              </w:tc>
              <w:tc>
                <w:tcPr>
                  <w:tcW w:w="0" w:type="auto"/>
                  <w:vAlign w:val="center"/>
                </w:tcPr>
                <w:p w14:paraId="501FC496">
                  <w:pPr>
                    <w:pStyle w:val="106"/>
                    <w:rPr>
                      <w:color w:val="auto"/>
                      <w:rFonts w:eastAsiaTheme="minorEastAsia"/>
                    </w:rPr>
                  </w:pPr>
                  <w:r>
                    <w:rPr>
                      <w:color w:val="auto"/>
                      <w:rFonts w:eastAsiaTheme="minorEastAsia"/>
                    </w:rPr>
                    <w:t>0.0</w:t>
                  </w:r>
                  <w:r>
                    <w:rPr>
                      <w:color w:val="auto"/>
                      <w:rFonts w:hint="eastAsia" w:eastAsiaTheme="minorEastAsia"/>
                    </w:rPr>
                    <w:t>50</w:t>
                  </w:r>
                  <w:r>
                    <w:rPr>
                      <w:color w:val="auto"/>
                      <w:rFonts w:eastAsiaTheme="minorEastAsia"/>
                    </w:rPr>
                    <w:t>×10</w:t>
                  </w:r>
                  <w:r>
                    <w:rPr>
                      <w:vertAlign w:val="superscript"/>
                      <w:color w:val="auto"/>
                      <w:rFonts w:eastAsiaTheme="minorEastAsia"/>
                    </w:rPr>
                    <w:t>-3</w:t>
                  </w:r>
                </w:p>
              </w:tc>
              <w:tc>
                <w:tcPr>
                  <w:tcW w:w="0" w:type="auto"/>
                  <w:vAlign w:val="center"/>
                </w:tcPr>
                <w:p w14:paraId="563FE298">
                  <w:pPr>
                    <w:pStyle w:val="106"/>
                    <w:rPr>
                      <w:color w:val="auto"/>
                      <w:rFonts w:eastAsiaTheme="minorEastAsia"/>
                    </w:rPr>
                  </w:pPr>
                  <w:r>
                    <w:rPr>
                      <w:color w:val="auto"/>
                      <w:rFonts w:eastAsiaTheme="minorEastAsia"/>
                    </w:rPr>
                    <w:t>0.008μg/m</w:t>
                  </w:r>
                  <w:r>
                    <w:rPr>
                      <w:vertAlign w:val="superscript"/>
                      <w:color w:val="auto"/>
                      <w:rFonts w:eastAsiaTheme="minorEastAsia"/>
                    </w:rPr>
                    <w:t>3</w:t>
                  </w:r>
                </w:p>
              </w:tc>
            </w:tr>
            <w:tr w14:paraId="70141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251" w:hRule="atLeast"/>
              </w:trPr>
              <w:tc>
                <w:tcPr>
                  <w:tcW w:w="0" w:type="auto"/>
                  <w:vMerge w:val="continue"/>
                  <w:vAlign w:val="center"/>
                </w:tcPr>
                <w:p w14:paraId="781B6FB2">
                  <w:pPr>
                    <w:pStyle w:val="106"/>
                    <w:rPr>
                      <w:color w:val="auto"/>
                      <w:rFonts w:eastAsiaTheme="minorEastAsia"/>
                    </w:rPr>
                  </w:pPr>
                </w:p>
              </w:tc>
              <w:tc>
                <w:tcPr>
                  <w:tcW w:w="965" w:type="dxa"/>
                  <w:vAlign w:val="center"/>
                </w:tcPr>
                <w:p w14:paraId="576E7DDF">
                  <w:pPr>
                    <w:pStyle w:val="106"/>
                    <w:rPr>
                      <w:color w:val="auto"/>
                      <w:rFonts w:eastAsiaTheme="minorEastAsia"/>
                    </w:rPr>
                  </w:pPr>
                  <w:r>
                    <w:rPr>
                      <w:color w:val="auto"/>
                      <w:rFonts w:eastAsiaTheme="minorEastAsia"/>
                    </w:rPr>
                    <w:t>沥青烟</w:t>
                  </w:r>
                </w:p>
              </w:tc>
              <w:tc>
                <w:tcPr>
                  <w:tcW w:w="1321" w:type="dxa"/>
                  <w:vAlign w:val="center"/>
                </w:tcPr>
                <w:p w14:paraId="536B060A">
                  <w:pPr>
                    <w:pStyle w:val="106"/>
                    <w:rPr>
                      <w:color w:val="auto"/>
                      <w:rFonts w:eastAsiaTheme="minorEastAsia"/>
                    </w:rPr>
                  </w:pPr>
                  <w:r>
                    <w:rPr>
                      <w:color w:val="auto"/>
                      <w:rFonts w:eastAsiaTheme="minorEastAsia"/>
                    </w:rPr>
                    <w:t>75</w:t>
                  </w:r>
                </w:p>
              </w:tc>
              <w:tc>
                <w:tcPr>
                  <w:tcW w:w="0" w:type="auto"/>
                  <w:vAlign w:val="center"/>
                </w:tcPr>
                <w:p w14:paraId="3D581A74">
                  <w:pPr>
                    <w:pStyle w:val="106"/>
                    <w:rPr>
                      <w:color w:val="auto"/>
                      <w:rFonts w:eastAsiaTheme="minorEastAsia"/>
                    </w:rPr>
                  </w:pPr>
                  <w:r>
                    <w:rPr>
                      <w:color w:val="auto"/>
                      <w:rFonts w:hint="eastAsia" w:eastAsiaTheme="minorEastAsia"/>
                    </w:rPr>
                    <w:t>15</w:t>
                  </w:r>
                </w:p>
              </w:tc>
              <w:tc>
                <w:tcPr>
                  <w:tcW w:w="0" w:type="auto"/>
                  <w:vAlign w:val="center"/>
                </w:tcPr>
                <w:p w14:paraId="10CBFA40">
                  <w:pPr>
                    <w:pStyle w:val="106"/>
                    <w:rPr>
                      <w:color w:val="auto"/>
                      <w:rFonts w:eastAsiaTheme="minorEastAsia"/>
                    </w:rPr>
                  </w:pPr>
                  <w:r>
                    <w:rPr>
                      <w:color w:val="auto"/>
                      <w:rFonts w:hint="eastAsia" w:eastAsiaTheme="minorEastAsia"/>
                    </w:rPr>
                    <w:t>0.18</w:t>
                  </w:r>
                </w:p>
              </w:tc>
              <w:tc>
                <w:tcPr>
                  <w:tcW w:w="0" w:type="auto"/>
                  <w:vAlign w:val="center"/>
                </w:tcPr>
                <w:p w14:paraId="14C159D1">
                  <w:pPr>
                    <w:pStyle w:val="106"/>
                    <w:rPr>
                      <w:color w:val="auto"/>
                      <w:rFonts w:eastAsiaTheme="minorEastAsia"/>
                    </w:rPr>
                  </w:pPr>
                  <w:r>
                    <w:rPr>
                      <w:color w:val="auto"/>
                      <w:rFonts w:eastAsiaTheme="minorEastAsia"/>
                    </w:rPr>
                    <w:t>生产设备不得有明显无组织排放存在</w:t>
                  </w:r>
                </w:p>
              </w:tc>
            </w:tr>
            <w:tr w14:paraId="4448F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251" w:hRule="atLeast"/>
              </w:trPr>
              <w:tc>
                <w:tcPr>
                  <w:tcW w:w="0" w:type="auto"/>
                  <w:vMerge w:val="continue"/>
                  <w:vAlign w:val="center"/>
                </w:tcPr>
                <w:p w14:paraId="2C2748FC">
                  <w:pPr>
                    <w:pStyle w:val="106"/>
                    <w:rPr>
                      <w:color w:val="auto"/>
                      <w:rFonts w:eastAsiaTheme="minorEastAsia"/>
                    </w:rPr>
                  </w:pPr>
                </w:p>
              </w:tc>
              <w:tc>
                <w:tcPr>
                  <w:tcW w:w="965" w:type="dxa"/>
                  <w:vAlign w:val="center"/>
                </w:tcPr>
                <w:p w14:paraId="27D8E987">
                  <w:pPr>
                    <w:pStyle w:val="106"/>
                    <w:rPr>
                      <w:color w:val="auto"/>
                      <w:rFonts w:eastAsiaTheme="minorEastAsia"/>
                    </w:rPr>
                  </w:pPr>
                  <w:r>
                    <w:rPr>
                      <w:color w:val="auto"/>
                      <w:rFonts w:eastAsiaTheme="minorEastAsia"/>
                    </w:rPr>
                    <w:t>非甲烷总烃</w:t>
                  </w:r>
                </w:p>
              </w:tc>
              <w:tc>
                <w:tcPr>
                  <w:tcW w:w="1321" w:type="dxa"/>
                  <w:vAlign w:val="center"/>
                </w:tcPr>
                <w:p w14:paraId="52DDAF1E">
                  <w:pPr>
                    <w:pStyle w:val="106"/>
                    <w:rPr>
                      <w:color w:val="auto"/>
                      <w:rFonts w:eastAsiaTheme="minorEastAsia"/>
                    </w:rPr>
                  </w:pPr>
                  <w:r>
                    <w:rPr>
                      <w:color w:val="auto"/>
                      <w:rFonts w:hint="eastAsia" w:eastAsiaTheme="minorEastAsia"/>
                    </w:rPr>
                    <w:t>120</w:t>
                  </w:r>
                </w:p>
              </w:tc>
              <w:tc>
                <w:tcPr>
                  <w:tcW w:w="0" w:type="auto"/>
                  <w:vAlign w:val="center"/>
                </w:tcPr>
                <w:p w14:paraId="61FE42A6">
                  <w:pPr>
                    <w:pStyle w:val="106"/>
                    <w:rPr>
                      <w:color w:val="auto"/>
                      <w:rFonts w:eastAsiaTheme="minorEastAsia"/>
                    </w:rPr>
                  </w:pPr>
                  <w:r>
                    <w:rPr>
                      <w:color w:val="auto"/>
                      <w:rFonts w:hint="eastAsia" w:eastAsiaTheme="minorEastAsia"/>
                    </w:rPr>
                    <w:t>15</w:t>
                  </w:r>
                </w:p>
              </w:tc>
              <w:tc>
                <w:tcPr>
                  <w:tcW w:w="0" w:type="auto"/>
                  <w:vAlign w:val="center"/>
                </w:tcPr>
                <w:p w14:paraId="718BBB9F">
                  <w:pPr>
                    <w:pStyle w:val="106"/>
                    <w:rPr>
                      <w:color w:val="auto"/>
                      <w:rFonts w:eastAsiaTheme="minorEastAsia"/>
                    </w:rPr>
                  </w:pPr>
                  <w:r>
                    <w:rPr>
                      <w:color w:val="auto"/>
                      <w:rFonts w:hint="eastAsia" w:eastAsiaTheme="minorEastAsia"/>
                    </w:rPr>
                    <w:t>10</w:t>
                  </w:r>
                </w:p>
              </w:tc>
              <w:tc>
                <w:tcPr>
                  <w:tcW w:w="0" w:type="auto"/>
                  <w:vAlign w:val="center"/>
                </w:tcPr>
                <w:p w14:paraId="16CCF967">
                  <w:pPr>
                    <w:pStyle w:val="106"/>
                    <w:rPr>
                      <w:color w:val="auto"/>
                      <w:rFonts w:eastAsiaTheme="minorEastAsia"/>
                    </w:rPr>
                  </w:pPr>
                  <w:r>
                    <w:rPr>
                      <w:color w:val="auto"/>
                      <w:kern w:val="0"/>
                    </w:rPr>
                    <w:t>周界外浓度最高点</w:t>
                  </w:r>
                  <w:r>
                    <w:rPr>
                      <w:color w:val="auto"/>
                      <w:rFonts w:hint="eastAsia" w:eastAsiaTheme="minorEastAsia"/>
                    </w:rPr>
                    <w:t>4</w:t>
                  </w:r>
                  <w:r>
                    <w:rPr>
                      <w:color w:val="auto"/>
                      <w:rFonts w:eastAsiaTheme="minorEastAsia"/>
                    </w:rPr>
                    <w:t>.0</w:t>
                  </w:r>
                </w:p>
              </w:tc>
            </w:tr>
            <w:tr w14:paraId="615F0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591" w:hRule="atLeast"/>
              </w:trPr>
              <w:tc>
                <w:tcPr>
                  <w:tcW w:w="0" w:type="auto"/>
                  <w:vAlign w:val="center"/>
                </w:tcPr>
                <w:p w14:paraId="3B1336A9">
                  <w:pPr>
                    <w:pStyle w:val="106"/>
                    <w:rPr>
                      <w:color w:val="auto"/>
                      <w:rFonts w:eastAsiaTheme="minorEastAsia"/>
                    </w:rPr>
                  </w:pPr>
                  <w:r>
                    <w:rPr>
                      <w:color w:val="auto"/>
                      <w:rFonts w:hint="eastAsia" w:eastAsiaTheme="minorEastAsia"/>
                    </w:rPr>
                    <w:t>无组织</w:t>
                  </w:r>
                  <w:r>
                    <w:rPr>
                      <w:color w:val="auto"/>
                      <w:rFonts w:eastAsiaTheme="minorEastAsia"/>
                    </w:rPr>
                    <w:t>粉尘</w:t>
                  </w:r>
                </w:p>
              </w:tc>
              <w:tc>
                <w:tcPr>
                  <w:tcW w:w="965" w:type="dxa"/>
                  <w:vAlign w:val="center"/>
                </w:tcPr>
                <w:p w14:paraId="0F7FCDF3">
                  <w:pPr>
                    <w:pStyle w:val="106"/>
                    <w:rPr>
                      <w:color w:val="auto"/>
                      <w:rFonts w:eastAsiaTheme="minorEastAsia"/>
                    </w:rPr>
                  </w:pPr>
                  <w:r>
                    <w:rPr>
                      <w:color w:val="auto"/>
                      <w:rFonts w:eastAsiaTheme="minorEastAsia"/>
                    </w:rPr>
                    <w:t>颗粒物</w:t>
                  </w:r>
                </w:p>
              </w:tc>
              <w:tc>
                <w:tcPr>
                  <w:tcW w:w="1321" w:type="dxa"/>
                  <w:vAlign w:val="center"/>
                </w:tcPr>
                <w:p w14:paraId="4B09BD17">
                  <w:pPr>
                    <w:pStyle w:val="106"/>
                    <w:rPr>
                      <w:color w:val="auto"/>
                      <w:rFonts w:eastAsiaTheme="minorEastAsia"/>
                    </w:rPr>
                  </w:pPr>
                  <w:r>
                    <w:rPr>
                      <w:color w:val="auto"/>
                      <w:rFonts w:hint="eastAsia" w:eastAsiaTheme="minorEastAsia"/>
                    </w:rPr>
                    <w:t>/</w:t>
                  </w:r>
                </w:p>
              </w:tc>
              <w:tc>
                <w:tcPr>
                  <w:tcW w:w="0" w:type="auto"/>
                  <w:vAlign w:val="center"/>
                </w:tcPr>
                <w:p w14:paraId="70F1DF35">
                  <w:pPr>
                    <w:pStyle w:val="106"/>
                    <w:rPr>
                      <w:color w:val="auto"/>
                      <w:rFonts w:eastAsiaTheme="minorEastAsia"/>
                    </w:rPr>
                  </w:pPr>
                  <w:r>
                    <w:rPr>
                      <w:color w:val="auto"/>
                      <w:rFonts w:hint="eastAsia" w:eastAsiaTheme="minorEastAsia"/>
                    </w:rPr>
                    <w:t>/</w:t>
                  </w:r>
                </w:p>
              </w:tc>
              <w:tc>
                <w:tcPr>
                  <w:tcW w:w="0" w:type="auto"/>
                  <w:vAlign w:val="center"/>
                </w:tcPr>
                <w:p w14:paraId="34B7D54C">
                  <w:pPr>
                    <w:pStyle w:val="106"/>
                    <w:rPr>
                      <w:color w:val="auto"/>
                      <w:rFonts w:eastAsiaTheme="minorEastAsia"/>
                    </w:rPr>
                  </w:pPr>
                  <w:r>
                    <w:rPr>
                      <w:color w:val="auto"/>
                      <w:rFonts w:hint="eastAsia" w:eastAsiaTheme="minorEastAsia"/>
                    </w:rPr>
                    <w:t>/</w:t>
                  </w:r>
                </w:p>
              </w:tc>
              <w:tc>
                <w:tcPr>
                  <w:tcW w:w="0" w:type="auto"/>
                  <w:vAlign w:val="center"/>
                </w:tcPr>
                <w:p w14:paraId="5DC1BC2B">
                  <w:pPr>
                    <w:pStyle w:val="106"/>
                    <w:rPr>
                      <w:color w:val="auto"/>
                      <w:rFonts w:eastAsiaTheme="minorEastAsia"/>
                    </w:rPr>
                  </w:pPr>
                  <w:r>
                    <w:rPr>
                      <w:color w:val="auto"/>
                      <w:kern w:val="0"/>
                    </w:rPr>
                    <w:t>周界外浓度最高点</w:t>
                  </w:r>
                  <w:r>
                    <w:rPr>
                      <w:color w:val="auto"/>
                      <w:rFonts w:eastAsiaTheme="minorEastAsia"/>
                    </w:rPr>
                    <w:t>1.0</w:t>
                  </w:r>
                </w:p>
              </w:tc>
            </w:tr>
            <w:tr w14:paraId="6F22D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591" w:hRule="atLeast"/>
              </w:trPr>
              <w:tc>
                <w:tcPr>
                  <w:tcW w:w="0" w:type="auto"/>
                  <w:vMerge w:val="restart"/>
                  <w:vAlign w:val="center"/>
                </w:tcPr>
                <w:p w14:paraId="21A1DDB2">
                  <w:pPr>
                    <w:pStyle w:val="106"/>
                    <w:rPr>
                      <w:color w:val="auto"/>
                      <w:rFonts w:eastAsiaTheme="minorEastAsia"/>
                    </w:rPr>
                  </w:pPr>
                  <w:r>
                    <w:rPr>
                      <w:color w:val="auto"/>
                      <w:rFonts w:hint="eastAsia" w:eastAsiaTheme="minorEastAsia"/>
                    </w:rPr>
                    <w:t>除尘</w:t>
                  </w:r>
                  <w:r>
                    <w:rPr>
                      <w:color w:val="auto"/>
                      <w:rFonts w:eastAsiaTheme="minorEastAsia"/>
                    </w:rPr>
                    <w:t>系统废气</w:t>
                  </w:r>
                </w:p>
              </w:tc>
              <w:tc>
                <w:tcPr>
                  <w:tcW w:w="965" w:type="dxa"/>
                  <w:vAlign w:val="center"/>
                </w:tcPr>
                <w:p w14:paraId="79D4CFB5">
                  <w:pPr>
                    <w:pStyle w:val="106"/>
                    <w:rPr>
                      <w:color w:val="auto"/>
                      <w:rFonts w:eastAsiaTheme="minorEastAsia"/>
                    </w:rPr>
                  </w:pPr>
                  <w:r>
                    <w:rPr>
                      <w:color w:val="auto"/>
                      <w:rFonts w:eastAsiaTheme="minorEastAsia"/>
                    </w:rPr>
                    <w:t>颗粒物</w:t>
                  </w:r>
                </w:p>
              </w:tc>
              <w:tc>
                <w:tcPr>
                  <w:tcW w:w="1321" w:type="dxa"/>
                  <w:vAlign w:val="center"/>
                </w:tcPr>
                <w:p w14:paraId="578E9EA8">
                  <w:pPr>
                    <w:pStyle w:val="106"/>
                    <w:rPr>
                      <w:color w:val="auto"/>
                      <w:rFonts w:eastAsiaTheme="minorEastAsia"/>
                    </w:rPr>
                  </w:pPr>
                  <w:r>
                    <w:rPr>
                      <w:color w:val="auto"/>
                      <w:rFonts w:eastAsiaTheme="minorEastAsia"/>
                    </w:rPr>
                    <w:t>120</w:t>
                  </w:r>
                </w:p>
              </w:tc>
              <w:tc>
                <w:tcPr>
                  <w:tcW w:w="0" w:type="auto"/>
                  <w:vMerge w:val="restart"/>
                  <w:vAlign w:val="center"/>
                </w:tcPr>
                <w:p w14:paraId="5EE5ADE9">
                  <w:pPr>
                    <w:pStyle w:val="106"/>
                    <w:rPr>
                      <w:color w:val="auto"/>
                      <w:rFonts w:eastAsiaTheme="minorEastAsia"/>
                    </w:rPr>
                  </w:pPr>
                  <w:r>
                    <w:rPr>
                      <w:color w:val="auto"/>
                      <w:rFonts w:hint="eastAsia" w:eastAsiaTheme="minorEastAsia"/>
                    </w:rPr>
                    <w:t>15</w:t>
                  </w:r>
                </w:p>
              </w:tc>
              <w:tc>
                <w:tcPr>
                  <w:tcW w:w="0" w:type="auto"/>
                  <w:vAlign w:val="center"/>
                </w:tcPr>
                <w:p w14:paraId="653C60C8">
                  <w:pPr>
                    <w:pStyle w:val="106"/>
                    <w:rPr>
                      <w:color w:val="auto"/>
                      <w:rFonts w:eastAsiaTheme="minorEastAsia"/>
                    </w:rPr>
                  </w:pPr>
                  <w:r>
                    <w:rPr>
                      <w:color w:val="auto"/>
                      <w:rFonts w:hint="eastAsia" w:eastAsiaTheme="minorEastAsia"/>
                    </w:rPr>
                    <w:t>3.5</w:t>
                  </w:r>
                </w:p>
              </w:tc>
              <w:tc>
                <w:tcPr>
                  <w:tcW w:w="0" w:type="auto"/>
                  <w:vAlign w:val="center"/>
                </w:tcPr>
                <w:p w14:paraId="22787407">
                  <w:pPr>
                    <w:pStyle w:val="106"/>
                    <w:rPr>
                      <w:color w:val="auto"/>
                      <w:rFonts w:eastAsiaTheme="minorEastAsia"/>
                    </w:rPr>
                  </w:pPr>
                  <w:r>
                    <w:rPr>
                      <w:color w:val="auto"/>
                      <w:rFonts w:eastAsiaTheme="minorEastAsia"/>
                    </w:rPr>
                    <w:t>/</w:t>
                  </w:r>
                </w:p>
              </w:tc>
            </w:tr>
            <w:tr w14:paraId="4DA9E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591" w:hRule="atLeast"/>
              </w:trPr>
              <w:tc>
                <w:tcPr>
                  <w:tcW w:w="0" w:type="auto"/>
                  <w:vMerge w:val="continue"/>
                  <w:vAlign w:val="center"/>
                </w:tcPr>
                <w:p w14:paraId="3CAE2DBF">
                  <w:pPr>
                    <w:pStyle w:val="106"/>
                    <w:rPr>
                      <w:color w:val="auto"/>
                      <w:rFonts w:eastAsiaTheme="minorEastAsia"/>
                    </w:rPr>
                  </w:pPr>
                </w:p>
              </w:tc>
              <w:tc>
                <w:tcPr>
                  <w:tcW w:w="965" w:type="dxa"/>
                  <w:vAlign w:val="center"/>
                </w:tcPr>
                <w:p w14:paraId="6774C2CF">
                  <w:pPr>
                    <w:jc w:val="center"/>
                    <w:rPr>
                      <w:color w:val="auto"/>
                      <w:szCs w:val="21"/>
                      <w:rFonts w:eastAsiaTheme="minorEastAsia"/>
                    </w:rPr>
                  </w:pPr>
                  <w:r>
                    <w:rPr>
                      <w:color w:val="auto"/>
                      <w:szCs w:val="21"/>
                      <w:rFonts w:eastAsiaTheme="minorEastAsia"/>
                    </w:rPr>
                    <w:t>二氧化硫</w:t>
                  </w:r>
                </w:p>
              </w:tc>
              <w:tc>
                <w:tcPr>
                  <w:tcW w:w="1321" w:type="dxa"/>
                  <w:vAlign w:val="center"/>
                </w:tcPr>
                <w:p w14:paraId="10CCF9FE">
                  <w:pPr>
                    <w:pStyle w:val="106"/>
                    <w:rPr>
                      <w:color w:val="auto"/>
                      <w:rFonts w:eastAsiaTheme="minorEastAsia"/>
                    </w:rPr>
                  </w:pPr>
                  <w:r>
                    <w:rPr>
                      <w:color w:val="auto"/>
                      <w:rFonts w:eastAsiaTheme="minorEastAsia"/>
                    </w:rPr>
                    <w:t>550</w:t>
                  </w:r>
                </w:p>
              </w:tc>
              <w:tc>
                <w:tcPr>
                  <w:tcW w:w="0" w:type="auto"/>
                  <w:vMerge w:val="continue"/>
                  <w:vAlign w:val="center"/>
                </w:tcPr>
                <w:p w14:paraId="21B896CB">
                  <w:pPr>
                    <w:pStyle w:val="106"/>
                    <w:rPr>
                      <w:color w:val="auto"/>
                      <w:rFonts w:eastAsiaTheme="minorEastAsia"/>
                    </w:rPr>
                  </w:pPr>
                </w:p>
              </w:tc>
              <w:tc>
                <w:tcPr>
                  <w:tcW w:w="0" w:type="auto"/>
                  <w:vAlign w:val="center"/>
                </w:tcPr>
                <w:p w14:paraId="3C1FA3FE">
                  <w:pPr>
                    <w:pStyle w:val="106"/>
                    <w:rPr>
                      <w:color w:val="auto"/>
                      <w:rFonts w:eastAsiaTheme="minorEastAsia"/>
                    </w:rPr>
                  </w:pPr>
                  <w:r>
                    <w:rPr>
                      <w:color w:val="auto"/>
                      <w:rFonts w:hint="eastAsia" w:eastAsiaTheme="minorEastAsia"/>
                    </w:rPr>
                    <w:t>2.6</w:t>
                  </w:r>
                </w:p>
              </w:tc>
              <w:tc>
                <w:tcPr>
                  <w:tcW w:w="0" w:type="auto"/>
                  <w:vAlign w:val="center"/>
                </w:tcPr>
                <w:p w14:paraId="464BC201">
                  <w:pPr>
                    <w:pStyle w:val="106"/>
                    <w:rPr>
                      <w:color w:val="auto"/>
                      <w:rFonts w:eastAsiaTheme="minorEastAsia"/>
                    </w:rPr>
                  </w:pPr>
                  <w:r>
                    <w:rPr>
                      <w:color w:val="auto"/>
                      <w:rFonts w:eastAsiaTheme="minorEastAsia"/>
                    </w:rPr>
                    <w:t>/</w:t>
                  </w:r>
                </w:p>
              </w:tc>
            </w:tr>
            <w:tr w14:paraId="6192F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85.000000"/>
                  <w:right w:type="dxa" w:w="85.000000"/>
                </w:tblCellMar>
              </w:tblPrEx>
              <w:trPr>
                <w:cantSplit/>
                <w:trHeight w:val="591" w:hRule="atLeast"/>
              </w:trPr>
              <w:tc>
                <w:tcPr>
                  <w:tcW w:w="0" w:type="auto"/>
                  <w:vMerge w:val="continue"/>
                  <w:vAlign w:val="center"/>
                </w:tcPr>
                <w:p w14:paraId="59E8BE6E">
                  <w:pPr>
                    <w:pStyle w:val="106"/>
                    <w:rPr>
                      <w:color w:val="auto"/>
                      <w:rFonts w:eastAsiaTheme="minorEastAsia"/>
                    </w:rPr>
                  </w:pPr>
                </w:p>
              </w:tc>
              <w:tc>
                <w:tcPr>
                  <w:tcW w:w="965" w:type="dxa"/>
                  <w:vAlign w:val="center"/>
                </w:tcPr>
                <w:p w14:paraId="67CF20F1">
                  <w:pPr>
                    <w:jc w:val="center"/>
                    <w:rPr>
                      <w:color w:val="auto"/>
                      <w:szCs w:val="21"/>
                      <w:rFonts w:eastAsiaTheme="minorEastAsia"/>
                    </w:rPr>
                  </w:pPr>
                  <w:r>
                    <w:rPr>
                      <w:color w:val="auto"/>
                      <w:szCs w:val="21"/>
                      <w:rFonts w:eastAsiaTheme="minorEastAsia"/>
                    </w:rPr>
                    <w:t>氮氧化物</w:t>
                  </w:r>
                </w:p>
              </w:tc>
              <w:tc>
                <w:tcPr>
                  <w:tcW w:w="1321" w:type="dxa"/>
                  <w:vAlign w:val="center"/>
                </w:tcPr>
                <w:p w14:paraId="7657FB45">
                  <w:pPr>
                    <w:pStyle w:val="106"/>
                    <w:rPr>
                      <w:color w:val="auto"/>
                      <w:rFonts w:eastAsiaTheme="minorEastAsia"/>
                    </w:rPr>
                  </w:pPr>
                  <w:r>
                    <w:rPr>
                      <w:color w:val="auto"/>
                      <w:rFonts w:eastAsiaTheme="minorEastAsia"/>
                    </w:rPr>
                    <w:t>240</w:t>
                  </w:r>
                </w:p>
              </w:tc>
              <w:tc>
                <w:tcPr>
                  <w:tcW w:w="0" w:type="auto"/>
                  <w:vMerge w:val="continue"/>
                  <w:vAlign w:val="center"/>
                </w:tcPr>
                <w:p w14:paraId="66D097BF">
                  <w:pPr>
                    <w:pStyle w:val="106"/>
                    <w:rPr>
                      <w:color w:val="auto"/>
                      <w:rFonts w:eastAsiaTheme="minorEastAsia"/>
                    </w:rPr>
                  </w:pPr>
                </w:p>
              </w:tc>
              <w:tc>
                <w:tcPr>
                  <w:tcW w:w="0" w:type="auto"/>
                  <w:vAlign w:val="center"/>
                </w:tcPr>
                <w:p w14:paraId="5DD3E453">
                  <w:pPr>
                    <w:pStyle w:val="106"/>
                    <w:rPr>
                      <w:color w:val="auto"/>
                      <w:rFonts w:eastAsiaTheme="minorEastAsia"/>
                    </w:rPr>
                  </w:pPr>
                  <w:r>
                    <w:rPr>
                      <w:color w:val="auto"/>
                      <w:rFonts w:hint="eastAsia" w:eastAsiaTheme="minorEastAsia"/>
                    </w:rPr>
                    <w:t>0.77</w:t>
                  </w:r>
                </w:p>
              </w:tc>
              <w:tc>
                <w:tcPr>
                  <w:tcW w:w="0" w:type="auto"/>
                  <w:vAlign w:val="center"/>
                </w:tcPr>
                <w:p w14:paraId="15C88EA5">
                  <w:pPr>
                    <w:pStyle w:val="106"/>
                    <w:rPr>
                      <w:color w:val="auto"/>
                      <w:rFonts w:eastAsiaTheme="minorEastAsia"/>
                    </w:rPr>
                  </w:pPr>
                  <w:r>
                    <w:rPr>
                      <w:color w:val="auto"/>
                      <w:rFonts w:eastAsiaTheme="minorEastAsia"/>
                    </w:rPr>
                    <w:t>/</w:t>
                  </w:r>
                </w:p>
              </w:tc>
            </w:tr>
          </w:tbl>
          <w:p w14:paraId="1ADE32B2">
            <w:pPr>
              <w:jc w:val="center"/>
              <w:rPr>
                <w:b w:val="1"/>
                <w:color w:val="auto"/>
                <w:sz w:val="24"/>
              </w:rPr>
            </w:pPr>
            <w:r>
              <w:rPr>
                <w:b w:val="1"/>
                <w:color w:val="auto"/>
                <w:sz w:val="24"/>
                <w:rFonts w:hint="eastAsia"/>
              </w:rPr>
              <w:t>表3-</w:t>
            </w:r>
            <w:r>
              <w:rPr>
                <w:b w:val="1"/>
                <w:color w:val="auto"/>
                <w:sz w:val="24"/>
                <w:lang w:val="en-US" w:eastAsia="zh-CN"/>
                <w:rFonts w:hint="eastAsia"/>
              </w:rPr>
              <w:t>7</w:t>
            </w:r>
            <w:r>
              <w:rPr>
                <w:b w:val="1"/>
                <w:color w:val="auto"/>
                <w:sz w:val="24"/>
                <w:rFonts w:hint="eastAsia"/>
              </w:rPr>
              <w:t xml:space="preserve"> 无组织非甲烷总烃排放标准</w:t>
            </w:r>
          </w:p>
          <w:tbl>
            <w:tblPr>
              <w:tblStyle w:val="27"/>
              <w:tblW w:w="0" w:type="auto"/>
              <w:jc w:val="center"/>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60.000000"/>
                <w:right w:type="dxa" w:w="60.000000"/>
              </w:tblCellMar>
            </w:tblPr>
            <w:tblGrid>
              <w:gridCol w:w="1138.000000"/>
              <w:gridCol w:w="1389.000000"/>
              <w:gridCol w:w="3439.000000"/>
              <w:gridCol w:w="2142.000000"/>
            </w:tblGrid>
            <w:tr w14:paraId="2F5F6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60.000000"/>
                  <w:right w:type="dxa" w:w="60.000000"/>
                </w:tblCellMar>
              </w:tblPrEx>
              <w:trPr>
                <w:cantSplit/>
                <w:trHeight w:val="62" w:hRule="atLeast"/>
                <w:jc w:val="center"/>
              </w:trPr>
              <w:tc>
                <w:tcPr>
                  <w:tcW w:w="2552" w:type="dxa"/>
                  <w:gridSpan w:val="2"/>
                  <w:vAlign w:val="center"/>
                </w:tcPr>
                <w:p w14:paraId="07AD7961">
                  <w:pPr>
                    <w:pStyle w:val="106"/>
                    <w:rPr>
                      <w:color w:val="auto"/>
                      <w:rFonts w:eastAsiaTheme="minorEastAsia"/>
                    </w:rPr>
                  </w:pPr>
                  <w:r>
                    <w:rPr>
                      <w:color w:val="auto"/>
                      <w:rFonts w:eastAsiaTheme="minorEastAsia"/>
                    </w:rPr>
                    <w:t>污染物</w:t>
                  </w:r>
                </w:p>
              </w:tc>
              <w:tc>
                <w:tcPr>
                  <w:tcW w:w="3474" w:type="dxa"/>
                  <w:vAlign w:val="center"/>
                </w:tcPr>
                <w:p w14:paraId="18958DD4">
                  <w:pPr>
                    <w:pStyle w:val="106"/>
                    <w:rPr>
                      <w:color w:val="auto"/>
                      <w:rFonts w:eastAsiaTheme="minorEastAsia"/>
                    </w:rPr>
                  </w:pPr>
                  <w:r>
                    <w:rPr>
                      <w:color w:val="auto"/>
                      <w:rFonts w:eastAsiaTheme="minorEastAsia"/>
                    </w:rPr>
                    <w:t>排放限值</w:t>
                  </w:r>
                </w:p>
              </w:tc>
              <w:tc>
                <w:tcPr>
                  <w:tcW w:w="2146" w:type="dxa"/>
                  <w:vAlign w:val="center"/>
                </w:tcPr>
                <w:p w14:paraId="3751F1DA">
                  <w:pPr>
                    <w:pStyle w:val="106"/>
                    <w:rPr>
                      <w:color w:val="auto"/>
                      <w:rFonts w:eastAsiaTheme="minorEastAsia"/>
                    </w:rPr>
                  </w:pPr>
                  <w:r>
                    <w:rPr>
                      <w:color w:val="auto"/>
                      <w:rFonts w:eastAsiaTheme="minorEastAsia"/>
                    </w:rPr>
                    <w:t>标准</w:t>
                  </w:r>
                  <w:r>
                    <w:rPr>
                      <w:color w:val="auto"/>
                      <w:rFonts w:hint="eastAsia" w:eastAsiaTheme="minorEastAsia"/>
                    </w:rPr>
                    <w:t>来源</w:t>
                  </w:r>
                </w:p>
              </w:tc>
            </w:tr>
            <w:tr w14:paraId="0F3C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60.000000"/>
                  <w:right w:type="dxa" w:w="60.000000"/>
                </w:tblCellMar>
              </w:tblPrEx>
              <w:trPr>
                <w:cantSplit/>
                <w:trHeight w:val="84" w:hRule="atLeast"/>
                <w:jc w:val="center"/>
              </w:trPr>
              <w:tc>
                <w:tcPr>
                  <w:tcW w:w="1149" w:type="dxa"/>
                  <w:vMerge w:val="restart"/>
                  <w:vAlign w:val="center"/>
                </w:tcPr>
                <w:p w14:paraId="62A499D6">
                  <w:pPr>
                    <w:pStyle w:val="106"/>
                    <w:rPr>
                      <w:color w:val="auto"/>
                      <w:rFonts w:eastAsiaTheme="minorEastAsia"/>
                    </w:rPr>
                  </w:pPr>
                  <w:r>
                    <w:rPr>
                      <w:color w:val="auto"/>
                      <w:rFonts w:eastAsiaTheme="minorEastAsia"/>
                    </w:rPr>
                    <w:t>无</w:t>
                  </w:r>
                  <w:r>
                    <w:rPr>
                      <w:color w:val="auto"/>
                      <w:rFonts w:hint="eastAsia" w:eastAsiaTheme="minorEastAsia"/>
                    </w:rPr>
                    <w:t>组</w:t>
                  </w:r>
                  <w:r>
                    <w:rPr>
                      <w:color w:val="auto"/>
                      <w:rFonts w:eastAsiaTheme="minorEastAsia"/>
                    </w:rPr>
                    <w:t>织</w:t>
                  </w:r>
                </w:p>
              </w:tc>
              <w:tc>
                <w:tcPr>
                  <w:tcW w:w="1404" w:type="dxa"/>
                  <w:vMerge w:val="restart"/>
                  <w:vAlign w:val="center"/>
                </w:tcPr>
                <w:p w14:paraId="260C9334">
                  <w:pPr>
                    <w:pStyle w:val="106"/>
                    <w:rPr>
                      <w:color w:val="auto"/>
                      <w:rFonts w:eastAsiaTheme="minorEastAsia"/>
                    </w:rPr>
                  </w:pPr>
                  <w:r>
                    <w:rPr>
                      <w:color w:val="auto"/>
                      <w:rFonts w:hint="eastAsia" w:eastAsiaTheme="minorEastAsia"/>
                    </w:rPr>
                    <w:t>非甲烷总烃</w:t>
                  </w:r>
                </w:p>
              </w:tc>
              <w:tc>
                <w:tcPr>
                  <w:tcW w:w="3474" w:type="dxa"/>
                  <w:vAlign w:val="center"/>
                </w:tcPr>
                <w:p w14:paraId="4FA2BE63">
                  <w:pPr>
                    <w:pStyle w:val="106"/>
                    <w:rPr>
                      <w:color w:val="auto"/>
                      <w:rFonts w:eastAsiaTheme="minorEastAsia"/>
                    </w:rPr>
                  </w:pPr>
                  <w:r>
                    <w:rPr>
                      <w:color w:val="auto"/>
                      <w:rFonts w:hint="eastAsia" w:eastAsiaTheme="minorEastAsia"/>
                    </w:rPr>
                    <w:t>4.0</w:t>
                  </w:r>
                  <w:r>
                    <w:rPr>
                      <w:color w:val="auto"/>
                      <w:rFonts w:eastAsiaTheme="minorEastAsia"/>
                    </w:rPr>
                    <w:t>mg/m</w:t>
                  </w:r>
                  <w:r>
                    <w:rPr>
                      <w:vertAlign w:val="superscript"/>
                      <w:color w:val="auto"/>
                      <w:rFonts w:eastAsiaTheme="minorEastAsia"/>
                    </w:rPr>
                    <w:t>3</w:t>
                  </w:r>
                </w:p>
              </w:tc>
              <w:tc>
                <w:tcPr>
                  <w:tcW w:w="2146" w:type="dxa"/>
                  <w:vAlign w:val="center"/>
                </w:tcPr>
                <w:p w14:paraId="2072C1F6">
                  <w:pPr>
                    <w:pStyle w:val="106"/>
                    <w:rPr>
                      <w:color w:val="auto"/>
                      <w:rFonts w:eastAsiaTheme="minorEastAsia"/>
                    </w:rPr>
                  </w:pPr>
                  <w:r>
                    <w:rPr>
                      <w:color w:val="auto"/>
                      <w:rFonts w:eastAsiaTheme="minorEastAsia"/>
                    </w:rPr>
                    <w:t>（GB16297-1996）</w:t>
                  </w:r>
                </w:p>
              </w:tc>
            </w:tr>
            <w:tr w14:paraId="18F5F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60.000000"/>
                  <w:right w:type="dxa" w:w="60.000000"/>
                </w:tblCellMar>
              </w:tblPrEx>
              <w:trPr>
                <w:cantSplit/>
                <w:trHeight w:val="84" w:hRule="atLeast"/>
                <w:jc w:val="center"/>
              </w:trPr>
              <w:tc>
                <w:tcPr>
                  <w:tcW w:w="1149" w:type="dxa"/>
                  <w:vMerge w:val="continue"/>
                  <w:vAlign w:val="center"/>
                </w:tcPr>
                <w:p w14:paraId="6BCB0C6F">
                  <w:pPr>
                    <w:pStyle w:val="106"/>
                    <w:rPr>
                      <w:color w:val="auto"/>
                      <w:rFonts w:eastAsiaTheme="minorEastAsia"/>
                    </w:rPr>
                  </w:pPr>
                </w:p>
              </w:tc>
              <w:tc>
                <w:tcPr>
                  <w:tcW w:w="1404" w:type="dxa"/>
                  <w:vMerge w:val="continue"/>
                  <w:vAlign w:val="center"/>
                </w:tcPr>
                <w:p w14:paraId="081FB5AF">
                  <w:pPr>
                    <w:pStyle w:val="106"/>
                    <w:rPr>
                      <w:color w:val="auto"/>
                      <w:rFonts w:eastAsiaTheme="minorEastAsia"/>
                    </w:rPr>
                  </w:pPr>
                </w:p>
              </w:tc>
              <w:tc>
                <w:tcPr>
                  <w:tcW w:w="3474" w:type="dxa"/>
                  <w:vAlign w:val="center"/>
                </w:tcPr>
                <w:p w14:paraId="4043A2DE">
                  <w:pPr>
                    <w:pStyle w:val="106"/>
                    <w:rPr>
                      <w:color w:val="auto"/>
                      <w:rFonts w:eastAsiaTheme="minorEastAsia"/>
                    </w:rPr>
                  </w:pPr>
                  <w:r>
                    <w:rPr>
                      <w:color w:val="auto"/>
                      <w:rFonts w:hint="eastAsia" w:eastAsiaTheme="minorEastAsia"/>
                    </w:rPr>
                    <w:t>1h平均浓度＜10mg/m</w:t>
                  </w:r>
                  <w:r>
                    <w:rPr>
                      <w:vertAlign w:val="superscript"/>
                      <w:color w:val="auto"/>
                      <w:rFonts w:hint="eastAsia" w:eastAsiaTheme="minorEastAsia"/>
                    </w:rPr>
                    <w:t>3</w:t>
                  </w:r>
                </w:p>
              </w:tc>
              <w:tc>
                <w:tcPr>
                  <w:tcW w:w="2146" w:type="dxa"/>
                  <w:vMerge w:val="restart"/>
                  <w:vAlign w:val="center"/>
                </w:tcPr>
                <w:p w14:paraId="177D1E86">
                  <w:pPr>
                    <w:pStyle w:val="106"/>
                    <w:rPr>
                      <w:color w:val="auto"/>
                      <w:rFonts w:eastAsiaTheme="minorEastAsia"/>
                    </w:rPr>
                  </w:pPr>
                  <w:r>
                    <w:rPr>
                      <w:color w:val="auto"/>
                      <w:rFonts w:eastAsiaTheme="minorEastAsia"/>
                    </w:rPr>
                    <w:t>（GB</w:t>
                  </w:r>
                  <w:r>
                    <w:rPr>
                      <w:color w:val="auto"/>
                      <w:rFonts w:hint="eastAsia" w:eastAsiaTheme="minorEastAsia"/>
                    </w:rPr>
                    <w:t>37822</w:t>
                  </w:r>
                  <w:r>
                    <w:rPr>
                      <w:color w:val="auto"/>
                      <w:rFonts w:eastAsiaTheme="minorEastAsia"/>
                    </w:rPr>
                    <w:t>-20</w:t>
                  </w:r>
                  <w:r>
                    <w:rPr>
                      <w:color w:val="auto"/>
                      <w:rFonts w:hint="eastAsia" w:eastAsiaTheme="minorEastAsia"/>
                    </w:rPr>
                    <w:t>19</w:t>
                  </w:r>
                  <w:r>
                    <w:rPr>
                      <w:color w:val="auto"/>
                      <w:rFonts w:eastAsiaTheme="minorEastAsia"/>
                    </w:rPr>
                    <w:t>）</w:t>
                  </w:r>
                </w:p>
              </w:tc>
            </w:tr>
            <w:tr w14:paraId="5BC32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60.000000"/>
                  <w:right w:type="dxa" w:w="60.000000"/>
                </w:tblCellMar>
              </w:tblPrEx>
              <w:trPr>
                <w:cantSplit/>
                <w:trHeight w:val="84" w:hRule="atLeast"/>
                <w:jc w:val="center"/>
              </w:trPr>
              <w:tc>
                <w:tcPr>
                  <w:tcW w:w="1149" w:type="dxa"/>
                  <w:vMerge w:val="continue"/>
                  <w:vAlign w:val="center"/>
                </w:tcPr>
                <w:p w14:paraId="03A767C0">
                  <w:pPr>
                    <w:pStyle w:val="63"/>
                    <w:spacing w:after="120" w:before="120" w:line="240" w:lineRule="auto"/>
                    <w:ind w:firstLine="420"/>
                    <w:rPr>
                      <w:color w:val="auto"/>
                      <w:sz w:val="21"/>
                      <w:szCs w:val="21"/>
                    </w:rPr>
                  </w:pPr>
                </w:p>
              </w:tc>
              <w:tc>
                <w:tcPr>
                  <w:tcW w:w="1404" w:type="dxa"/>
                  <w:vMerge w:val="continue"/>
                  <w:vAlign w:val="center"/>
                </w:tcPr>
                <w:p w14:paraId="6F641A0E">
                  <w:pPr>
                    <w:pStyle w:val="106"/>
                    <w:rPr>
                      <w:color w:val="auto"/>
                      <w:rFonts w:eastAsiaTheme="minorEastAsia"/>
                    </w:rPr>
                  </w:pPr>
                </w:p>
              </w:tc>
              <w:tc>
                <w:tcPr>
                  <w:tcW w:w="3474" w:type="dxa"/>
                  <w:vAlign w:val="center"/>
                </w:tcPr>
                <w:p w14:paraId="24A1D03C">
                  <w:pPr>
                    <w:pStyle w:val="106"/>
                    <w:rPr>
                      <w:color w:val="auto"/>
                      <w:rFonts w:eastAsiaTheme="minorEastAsia"/>
                    </w:rPr>
                  </w:pPr>
                  <w:r>
                    <w:rPr>
                      <w:color w:val="auto"/>
                      <w:rFonts w:hint="eastAsia" w:eastAsiaTheme="minorEastAsia"/>
                    </w:rPr>
                    <w:t>任意一次浓度值＜30mg/m</w:t>
                  </w:r>
                  <w:r>
                    <w:rPr>
                      <w:vertAlign w:val="superscript"/>
                      <w:color w:val="auto"/>
                      <w:rFonts w:hint="eastAsia" w:eastAsiaTheme="minorEastAsia"/>
                    </w:rPr>
                    <w:t>3</w:t>
                  </w:r>
                </w:p>
              </w:tc>
              <w:tc>
                <w:tcPr>
                  <w:tcW w:w="2146" w:type="dxa"/>
                  <w:vMerge w:val="continue"/>
                  <w:vAlign w:val="center"/>
                </w:tcPr>
                <w:p w14:paraId="45CFAB27">
                  <w:pPr>
                    <w:pStyle w:val="63"/>
                    <w:spacing w:after="120" w:before="120" w:line="240" w:lineRule="auto"/>
                    <w:ind w:firstLine="420"/>
                    <w:rPr>
                      <w:color w:val="auto"/>
                      <w:sz w:val="21"/>
                      <w:bCs/>
                      <w:szCs w:val="21"/>
                    </w:rPr>
                  </w:pPr>
                </w:p>
              </w:tc>
            </w:tr>
          </w:tbl>
          <w:p w14:paraId="20F6CA1E">
            <w:pPr>
              <w:contextualSpacing/>
              <w:spacing w:line="360" w:lineRule="auto"/>
              <w:ind w:firstLine="482" w:firstLineChars="200"/>
              <w:rPr>
                <w:b w:val="1"/>
                <w:color w:val="auto"/>
                <w:sz w:val="24"/>
                <w:kern w:val="0"/>
              </w:rPr>
            </w:pPr>
            <w:r>
              <w:rPr>
                <w:b w:val="1"/>
                <w:color w:val="auto"/>
                <w:sz w:val="24"/>
                <w:kern w:val="0"/>
              </w:rPr>
              <w:t>2、噪声</w:t>
            </w:r>
          </w:p>
          <w:p w14:paraId="42A519F0">
            <w:pPr>
              <w:pStyle w:val="61"/>
              <w:jc w:val="left"/>
              <w:contextualSpacing/>
              <w:ind w:firstLine="480"/>
              <w:rPr>
                <w:color w:val="auto"/>
                <w:sz w:val="24"/>
                <w:bCs/>
              </w:rPr>
            </w:pPr>
            <w:r>
              <w:rPr>
                <w:color w:val="auto"/>
                <w:sz w:val="24"/>
                <w:bCs/>
              </w:rPr>
              <w:t>本项目施工期噪声执行《建筑施工场界环境噪声排放标准》（GB12523-2011）表</w:t>
            </w:r>
            <w:r>
              <w:rPr>
                <w:color w:val="auto"/>
                <w:sz w:val="24"/>
                <w:bCs/>
                <w:rFonts w:hint="eastAsia"/>
              </w:rPr>
              <w:t>1</w:t>
            </w:r>
            <w:r>
              <w:rPr>
                <w:color w:val="auto"/>
                <w:sz w:val="24"/>
                <w:bCs/>
              </w:rPr>
              <w:t>标准；营运期西侧厂界噪声执行《工业企业厂界环境噪声排放标准》（GB12348-2008）表1中</w:t>
            </w:r>
            <w:r>
              <w:rPr>
                <w:color w:val="auto"/>
                <w:sz w:val="24"/>
                <w:bCs/>
                <w:rFonts w:hint="eastAsia"/>
              </w:rPr>
              <w:t>4</w:t>
            </w:r>
            <w:r>
              <w:rPr>
                <w:color w:val="auto"/>
                <w:sz w:val="24"/>
                <w:bCs/>
              </w:rPr>
              <w:t>类标准，其余厂界执行《工业企业厂界环境噪声排放标准》（GB12348-2008）表1中</w:t>
            </w:r>
            <w:r>
              <w:rPr>
                <w:color w:val="auto"/>
                <w:sz w:val="24"/>
                <w:bCs/>
                <w:rFonts w:hint="eastAsia"/>
              </w:rPr>
              <w:t>2</w:t>
            </w:r>
            <w:r>
              <w:rPr>
                <w:color w:val="auto"/>
                <w:sz w:val="24"/>
                <w:bCs/>
              </w:rPr>
              <w:t>类标准</w:t>
            </w:r>
            <w:r>
              <w:rPr>
                <w:color w:val="auto"/>
                <w:sz w:val="24"/>
              </w:rPr>
              <w:t>。</w:t>
            </w:r>
          </w:p>
          <w:p w14:paraId="682E5040">
            <w:pPr>
              <w:pStyle w:val="61"/>
              <w:snapToGrid w:val="1"/>
              <w:jc w:val="center"/>
              <w:contextualSpacing/>
              <w:spacing w:line="240" w:lineRule="auto"/>
              <w:ind w:firstLine="0" w:firstLineChars="0"/>
              <w:rPr>
                <w:b w:val="1"/>
                <w:color w:val="auto"/>
                <w:sz w:val="24"/>
              </w:rPr>
            </w:pPr>
            <w:r>
              <w:rPr>
                <w:b w:val="1"/>
                <w:color w:val="auto"/>
                <w:sz w:val="24"/>
              </w:rPr>
              <w:t>表3-</w:t>
            </w:r>
            <w:r>
              <w:rPr>
                <w:b w:val="1"/>
                <w:color w:val="auto"/>
                <w:sz w:val="24"/>
                <w:lang w:val="en-US" w:eastAsia="zh-CN"/>
                <w:rFonts w:hint="eastAsia"/>
              </w:rPr>
              <w:t>8</w:t>
            </w:r>
            <w:r>
              <w:rPr>
                <w:b w:val="1"/>
                <w:color w:val="auto"/>
                <w:sz w:val="24"/>
              </w:rPr>
              <w:t xml:space="preserve"> 营运期噪声排放标准</w:t>
            </w:r>
          </w:p>
          <w:tbl>
            <w:tblPr>
              <w:tblStyle w:val="27"/>
              <w:tblW w:w="5000" w:type="pct"/>
              <w:jc w:val="center"/>
              <w:tblLayout w:type="autofi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1263.000000"/>
              <w:gridCol w:w="1517.000000"/>
              <w:gridCol w:w="1981.000000"/>
              <w:gridCol w:w="1673.000000"/>
              <w:gridCol w:w="1674.000000"/>
            </w:tblGrid>
            <w:tr w14:paraId="4D6FC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57" w:hRule="atLeast"/>
                <w:jc w:val="center"/>
              </w:trPr>
              <w:tc>
                <w:tcPr>
                  <w:tcW w:w="778" w:type="pct"/>
                  <w:vAlign w:val="center"/>
                </w:tcPr>
                <w:p w14:paraId="221B096B">
                  <w:pPr>
                    <w:adjustRightInd w:val="0"/>
                    <w:snapToGrid w:val="0"/>
                    <w:jc w:val="center"/>
                    <w:rPr>
                      <w:color w:val="auto"/>
                      <w:szCs w:val="21"/>
                    </w:rPr>
                  </w:pPr>
                  <w:r>
                    <w:rPr>
                      <w:color w:val="auto"/>
                      <w:szCs w:val="21"/>
                    </w:rPr>
                    <w:t>时段</w:t>
                  </w:r>
                </w:p>
              </w:tc>
              <w:tc>
                <w:tcPr>
                  <w:tcW w:w="935" w:type="pct"/>
                  <w:vAlign w:val="center"/>
                </w:tcPr>
                <w:p w14:paraId="45889CD3">
                  <w:pPr>
                    <w:adjustRightInd w:val="0"/>
                    <w:snapToGrid w:val="0"/>
                    <w:jc w:val="center"/>
                    <w:rPr>
                      <w:color w:val="auto"/>
                      <w:szCs w:val="21"/>
                    </w:rPr>
                  </w:pPr>
                  <w:r>
                    <w:rPr>
                      <w:color w:val="auto"/>
                      <w:szCs w:val="21"/>
                    </w:rPr>
                    <w:t>位置</w:t>
                  </w:r>
                </w:p>
              </w:tc>
              <w:tc>
                <w:tcPr>
                  <w:tcW w:w="1221" w:type="pct"/>
                  <w:vAlign w:val="center"/>
                </w:tcPr>
                <w:p w14:paraId="7CA24282">
                  <w:pPr>
                    <w:adjustRightInd w:val="0"/>
                    <w:snapToGrid w:val="0"/>
                    <w:jc w:val="center"/>
                    <w:rPr>
                      <w:color w:val="auto"/>
                      <w:szCs w:val="21"/>
                    </w:rPr>
                  </w:pPr>
                  <w:r>
                    <w:rPr>
                      <w:color w:val="auto"/>
                      <w:szCs w:val="21"/>
                    </w:rPr>
                    <w:t>单位</w:t>
                  </w:r>
                </w:p>
              </w:tc>
              <w:tc>
                <w:tcPr>
                  <w:tcW w:w="1031" w:type="pct"/>
                  <w:vAlign w:val="center"/>
                </w:tcPr>
                <w:p w14:paraId="58550C2F">
                  <w:pPr>
                    <w:adjustRightInd w:val="0"/>
                    <w:snapToGrid w:val="0"/>
                    <w:jc w:val="center"/>
                    <w:rPr>
                      <w:color w:val="auto"/>
                      <w:szCs w:val="21"/>
                    </w:rPr>
                  </w:pPr>
                  <w:r>
                    <w:rPr>
                      <w:color w:val="auto"/>
                      <w:szCs w:val="21"/>
                    </w:rPr>
                    <w:t>昼间</w:t>
                  </w:r>
                </w:p>
              </w:tc>
              <w:tc>
                <w:tcPr>
                  <w:tcW w:w="1031" w:type="pct"/>
                  <w:vAlign w:val="center"/>
                </w:tcPr>
                <w:p w14:paraId="57B2877D">
                  <w:pPr>
                    <w:adjustRightInd w:val="0"/>
                    <w:snapToGrid w:val="0"/>
                    <w:jc w:val="center"/>
                    <w:rPr>
                      <w:color w:val="auto"/>
                      <w:szCs w:val="21"/>
                    </w:rPr>
                  </w:pPr>
                  <w:r>
                    <w:rPr>
                      <w:color w:val="auto"/>
                      <w:szCs w:val="21"/>
                    </w:rPr>
                    <w:t>夜间</w:t>
                  </w:r>
                </w:p>
              </w:tc>
            </w:tr>
            <w:tr w14:paraId="0C741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57" w:hRule="atLeast"/>
                <w:jc w:val="center"/>
              </w:trPr>
              <w:tc>
                <w:tcPr>
                  <w:tcW w:w="778" w:type="pct"/>
                  <w:vAlign w:val="center"/>
                </w:tcPr>
                <w:p w14:paraId="39701076">
                  <w:pPr>
                    <w:adjustRightInd w:val="0"/>
                    <w:snapToGrid w:val="0"/>
                    <w:jc w:val="center"/>
                    <w:rPr>
                      <w:color w:val="auto"/>
                      <w:szCs w:val="21"/>
                    </w:rPr>
                  </w:pPr>
                  <w:r>
                    <w:rPr>
                      <w:color w:val="auto"/>
                      <w:szCs w:val="21"/>
                    </w:rPr>
                    <w:t>施工期</w:t>
                  </w:r>
                </w:p>
              </w:tc>
              <w:tc>
                <w:tcPr>
                  <w:tcW w:w="935" w:type="pct"/>
                  <w:vAlign w:val="center"/>
                </w:tcPr>
                <w:p w14:paraId="31582855">
                  <w:pPr>
                    <w:adjustRightInd w:val="0"/>
                    <w:snapToGrid w:val="0"/>
                    <w:jc w:val="center"/>
                    <w:rPr>
                      <w:color w:val="auto"/>
                      <w:szCs w:val="21"/>
                    </w:rPr>
                  </w:pPr>
                  <w:r>
                    <w:rPr>
                      <w:color w:val="auto"/>
                      <w:szCs w:val="21"/>
                    </w:rPr>
                    <w:t>厂界四周</w:t>
                  </w:r>
                </w:p>
              </w:tc>
              <w:tc>
                <w:tcPr>
                  <w:tcW w:w="1221" w:type="pct"/>
                  <w:vAlign w:val="center"/>
                </w:tcPr>
                <w:p w14:paraId="23CAD334">
                  <w:pPr>
                    <w:adjustRightInd w:val="0"/>
                    <w:snapToGrid w:val="0"/>
                    <w:jc w:val="center"/>
                    <w:rPr>
                      <w:color w:val="auto"/>
                      <w:szCs w:val="21"/>
                    </w:rPr>
                  </w:pPr>
                  <w:r>
                    <w:rPr>
                      <w:color w:val="auto"/>
                      <w:szCs w:val="21"/>
                    </w:rPr>
                    <w:t>dB(A)</w:t>
                  </w:r>
                </w:p>
              </w:tc>
              <w:tc>
                <w:tcPr>
                  <w:tcW w:w="1031" w:type="pct"/>
                  <w:vAlign w:val="center"/>
                </w:tcPr>
                <w:p w14:paraId="61B70EAC">
                  <w:pPr>
                    <w:adjustRightInd w:val="0"/>
                    <w:snapToGrid w:val="0"/>
                    <w:jc w:val="center"/>
                    <w:rPr>
                      <w:color w:val="auto"/>
                      <w:szCs w:val="21"/>
                    </w:rPr>
                  </w:pPr>
                  <w:r>
                    <w:rPr>
                      <w:color w:val="auto"/>
                      <w:szCs w:val="21"/>
                    </w:rPr>
                    <w:t>70</w:t>
                  </w:r>
                </w:p>
              </w:tc>
              <w:tc>
                <w:tcPr>
                  <w:tcW w:w="1031" w:type="pct"/>
                  <w:vAlign w:val="center"/>
                </w:tcPr>
                <w:p w14:paraId="58CAA527">
                  <w:pPr>
                    <w:adjustRightInd w:val="0"/>
                    <w:snapToGrid w:val="0"/>
                    <w:jc w:val="center"/>
                    <w:rPr>
                      <w:color w:val="auto"/>
                      <w:szCs w:val="21"/>
                    </w:rPr>
                  </w:pPr>
                  <w:r>
                    <w:rPr>
                      <w:color w:val="auto"/>
                      <w:szCs w:val="21"/>
                    </w:rPr>
                    <w:t>55</w:t>
                  </w:r>
                </w:p>
              </w:tc>
            </w:tr>
            <w:tr w14:paraId="0CD12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90" w:hRule="atLeast"/>
                <w:jc w:val="center"/>
              </w:trPr>
              <w:tc>
                <w:tcPr>
                  <w:tcW w:w="778" w:type="pct"/>
                  <w:vAlign w:val="center"/>
                </w:tcPr>
                <w:p w14:paraId="1EBA7920">
                  <w:pPr>
                    <w:adjustRightInd w:val="0"/>
                    <w:snapToGrid w:val="0"/>
                    <w:jc w:val="center"/>
                    <w:rPr>
                      <w:color w:val="auto"/>
                      <w:szCs w:val="21"/>
                    </w:rPr>
                  </w:pPr>
                  <w:r>
                    <w:rPr>
                      <w:color w:val="auto"/>
                      <w:szCs w:val="21"/>
                    </w:rPr>
                    <w:t>营运期</w:t>
                  </w:r>
                </w:p>
              </w:tc>
              <w:tc>
                <w:tcPr>
                  <w:tcW w:w="935" w:type="pct"/>
                  <w:vAlign w:val="center"/>
                </w:tcPr>
                <w:p w14:paraId="1C149E43">
                  <w:pPr>
                    <w:adjustRightInd w:val="0"/>
                    <w:snapToGrid w:val="0"/>
                    <w:jc w:val="center"/>
                    <w:rPr>
                      <w:color w:val="auto"/>
                      <w:szCs w:val="21"/>
                    </w:rPr>
                  </w:pPr>
                  <w:r>
                    <w:rPr>
                      <w:color w:val="auto"/>
                      <w:szCs w:val="21"/>
                    </w:rPr>
                    <w:t>厂界</w:t>
                  </w:r>
                </w:p>
              </w:tc>
              <w:tc>
                <w:tcPr>
                  <w:tcW w:w="1221" w:type="pct"/>
                  <w:vAlign w:val="center"/>
                </w:tcPr>
                <w:p w14:paraId="7B4E4AE1">
                  <w:pPr>
                    <w:jc w:val="center"/>
                    <w:rPr>
                      <w:color w:val="auto"/>
                      <w:szCs w:val="21"/>
                    </w:rPr>
                  </w:pPr>
                  <w:r>
                    <w:rPr>
                      <w:color w:val="auto"/>
                      <w:szCs w:val="21"/>
                    </w:rPr>
                    <w:t>dB(A)</w:t>
                  </w:r>
                </w:p>
              </w:tc>
              <w:tc>
                <w:tcPr>
                  <w:tcW w:w="1031" w:type="pct"/>
                  <w:vAlign w:val="center"/>
                </w:tcPr>
                <w:p w14:paraId="4105463E">
                  <w:pPr>
                    <w:adjustRightInd w:val="0"/>
                    <w:snapToGrid w:val="0"/>
                    <w:jc w:val="center"/>
                    <w:rPr>
                      <w:color w:val="auto"/>
                      <w:szCs w:val="21"/>
                    </w:rPr>
                  </w:pPr>
                  <w:r>
                    <w:rPr>
                      <w:color w:val="auto"/>
                      <w:szCs w:val="21"/>
                      <w:rFonts w:hint="eastAsia"/>
                    </w:rPr>
                    <w:t>60</w:t>
                  </w:r>
                </w:p>
              </w:tc>
              <w:tc>
                <w:tcPr>
                  <w:tcW w:w="1031" w:type="pct"/>
                  <w:vAlign w:val="center"/>
                </w:tcPr>
                <w:p w14:paraId="20B45D04">
                  <w:pPr>
                    <w:adjustRightInd w:val="0"/>
                    <w:snapToGrid w:val="0"/>
                    <w:jc w:val="center"/>
                    <w:rPr>
                      <w:color w:val="auto"/>
                      <w:szCs w:val="21"/>
                    </w:rPr>
                  </w:pPr>
                  <w:r>
                    <w:rPr>
                      <w:color w:val="auto"/>
                      <w:szCs w:val="21"/>
                      <w:rFonts w:hint="eastAsia"/>
                    </w:rPr>
                    <w:t>50</w:t>
                  </w:r>
                </w:p>
              </w:tc>
            </w:tr>
          </w:tbl>
          <w:p w14:paraId="2C3ACD0F">
            <w:pPr>
              <w:contextualSpacing/>
              <w:spacing w:line="360" w:lineRule="auto"/>
              <w:ind w:firstLine="482" w:firstLineChars="200"/>
              <w:rPr>
                <w:b w:val="1"/>
                <w:color w:val="auto"/>
                <w:sz w:val="24"/>
              </w:rPr>
            </w:pPr>
            <w:r>
              <w:rPr>
                <w:b w:val="1"/>
                <w:color w:val="auto"/>
                <w:sz w:val="24"/>
              </w:rPr>
              <w:t>3、固体废物</w:t>
            </w:r>
          </w:p>
          <w:p w14:paraId="0E502AB1">
            <w:pPr>
              <w:contextualSpacing/>
              <w:spacing w:line="360" w:lineRule="auto"/>
              <w:ind w:firstLine="480" w:firstLineChars="200"/>
              <w:rPr>
                <w:color w:val="auto"/>
                <w:sz w:val="24"/>
                <w:bCs/>
                <w:kern w:val="0"/>
              </w:rPr>
            </w:pPr>
            <w:r>
              <w:rPr>
                <w:color w:val="auto"/>
                <w:sz w:val="24"/>
                <w:rFonts w:eastAsiaTheme="minorEastAsia"/>
              </w:rPr>
              <w:t>一般工业固体废物按照《一般工业固体废物贮存和填埋污染控制标准》（GB18599-2020），</w:t>
            </w:r>
            <w:r>
              <w:rPr>
                <w:color w:val="auto"/>
                <w:sz w:val="24"/>
                <w:bCs/>
                <w:kern w:val="0"/>
                <w:rFonts w:hint="eastAsia" w:hAnsiTheme="minorEastAsia" w:eastAsiaTheme="minorEastAsia"/>
              </w:rPr>
              <w:t>固体废物分类代码执行《固体废物分类与代码目录》</w:t>
            </w:r>
            <w:r>
              <w:rPr>
                <w:color w:val="auto"/>
                <w:sz w:val="24"/>
                <w:bCs/>
                <w:kern w:val="0"/>
              </w:rPr>
              <w:t>。危险废物的暂存按照《危险废物贮存污染控制标准》（GB18597-20</w:t>
            </w:r>
            <w:r>
              <w:rPr>
                <w:color w:val="auto"/>
                <w:sz w:val="24"/>
                <w:bCs/>
                <w:kern w:val="0"/>
                <w:rFonts w:hint="eastAsia"/>
              </w:rPr>
              <w:t>23</w:t>
            </w:r>
            <w:r>
              <w:rPr>
                <w:color w:val="auto"/>
                <w:sz w:val="24"/>
                <w:bCs/>
                <w:kern w:val="0"/>
              </w:rPr>
              <w:t>）的规定执行。</w:t>
            </w:r>
          </w:p>
        </w:tc>
      </w:tr>
      <w:tr w14:paraId="6111B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3525" w:hRule="atLeast"/>
          <w:jc w:val="center"/>
        </w:trPr>
        <w:tc>
          <w:tcPr>
            <w:tcW w:w="996" w:type="dxa"/>
            <w:vAlign w:val="center"/>
          </w:tcPr>
          <w:p w14:paraId="6107E791">
            <w:pPr>
              <w:adjustRightInd w:val="0"/>
              <w:snapToGrid w:val="0"/>
              <w:jc w:val="center"/>
              <w:rPr>
                <w:color w:val="auto"/>
                <w:sz w:val="24"/>
                <w:kern w:val="0"/>
              </w:rPr>
            </w:pPr>
            <w:r>
              <w:rPr>
                <w:color w:val="auto"/>
                <w:sz w:val="24"/>
                <w:kern w:val="0"/>
              </w:rPr>
              <w:t>总量</w:t>
            </w:r>
          </w:p>
          <w:p w14:paraId="1E630D6F">
            <w:pPr>
              <w:adjustRightInd w:val="0"/>
              <w:snapToGrid w:val="0"/>
              <w:jc w:val="center"/>
              <w:rPr>
                <w:color w:val="auto"/>
                <w:sz w:val="24"/>
                <w:kern w:val="0"/>
              </w:rPr>
            </w:pPr>
            <w:r>
              <w:rPr>
                <w:color w:val="auto"/>
                <w:sz w:val="24"/>
                <w:kern w:val="0"/>
              </w:rPr>
              <w:t>控制</w:t>
            </w:r>
          </w:p>
          <w:p w14:paraId="4B11FBC5">
            <w:pPr>
              <w:adjustRightInd w:val="0"/>
              <w:snapToGrid w:val="0"/>
              <w:jc w:val="center"/>
              <w:rPr>
                <w:color w:val="auto"/>
                <w:sz w:val="24"/>
                <w:kern w:val="0"/>
              </w:rPr>
            </w:pPr>
            <w:r>
              <w:rPr>
                <w:color w:val="auto"/>
                <w:sz w:val="24"/>
                <w:kern w:val="0"/>
              </w:rPr>
              <w:t>指标</w:t>
            </w:r>
          </w:p>
        </w:tc>
        <w:tc>
          <w:tcPr>
            <w:tcW w:w="8329" w:type="dxa"/>
            <w:vAlign w:val="center"/>
          </w:tcPr>
          <w:p w14:paraId="2475B41A">
            <w:pPr>
              <w:pStyle w:val="59"/>
              <w:jc w:val="left"/>
              <w:contextualSpacing/>
              <w:spacing w:afterLines="0" w:beforeLines="0" w:line="360" w:lineRule="auto"/>
              <w:ind w:firstLine="480"/>
              <w:rPr>
                <w:color w:val="auto"/>
              </w:rPr>
            </w:pPr>
            <w:r>
              <w:rPr>
                <w:color w:val="auto"/>
              </w:rPr>
              <w:t>在满足浓度达标的前提下，实行总量控制。本项目总量控制指标如下表：</w:t>
            </w:r>
          </w:p>
          <w:p w14:paraId="18B8C79D">
            <w:pPr>
              <w:jc w:val="right"/>
              <w:rPr>
                <w:b w:val="1"/>
                <w:color w:val="auto"/>
                <w:sz w:val="24"/>
              </w:rPr>
            </w:pPr>
            <w:r>
              <w:rPr>
                <w:b w:val="1"/>
                <w:color w:val="auto"/>
                <w:sz w:val="24"/>
              </w:rPr>
              <w:t>表3-</w:t>
            </w:r>
            <w:r>
              <w:rPr>
                <w:b w:val="1"/>
                <w:color w:val="auto"/>
                <w:sz w:val="24"/>
                <w:lang w:val="en-US" w:eastAsia="zh-CN"/>
                <w:rFonts w:hint="eastAsia"/>
              </w:rPr>
              <w:t>9</w:t>
            </w:r>
            <w:r>
              <w:rPr>
                <w:b w:val="1"/>
                <w:color w:val="auto"/>
                <w:sz w:val="24"/>
              </w:rPr>
              <w:t xml:space="preserve"> 项目排放总量控制表               单位：t/a</w:t>
            </w:r>
          </w:p>
          <w:tbl>
            <w:tblPr>
              <w:tblStyle w:val="27"/>
              <w:tblW w:w="5000" w:type="pct"/>
              <w:jc w:val="center"/>
              <w:tblLayout w:type="autofit"/>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type="dxa" w:w="0.000000"/>
                <w:bottom w:type="dxa" w:w="0.000000"/>
                <w:left w:type="dxa" w:w="108.000000"/>
                <w:right w:type="dxa" w:w="108.000000"/>
              </w:tblCellMar>
            </w:tblPr>
            <w:tblGrid>
              <w:gridCol w:w="2997.000000"/>
              <w:gridCol w:w="2859.000000"/>
              <w:gridCol w:w="2252.000000"/>
            </w:tblGrid>
            <w:tr w14:paraId="7F015A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type="dxa" w:w="0.000000"/>
                  <w:bottom w:type="dxa" w:w="0.000000"/>
                  <w:left w:type="dxa" w:w="108.000000"/>
                  <w:right w:type="dxa" w:w="108.000000"/>
                </w:tblCellMar>
              </w:tblPrEx>
              <w:trPr>
                <w:trHeight w:val="349" w:hRule="atLeast"/>
                <w:jc w:val="center"/>
              </w:trPr>
              <w:tc>
                <w:tcPr>
                  <w:tcW w:w="1848" w:type="pct"/>
                  <w:vAlign w:val="center"/>
                </w:tcPr>
                <w:p w14:paraId="508B98E6">
                  <w:pPr>
                    <w:jc w:val="center"/>
                    <w:rPr>
                      <w:color w:val="auto"/>
                      <w:szCs w:val="21"/>
                      <w:rFonts w:eastAsiaTheme="minorEastAsia"/>
                    </w:rPr>
                  </w:pPr>
                  <w:r>
                    <w:rPr>
                      <w:color w:val="auto"/>
                      <w:szCs w:val="21"/>
                      <w:rFonts w:eastAsiaTheme="minorEastAsia"/>
                    </w:rPr>
                    <w:t>总量控制指标</w:t>
                  </w:r>
                </w:p>
              </w:tc>
              <w:tc>
                <w:tcPr>
                  <w:tcW w:w="1763" w:type="pct"/>
                  <w:vAlign w:val="center"/>
                  <w:tcBorders>
                    <w:right w:val="single" w:color="auto" w:sz="4" w:space="0"/>
                  </w:tcBorders>
                </w:tcPr>
                <w:p w14:paraId="7853E3BE">
                  <w:pPr>
                    <w:jc w:val="center"/>
                    <w:rPr>
                      <w:color w:val="auto"/>
                      <w:szCs w:val="21"/>
                      <w:rFonts w:eastAsiaTheme="minorEastAsia"/>
                    </w:rPr>
                  </w:pPr>
                  <w:r>
                    <w:rPr>
                      <w:color w:val="auto"/>
                      <w:szCs w:val="21"/>
                      <w:rFonts w:eastAsiaTheme="minorEastAsia"/>
                    </w:rPr>
                    <w:t>预测排放量</w:t>
                  </w:r>
                </w:p>
              </w:tc>
              <w:tc>
                <w:tcPr>
                  <w:tcW w:w="1389" w:type="pct"/>
                  <w:vAlign w:val="center"/>
                  <w:tcBorders>
                    <w:left w:val="single" w:color="auto" w:sz="4" w:space="0"/>
                  </w:tcBorders>
                </w:tcPr>
                <w:p w14:paraId="05154659">
                  <w:pPr>
                    <w:jc w:val="center"/>
                    <w:rPr>
                      <w:color w:val="auto"/>
                      <w:szCs w:val="21"/>
                      <w:rFonts w:eastAsiaTheme="minorEastAsia"/>
                    </w:rPr>
                  </w:pPr>
                  <w:r>
                    <w:rPr>
                      <w:color w:val="auto"/>
                      <w:szCs w:val="21"/>
                      <w:rFonts w:eastAsiaTheme="minorEastAsia"/>
                    </w:rPr>
                    <w:t>核定排放总量</w:t>
                  </w:r>
                </w:p>
              </w:tc>
            </w:tr>
            <w:tr w14:paraId="6E0B36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type="dxa" w:w="0.000000"/>
                  <w:bottom w:type="dxa" w:w="0.000000"/>
                  <w:left w:type="dxa" w:w="108.000000"/>
                  <w:right w:type="dxa" w:w="108.000000"/>
                </w:tblCellMar>
              </w:tblPrEx>
              <w:trPr>
                <w:trHeight w:val="142" w:hRule="atLeast"/>
                <w:jc w:val="center"/>
              </w:trPr>
              <w:tc>
                <w:tcPr>
                  <w:tcW w:w="1848" w:type="pct"/>
                  <w:vAlign w:val="center"/>
                </w:tcPr>
                <w:p w14:paraId="7E9ED9C1">
                  <w:pPr>
                    <w:jc w:val="center"/>
                    <w:rPr>
                      <w:color w:val="auto"/>
                      <w:szCs w:val="21"/>
                      <w:rFonts w:eastAsiaTheme="minorEastAsia"/>
                    </w:rPr>
                  </w:pPr>
                  <w:r>
                    <w:rPr>
                      <w:color w:val="auto"/>
                      <w:szCs w:val="21"/>
                      <w:rFonts w:eastAsiaTheme="minorEastAsia"/>
                    </w:rPr>
                    <w:t>颗粒物</w:t>
                  </w:r>
                </w:p>
              </w:tc>
              <w:tc>
                <w:tcPr>
                  <w:tcW w:w="2958" w:type="dxa"/>
                  <w:vAlign w:val="center"/>
                  <w:tcBorders>
                    <w:right w:val="single" w:color="auto" w:sz="4" w:space="0"/>
                  </w:tcBorders>
                </w:tcPr>
                <w:p w14:paraId="6437E5E0">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eastAsia"/>
                    </w:rPr>
                    <w:t>4.6719</w:t>
                  </w:r>
                </w:p>
              </w:tc>
              <w:tc>
                <w:tcPr>
                  <w:tcW w:w="2330" w:type="dxa"/>
                  <w:vAlign w:val="center"/>
                  <w:tcBorders>
                    <w:left w:val="single" w:color="auto" w:sz="4" w:space="0"/>
                  </w:tcBorders>
                </w:tcPr>
                <w:p w14:paraId="753B35ED">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eastAsia"/>
                    </w:rPr>
                    <w:t>4.6719</w:t>
                  </w:r>
                </w:p>
              </w:tc>
            </w:tr>
            <w:tr w14:paraId="790AE5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type="dxa" w:w="0.000000"/>
                  <w:bottom w:type="dxa" w:w="0.000000"/>
                  <w:left w:type="dxa" w:w="108.000000"/>
                  <w:right w:type="dxa" w:w="108.000000"/>
                </w:tblCellMar>
              </w:tblPrEx>
              <w:trPr>
                <w:trHeight w:val="142" w:hRule="atLeast"/>
                <w:jc w:val="center"/>
              </w:trPr>
              <w:tc>
                <w:tcPr>
                  <w:tcW w:w="1848" w:type="pct"/>
                  <w:vAlign w:val="center"/>
                </w:tcPr>
                <w:p w14:paraId="7A092F50">
                  <w:pPr>
                    <w:jc w:val="center"/>
                    <w:rPr>
                      <w:color w:val="auto"/>
                      <w:szCs w:val="21"/>
                      <w:rFonts w:eastAsiaTheme="minorEastAsia"/>
                    </w:rPr>
                  </w:pPr>
                  <w:r>
                    <w:rPr>
                      <w:color w:val="auto"/>
                      <w:szCs w:val="21"/>
                      <w:rFonts w:eastAsiaTheme="minorEastAsia"/>
                    </w:rPr>
                    <w:t>SO</w:t>
                  </w:r>
                  <w:r>
                    <w:rPr>
                      <w:vertAlign w:val="subscript"/>
                      <w:color w:val="auto"/>
                      <w:szCs w:val="21"/>
                      <w:rFonts w:eastAsiaTheme="minorEastAsia"/>
                    </w:rPr>
                    <w:t>2</w:t>
                  </w:r>
                </w:p>
              </w:tc>
              <w:tc>
                <w:tcPr>
                  <w:tcW w:w="2958" w:type="dxa"/>
                  <w:vAlign w:val="center"/>
                  <w:tcBorders>
                    <w:right w:val="single" w:color="auto" w:sz="4" w:space="0"/>
                  </w:tcBorders>
                </w:tcPr>
                <w:p w14:paraId="0A12EDF4">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0.0117</w:t>
                  </w:r>
                </w:p>
              </w:tc>
              <w:tc>
                <w:tcPr>
                  <w:tcW w:w="2330" w:type="dxa"/>
                  <w:vAlign w:val="center"/>
                  <w:tcBorders>
                    <w:left w:val="single" w:color="auto" w:sz="4" w:space="0"/>
                  </w:tcBorders>
                </w:tcPr>
                <w:p w14:paraId="3D87DC55">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0.0117</w:t>
                  </w:r>
                </w:p>
              </w:tc>
            </w:tr>
            <w:tr w14:paraId="4DD207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type="dxa" w:w="0.000000"/>
                  <w:bottom w:type="dxa" w:w="0.000000"/>
                  <w:left w:type="dxa" w:w="108.000000"/>
                  <w:right w:type="dxa" w:w="108.000000"/>
                </w:tblCellMar>
              </w:tblPrEx>
              <w:trPr>
                <w:trHeight w:val="142" w:hRule="atLeast"/>
                <w:jc w:val="center"/>
              </w:trPr>
              <w:tc>
                <w:tcPr>
                  <w:tcW w:w="1848" w:type="pct"/>
                  <w:vAlign w:val="center"/>
                </w:tcPr>
                <w:p w14:paraId="7D52F1BE">
                  <w:pPr>
                    <w:jc w:val="center"/>
                    <w:rPr>
                      <w:color w:val="auto"/>
                      <w:szCs w:val="21"/>
                      <w:rFonts w:eastAsiaTheme="minorEastAsia"/>
                    </w:rPr>
                  </w:pPr>
                  <w:r>
                    <w:rPr>
                      <w:color w:val="auto"/>
                      <w:szCs w:val="21"/>
                      <w:rFonts w:eastAsiaTheme="minorEastAsia"/>
                    </w:rPr>
                    <w:t>NO</w:t>
                  </w:r>
                  <w:r>
                    <w:rPr>
                      <w:vertAlign w:val="subscript"/>
                      <w:color w:val="auto"/>
                      <w:szCs w:val="21"/>
                      <w:rFonts w:eastAsiaTheme="minorEastAsia"/>
                    </w:rPr>
                    <w:t>X</w:t>
                  </w:r>
                </w:p>
              </w:tc>
              <w:tc>
                <w:tcPr>
                  <w:tcW w:w="2958" w:type="dxa"/>
                  <w:vAlign w:val="center"/>
                  <w:tcBorders>
                    <w:right w:val="single" w:color="auto" w:sz="4" w:space="0"/>
                  </w:tcBorders>
                </w:tcPr>
                <w:p w14:paraId="79A377B5">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3.078</w:t>
                  </w:r>
                </w:p>
              </w:tc>
              <w:tc>
                <w:tcPr>
                  <w:tcW w:w="2330" w:type="dxa"/>
                  <w:vAlign w:val="center"/>
                  <w:tcBorders>
                    <w:left w:val="single" w:color="auto" w:sz="4" w:space="0"/>
                  </w:tcBorders>
                </w:tcPr>
                <w:p w14:paraId="2F958B11">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3.078</w:t>
                  </w:r>
                </w:p>
              </w:tc>
            </w:tr>
            <w:tr w14:paraId="3CDE4B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type="dxa" w:w="0.000000"/>
                  <w:bottom w:type="dxa" w:w="0.000000"/>
                  <w:left w:type="dxa" w:w="108.000000"/>
                  <w:right w:type="dxa" w:w="108.000000"/>
                </w:tblCellMar>
              </w:tblPrEx>
              <w:trPr>
                <w:trHeight w:val="142" w:hRule="atLeast"/>
                <w:jc w:val="center"/>
              </w:trPr>
              <w:tc>
                <w:tcPr>
                  <w:tcW w:w="1848" w:type="pct"/>
                  <w:vAlign w:val="center"/>
                </w:tcPr>
                <w:p w14:paraId="030D298A">
                  <w:pPr>
                    <w:jc w:val="center"/>
                    <w:rPr>
                      <w:color w:val="auto"/>
                      <w:szCs w:val="21"/>
                      <w:rFonts w:eastAsiaTheme="minorEastAsia"/>
                    </w:rPr>
                  </w:pPr>
                  <w:r>
                    <w:rPr>
                      <w:color w:val="auto"/>
                      <w:szCs w:val="21"/>
                      <w:rFonts w:eastAsiaTheme="minorEastAsia"/>
                    </w:rPr>
                    <w:t>非甲烷总烃</w:t>
                  </w:r>
                </w:p>
              </w:tc>
              <w:tc>
                <w:tcPr>
                  <w:tcW w:w="2958" w:type="dxa"/>
                  <w:vAlign w:val="center"/>
                  <w:tcBorders>
                    <w:right w:val="single" w:color="auto" w:sz="4" w:space="0"/>
                  </w:tcBorders>
                </w:tcPr>
                <w:p w14:paraId="74B0246C">
                  <w:pPr>
                    <w:jc w:val="center"/>
                    <w:contextualSpacing/>
                    <w:rPr>
                      <w:color w:val="auto"/>
                      <w:szCs w:val="21"/>
                    </w:rPr>
                  </w:pPr>
                  <w:r>
                    <w:rPr>
                      <w:color w:val="auto"/>
                      <w:sz w:val="21"/>
                      <w:szCs w:val="21"/>
                      <w:rFonts w:ascii="Times New Roman" w:hAnsi="Times New Roman" w:cs="Times New Roman" w:hint="default"/>
                    </w:rPr>
                    <w:t>0.0</w:t>
                  </w:r>
                  <w:r>
                    <w:rPr>
                      <w:color w:val="auto"/>
                      <w:sz w:val="21"/>
                      <w:lang w:val="en-US" w:eastAsia="zh-CN"/>
                      <w:szCs w:val="21"/>
                      <w:rFonts w:ascii="Times New Roman" w:hAnsi="Times New Roman" w:cs="Times New Roman" w:hint="default"/>
                    </w:rPr>
                    <w:t>087</w:t>
                  </w:r>
                </w:p>
              </w:tc>
              <w:tc>
                <w:tcPr>
                  <w:tcW w:w="2330" w:type="dxa"/>
                  <w:vAlign w:val="center"/>
                  <w:tcBorders>
                    <w:left w:val="single" w:color="auto" w:sz="4" w:space="0"/>
                  </w:tcBorders>
                </w:tcPr>
                <w:p w14:paraId="0DDF15CF">
                  <w:pPr>
                    <w:jc w:val="center"/>
                    <w:contextualSpacing/>
                    <w:rPr>
                      <w:color w:val="auto"/>
                      <w:szCs w:val="21"/>
                    </w:rPr>
                  </w:pPr>
                  <w:r>
                    <w:rPr>
                      <w:color w:val="auto"/>
                      <w:sz w:val="21"/>
                      <w:szCs w:val="21"/>
                      <w:rFonts w:ascii="Times New Roman" w:hAnsi="Times New Roman" w:cs="Times New Roman" w:hint="default"/>
                    </w:rPr>
                    <w:t>0.0</w:t>
                  </w:r>
                  <w:r>
                    <w:rPr>
                      <w:color w:val="auto"/>
                      <w:sz w:val="21"/>
                      <w:lang w:val="en-US" w:eastAsia="zh-CN"/>
                      <w:szCs w:val="21"/>
                      <w:rFonts w:ascii="Times New Roman" w:hAnsi="Times New Roman" w:cs="Times New Roman" w:hint="default"/>
                    </w:rPr>
                    <w:t>087</w:t>
                  </w:r>
                </w:p>
              </w:tc>
            </w:tr>
          </w:tbl>
          <w:p w14:paraId="07C6D4CF">
            <w:pPr>
              <w:contextualSpacing/>
              <w:spacing w:line="360" w:lineRule="auto"/>
              <w:rPr>
                <w:color w:val="auto"/>
                <w:kern w:val="0"/>
                <w:szCs w:val="21"/>
              </w:rPr>
            </w:pPr>
          </w:p>
          <w:p w14:paraId="26EF8AE3">
            <w:pPr>
              <w:contextualSpacing/>
              <w:spacing w:line="360" w:lineRule="auto"/>
              <w:rPr>
                <w:color w:val="auto"/>
                <w:kern w:val="0"/>
                <w:szCs w:val="21"/>
              </w:rPr>
            </w:pPr>
          </w:p>
          <w:p w14:paraId="60B399F2">
            <w:pPr>
              <w:contextualSpacing/>
              <w:spacing w:line="360" w:lineRule="auto"/>
              <w:rPr>
                <w:color w:val="auto"/>
                <w:kern w:val="0"/>
                <w:szCs w:val="21"/>
              </w:rPr>
            </w:pPr>
          </w:p>
          <w:p w14:paraId="6FA7BEC8">
            <w:pPr>
              <w:contextualSpacing/>
              <w:spacing w:line="360" w:lineRule="auto"/>
              <w:rPr>
                <w:color w:val="auto"/>
                <w:kern w:val="0"/>
                <w:szCs w:val="21"/>
              </w:rPr>
            </w:pPr>
          </w:p>
        </w:tc>
      </w:tr>
    </w:tbl>
    <w:p w14:paraId="779E0C07">
      <w:pPr>
        <w:pStyle w:val="22"/>
        <w:jc w:val="center"/>
        <w:outlineLvl w:val="0"/>
        <w:rPr>
          <w:color w:val="auto"/>
          <w:sz w:val="30"/>
          <w:szCs w:val="30"/>
          <w:rFonts w:ascii="Times New Roman" w:hAnsi="Times New Roman" w:eastAsia="黑体"/>
        </w:rPr>
      </w:pPr>
      <w:r>
        <w:br w:type="page"/>
        <w:rPr>
          <w:color w:val="auto"/>
          <w:sz w:val="36"/>
          <w:szCs w:val="36"/>
          <w:rFonts w:ascii="Times New Roman" w:hAnsi="Times New Roman" w:eastAsia="黑体"/>
        </w:rPr>
      </w:r>
      <w:bookmarkStart w:id="17" w:name="_Toc68775755"/>
      <w:r>
        <w:rPr>
          <w:color w:val="auto"/>
          <w:sz w:val="30"/>
          <w:szCs w:val="30"/>
          <w:rFonts w:ascii="Times New Roman" w:hAnsi="Times New Roman" w:eastAsia="黑体"/>
        </w:rPr>
        <w:t>四、主要环境影响和保护措施</w:t>
      </w:r>
      <w:bookmarkEnd w:id="17"/>
    </w:p>
    <w:tbl>
      <w:tblPr>
        <w:tblStyle w:val="27"/>
        <w:tblW w:w="0" w:type="auto"/>
        <w:jc w:val="center"/>
        <w:tblLayout w:type="fixed"/>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
      <w:tblGrid>
        <w:gridCol w:w="736.000000"/>
        <w:gridCol w:w="8605.000000"/>
      </w:tblGrid>
      <w:tr w14:paraId="15A88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19" w:hRule="atLeast"/>
          <w:jc w:val="center"/>
        </w:trPr>
        <w:tc>
          <w:tcPr>
            <w:tcW w:w="736" w:type="dxa"/>
            <w:vAlign w:val="center"/>
            <w:tcMar>
              <w:left w:type="dxa" w:w="28.000000"/>
              <w:right w:type="dxa" w:w="28.000000"/>
            </w:tcMar>
          </w:tcPr>
          <w:p w14:paraId="31E2FAAA">
            <w:pPr>
              <w:adjustRightInd w:val="0"/>
              <w:snapToGrid w:val="0"/>
              <w:jc w:val="center"/>
              <w:rPr>
                <w:color w:val="auto"/>
                <w:highlight w:val="yellow"/>
                <w:sz w:val="24"/>
                <w:kern w:val="0"/>
              </w:rPr>
            </w:pPr>
            <w:r>
              <w:rPr>
                <w:color w:val="auto"/>
                <w:sz w:val="24"/>
                <w:kern w:val="0"/>
              </w:rPr>
              <w:t>施工期环境保护措施</w:t>
            </w:r>
          </w:p>
        </w:tc>
        <w:tc>
          <w:tcPr>
            <w:tcW w:w="8605" w:type="dxa"/>
            <w:vAlign w:val="center"/>
          </w:tcPr>
          <w:p w14:paraId="71DB89B3">
            <w:pPr>
              <w:contextualSpacing/>
              <w:spacing w:line="360" w:lineRule="auto"/>
              <w:ind w:firstLine="482" w:firstLineChars="200"/>
              <w:rPr>
                <w:b w:val="1"/>
                <w:color w:val="auto"/>
                <w:sz w:val="24"/>
                <w:bCs/>
                <w:rFonts w:eastAsiaTheme="minorEastAsia"/>
              </w:rPr>
            </w:pPr>
            <w:r>
              <w:rPr>
                <w:b w:val="1"/>
                <w:color w:val="auto"/>
                <w:sz w:val="24"/>
                <w:bCs/>
                <w:rFonts w:hint="eastAsia" w:eastAsiaTheme="minorEastAsia"/>
              </w:rPr>
              <w:t>一、废水</w:t>
            </w:r>
          </w:p>
          <w:p w14:paraId="47679CBD">
            <w:pPr>
              <w:contextualSpacing/>
              <w:spacing w:line="360" w:lineRule="auto"/>
              <w:ind w:firstLine="480" w:firstLineChars="200"/>
              <w:rPr>
                <w:color w:val="auto"/>
                <w:sz w:val="24"/>
                <w:bCs/>
                <w:rFonts w:eastAsiaTheme="minorEastAsia"/>
              </w:rPr>
            </w:pPr>
            <w:r>
              <w:rPr>
                <w:color w:val="auto"/>
                <w:sz w:val="24"/>
                <w:bCs/>
                <w:rFonts w:hint="eastAsia" w:eastAsiaTheme="minorEastAsia"/>
              </w:rPr>
              <w:t>本项目施工期间，施工单位严格执行《建设工程施工场地文明施工及环境管理暂行规定》，对地面污水的排放进行组织设计，严禁乱排和污染道路、环境等，严禁将污水直接排放。施工时产生的泥浆水必须经沉沙池处理后回用到施工中。在回填土堆放场、施工泥浆产生点设置临时沉沙池，含泥沙雨水、泥浆水经沉沙池沉淀后用于场地洒水抑尘。施工人员生活污水排放量为</w:t>
            </w:r>
            <w:r>
              <w:rPr>
                <w:color w:val="auto"/>
                <w:sz w:val="24"/>
                <w:bCs/>
                <w:rFonts w:eastAsiaTheme="minorEastAsia"/>
              </w:rPr>
              <w:t>0.</w:t>
            </w:r>
            <w:r>
              <w:rPr>
                <w:color w:val="auto"/>
                <w:sz w:val="24"/>
                <w:bCs/>
                <w:rFonts w:hint="eastAsia" w:eastAsiaTheme="minorEastAsia"/>
              </w:rPr>
              <w:t>96</w:t>
            </w:r>
            <w:r>
              <w:rPr>
                <w:color w:val="auto"/>
                <w:sz w:val="24"/>
                <w:bCs/>
                <w:rFonts w:eastAsiaTheme="minorEastAsia"/>
              </w:rPr>
              <w:t>t/d</w:t>
            </w:r>
            <w:r>
              <w:rPr>
                <w:color w:val="auto"/>
                <w:sz w:val="24"/>
                <w:bCs/>
                <w:rFonts w:hint="eastAsia" w:eastAsiaTheme="minorEastAsia"/>
              </w:rPr>
              <w:t>，生活污水排入防渗旱厕，定期清掏，外运堆肥，不外排。由于施工期间水量小、时间短，施工废水经处理后不会对周围地表水体产生较大的不良影响。</w:t>
            </w:r>
          </w:p>
          <w:p w14:paraId="6E697B80">
            <w:pPr>
              <w:contextualSpacing/>
              <w:spacing w:line="360" w:lineRule="auto"/>
              <w:ind w:firstLine="482" w:firstLineChars="200"/>
              <w:rPr>
                <w:b w:val="1"/>
                <w:color w:val="auto"/>
                <w:sz w:val="24"/>
                <w:bCs/>
                <w:rFonts w:eastAsiaTheme="minorEastAsia"/>
              </w:rPr>
            </w:pPr>
            <w:r>
              <w:rPr>
                <w:b w:val="1"/>
                <w:color w:val="auto"/>
                <w:sz w:val="24"/>
                <w:bCs/>
                <w:rFonts w:hint="eastAsia" w:eastAsiaTheme="minorEastAsia"/>
              </w:rPr>
              <w:t>二、废气</w:t>
            </w:r>
          </w:p>
          <w:p w14:paraId="0C17064B">
            <w:pPr>
              <w:contextualSpacing/>
              <w:spacing w:line="360" w:lineRule="auto"/>
              <w:ind w:firstLine="480" w:firstLineChars="200"/>
              <w:rPr>
                <w:color w:val="auto"/>
                <w:sz w:val="24"/>
                <w:bCs/>
                <w:rFonts w:eastAsiaTheme="minorEastAsia"/>
              </w:rPr>
            </w:pPr>
            <w:r>
              <w:rPr>
                <w:color w:val="auto"/>
                <w:sz w:val="24"/>
                <w:bCs/>
                <w:rFonts w:hint="eastAsia" w:eastAsiaTheme="minorEastAsia"/>
              </w:rPr>
              <w:t>施工期主要环境空气污染物为废气和扬尘两类。为使施工过程中产生的粉尘和废气对周围环境空气的影响降低到最小程度，建议采取以下防护措施：</w:t>
            </w:r>
          </w:p>
          <w:p w14:paraId="1DB89E4D">
            <w:pPr>
              <w:contextualSpacing/>
              <w:spacing w:line="360" w:lineRule="auto"/>
              <w:ind w:firstLine="480" w:firstLineChars="200"/>
              <w:rPr>
                <w:color w:val="auto"/>
                <w:sz w:val="24"/>
                <w:bCs/>
                <w:rFonts w:eastAsiaTheme="minorEastAsia"/>
              </w:rPr>
            </w:pPr>
            <w:r>
              <w:rPr>
                <w:color w:val="auto"/>
                <w:sz w:val="24"/>
                <w:bCs/>
                <w:rFonts w:eastAsiaTheme="minorEastAsia"/>
              </w:rPr>
              <w:t>1</w:t>
            </w:r>
            <w:r>
              <w:rPr>
                <w:color w:val="auto"/>
                <w:sz w:val="24"/>
                <w:bCs/>
                <w:rFonts w:hint="eastAsia" w:eastAsiaTheme="minorEastAsia"/>
              </w:rPr>
              <w:t>、开挖过程中，洒水使作业面保持一定的湿度；对施工场地内松散、干涸的表土，也应经常洒水防止粉尘、扬尘；回填土方时，在表层土质干燥时适当洒水，防止粉尘飞扬；</w:t>
            </w:r>
          </w:p>
          <w:p w14:paraId="693B452C">
            <w:pPr>
              <w:contextualSpacing/>
              <w:spacing w:line="360" w:lineRule="auto"/>
              <w:ind w:firstLine="480" w:firstLineChars="200"/>
              <w:rPr>
                <w:color w:val="auto"/>
                <w:sz w:val="24"/>
                <w:bCs/>
                <w:rFonts w:eastAsiaTheme="minorEastAsia"/>
              </w:rPr>
            </w:pPr>
            <w:r>
              <w:rPr>
                <w:color w:val="auto"/>
                <w:sz w:val="24"/>
                <w:bCs/>
                <w:rFonts w:eastAsiaTheme="minorEastAsia"/>
              </w:rPr>
              <w:t>2</w:t>
            </w:r>
            <w:r>
              <w:rPr>
                <w:color w:val="auto"/>
                <w:sz w:val="24"/>
                <w:bCs/>
                <w:rFonts w:hint="eastAsia" w:eastAsiaTheme="minorEastAsia"/>
              </w:rPr>
              <w:t>、加强回填土方堆放场的管理，要制定土方表面压实、定期喷水、覆盖等措施；不需要的泥土，建筑材料弃渣及时运走，不宜长时间堆积；</w:t>
            </w:r>
          </w:p>
          <w:p w14:paraId="4E8DB36F">
            <w:pPr>
              <w:contextualSpacing/>
              <w:spacing w:line="360" w:lineRule="auto"/>
              <w:ind w:firstLine="480" w:firstLineChars="200"/>
              <w:rPr>
                <w:color w:val="auto"/>
                <w:sz w:val="24"/>
                <w:bCs/>
                <w:rFonts w:eastAsiaTheme="minorEastAsia"/>
              </w:rPr>
            </w:pPr>
            <w:r>
              <w:rPr>
                <w:color w:val="auto"/>
                <w:sz w:val="24"/>
                <w:bCs/>
                <w:rFonts w:eastAsiaTheme="minorEastAsia"/>
              </w:rPr>
              <w:t>3</w:t>
            </w:r>
            <w:r>
              <w:rPr>
                <w:color w:val="auto"/>
                <w:sz w:val="24"/>
                <w:bCs/>
                <w:rFonts w:hint="eastAsia" w:eastAsiaTheme="minorEastAsia"/>
              </w:rPr>
              <w:t>、运土卡车及建筑材料运输车按规定配置防洒落装备，装载不宜过满，保证运输过程中不散落；并规划好运输车辆的运行路线与时间，尽量避免在繁华区、交通集中区和居民住宅等敏感区行驶；</w:t>
            </w:r>
          </w:p>
          <w:p w14:paraId="0BB2DF49">
            <w:pPr>
              <w:contextualSpacing/>
              <w:spacing w:line="360" w:lineRule="auto"/>
              <w:ind w:firstLine="480" w:firstLineChars="200"/>
              <w:rPr>
                <w:color w:val="auto"/>
                <w:sz w:val="24"/>
                <w:bCs/>
                <w:rFonts w:eastAsiaTheme="minorEastAsia"/>
              </w:rPr>
            </w:pPr>
            <w:r>
              <w:rPr>
                <w:color w:val="auto"/>
                <w:sz w:val="24"/>
                <w:bCs/>
                <w:rFonts w:eastAsiaTheme="minorEastAsia"/>
              </w:rPr>
              <w:t>4</w:t>
            </w:r>
            <w:r>
              <w:rPr>
                <w:color w:val="auto"/>
                <w:sz w:val="24"/>
                <w:bCs/>
                <w:rFonts w:hint="eastAsia" w:eastAsiaTheme="minorEastAsia"/>
              </w:rPr>
              <w:t>、运输车辆加蓬盖，且出装、卸场地前先冲洗干净，减少车轮、底盘等携带泥土散落路面；</w:t>
            </w:r>
          </w:p>
          <w:p w14:paraId="4FA93F33">
            <w:pPr>
              <w:contextualSpacing/>
              <w:spacing w:line="360" w:lineRule="auto"/>
              <w:ind w:firstLine="480" w:firstLineChars="200"/>
              <w:rPr>
                <w:color w:val="auto"/>
                <w:sz w:val="24"/>
                <w:bCs/>
                <w:rFonts w:eastAsiaTheme="minorEastAsia"/>
              </w:rPr>
            </w:pPr>
            <w:r>
              <w:rPr>
                <w:color w:val="auto"/>
                <w:sz w:val="24"/>
                <w:bCs/>
                <w:rFonts w:eastAsiaTheme="minorEastAsia"/>
              </w:rPr>
              <w:t>5</w:t>
            </w:r>
            <w:r>
              <w:rPr>
                <w:color w:val="auto"/>
                <w:sz w:val="24"/>
                <w:bCs/>
                <w:rFonts w:hint="eastAsia" w:eastAsiaTheme="minorEastAsia"/>
              </w:rPr>
              <w:t>、对运输过程中散落在路面上的泥土要及时清扫，以减少运行过程中的扬尘；</w:t>
            </w:r>
          </w:p>
          <w:p w14:paraId="7FBA8159">
            <w:pPr>
              <w:contextualSpacing/>
              <w:spacing w:line="360" w:lineRule="auto"/>
              <w:ind w:firstLine="480" w:firstLineChars="200"/>
              <w:rPr>
                <w:color w:val="auto"/>
                <w:sz w:val="24"/>
                <w:bCs/>
                <w:rFonts w:eastAsiaTheme="minorEastAsia"/>
              </w:rPr>
            </w:pPr>
            <w:r>
              <w:rPr>
                <w:color w:val="auto"/>
                <w:sz w:val="24"/>
                <w:bCs/>
                <w:rFonts w:eastAsiaTheme="minorEastAsia"/>
              </w:rPr>
              <w:t>6</w:t>
            </w:r>
            <w:r>
              <w:rPr>
                <w:color w:val="auto"/>
                <w:sz w:val="24"/>
                <w:bCs/>
                <w:rFonts w:hint="eastAsia" w:eastAsiaTheme="minorEastAsia"/>
              </w:rPr>
              <w:t>、施工过程中，严禁将废弃的建筑材料作为燃料燃烧。</w:t>
            </w:r>
          </w:p>
          <w:p w14:paraId="61292A91">
            <w:pPr>
              <w:contextualSpacing/>
              <w:spacing w:line="360" w:lineRule="auto"/>
              <w:ind w:firstLine="480" w:firstLineChars="200"/>
              <w:rPr>
                <w:color w:val="auto"/>
                <w:sz w:val="24"/>
                <w:bCs/>
                <w:rFonts w:eastAsiaTheme="minorEastAsia"/>
              </w:rPr>
            </w:pPr>
            <w:r>
              <w:rPr>
                <w:color w:val="auto"/>
                <w:sz w:val="24"/>
                <w:bCs/>
                <w:rFonts w:hint="eastAsia" w:eastAsiaTheme="minorEastAsia"/>
              </w:rPr>
              <w:t>经上述治理后，施工期产生的粉尘、废气、扬尘将得到有效的控制，场界外可满足《大气污染物综合排放标准》（</w:t>
            </w:r>
            <w:r>
              <w:rPr>
                <w:color w:val="auto"/>
                <w:sz w:val="24"/>
                <w:bCs/>
                <w:rFonts w:eastAsiaTheme="minorEastAsia"/>
              </w:rPr>
              <w:t>GB16297-1996</w:t>
            </w:r>
            <w:r>
              <w:rPr>
                <w:color w:val="auto"/>
                <w:sz w:val="24"/>
                <w:bCs/>
                <w:rFonts w:hint="eastAsia" w:eastAsiaTheme="minorEastAsia"/>
              </w:rPr>
              <w:t>）规定的表</w:t>
            </w:r>
            <w:r>
              <w:rPr>
                <w:color w:val="auto"/>
                <w:sz w:val="24"/>
                <w:bCs/>
                <w:rFonts w:eastAsiaTheme="minorEastAsia"/>
              </w:rPr>
              <w:t>2</w:t>
            </w:r>
            <w:r>
              <w:rPr>
                <w:color w:val="auto"/>
                <w:sz w:val="24"/>
                <w:bCs/>
                <w:rFonts w:hint="eastAsia" w:eastAsiaTheme="minorEastAsia"/>
              </w:rPr>
              <w:t>颗粒物无组织排放监控浓度限值</w:t>
            </w:r>
            <w:r>
              <w:rPr>
                <w:color w:val="auto"/>
                <w:sz w:val="24"/>
                <w:bCs/>
                <w:rFonts w:eastAsiaTheme="minorEastAsia"/>
              </w:rPr>
              <w:t>1.0mg/m</w:t>
            </w:r>
            <w:r>
              <w:rPr>
                <w:vertAlign w:val="superscript"/>
                <w:color w:val="auto"/>
                <w:sz w:val="24"/>
                <w:bCs/>
                <w:rFonts w:eastAsiaTheme="minorEastAsia"/>
              </w:rPr>
              <w:t>3</w:t>
            </w:r>
            <w:r>
              <w:rPr>
                <w:color w:val="auto"/>
                <w:sz w:val="24"/>
                <w:bCs/>
                <w:rFonts w:hint="eastAsia" w:eastAsiaTheme="minorEastAsia"/>
              </w:rPr>
              <w:t>（周界外浓度最高点），可被周围环境所接受。</w:t>
            </w:r>
          </w:p>
          <w:p w14:paraId="3676133A">
            <w:pPr>
              <w:contextualSpacing/>
              <w:spacing w:line="360" w:lineRule="auto"/>
              <w:ind w:firstLine="482" w:firstLineChars="200"/>
              <w:rPr>
                <w:b w:val="1"/>
                <w:color w:val="auto"/>
                <w:sz w:val="24"/>
                <w:bCs/>
                <w:rFonts w:eastAsiaTheme="minorEastAsia"/>
              </w:rPr>
            </w:pPr>
            <w:r>
              <w:rPr>
                <w:b w:val="1"/>
                <w:color w:val="auto"/>
                <w:sz w:val="24"/>
                <w:bCs/>
                <w:rFonts w:hint="eastAsia" w:eastAsiaTheme="minorEastAsia"/>
              </w:rPr>
              <w:t>三、噪声</w:t>
            </w:r>
          </w:p>
          <w:p w14:paraId="04931852">
            <w:pPr>
              <w:contextualSpacing/>
              <w:spacing w:line="360" w:lineRule="auto"/>
              <w:ind w:firstLine="480" w:firstLineChars="200"/>
              <w:rPr>
                <w:color w:val="auto"/>
                <w:sz w:val="24"/>
                <w:bCs/>
                <w:rFonts w:eastAsiaTheme="minorEastAsia"/>
              </w:rPr>
            </w:pPr>
            <w:r>
              <w:rPr>
                <w:color w:val="auto"/>
                <w:sz w:val="24"/>
                <w:bCs/>
                <w:rFonts w:hint="eastAsia" w:eastAsiaTheme="minorEastAsia"/>
              </w:rPr>
              <w:t>噪声主要来源于施工设备和汽车运输，从规范施工秩序着手，对产生高噪声设备尽量安排在白天使用，合理安排高噪声设备远离敏感目标作业，同时夜间不施工。汽车晚间运输用灯光示警，禁鸣喇叭。此外，选用低噪声机械设备，对产生噪声的施工设备加强维护和维修工作，亦对噪声有良好作用。</w:t>
            </w:r>
          </w:p>
          <w:p w14:paraId="6275B9D1">
            <w:pPr>
              <w:contextualSpacing/>
              <w:spacing w:line="360" w:lineRule="auto"/>
              <w:ind w:firstLine="480" w:firstLineChars="200"/>
              <w:rPr>
                <w:color w:val="auto"/>
                <w:sz w:val="24"/>
                <w:bCs/>
                <w:rFonts w:eastAsiaTheme="minorEastAsia"/>
              </w:rPr>
            </w:pPr>
            <w:r>
              <w:rPr>
                <w:color w:val="auto"/>
                <w:sz w:val="24"/>
                <w:bCs/>
                <w:rFonts w:hint="eastAsia" w:eastAsiaTheme="minorEastAsia"/>
              </w:rPr>
              <w:t>经上述治理后，施工期产生的噪声满足《建筑施工场界环境噪声排放标准》（</w:t>
            </w:r>
            <w:r>
              <w:rPr>
                <w:color w:val="auto"/>
                <w:sz w:val="24"/>
                <w:bCs/>
                <w:rFonts w:eastAsiaTheme="minorEastAsia"/>
              </w:rPr>
              <w:t>GB12523-2011</w:t>
            </w:r>
            <w:r>
              <w:rPr>
                <w:color w:val="auto"/>
                <w:sz w:val="24"/>
                <w:bCs/>
                <w:rFonts w:hint="eastAsia" w:eastAsiaTheme="minorEastAsia"/>
              </w:rPr>
              <w:t>）标准要求，施工场地距离敏感目标较远，施工期对环境敏感目标的影响较小。</w:t>
            </w:r>
          </w:p>
          <w:p w14:paraId="4C00176C">
            <w:pPr>
              <w:contextualSpacing/>
              <w:spacing w:line="360" w:lineRule="auto"/>
              <w:ind w:firstLine="482" w:firstLineChars="200"/>
              <w:rPr>
                <w:b w:val="1"/>
                <w:color w:val="auto"/>
                <w:sz w:val="24"/>
                <w:bCs/>
                <w:rFonts w:eastAsiaTheme="minorEastAsia"/>
              </w:rPr>
            </w:pPr>
            <w:r>
              <w:rPr>
                <w:b w:val="1"/>
                <w:color w:val="auto"/>
                <w:sz w:val="24"/>
                <w:bCs/>
                <w:rFonts w:hint="eastAsia" w:eastAsiaTheme="minorEastAsia"/>
              </w:rPr>
              <w:t>四、固体废物</w:t>
            </w:r>
          </w:p>
          <w:p w14:paraId="09CE79FB">
            <w:pPr>
              <w:contextualSpacing/>
              <w:spacing w:line="360" w:lineRule="auto"/>
              <w:ind w:firstLine="480" w:firstLineChars="200"/>
              <w:rPr>
                <w:color w:val="auto"/>
                <w:sz w:val="24"/>
                <w:bCs/>
                <w:rFonts w:eastAsiaTheme="minorEastAsia"/>
              </w:rPr>
            </w:pPr>
            <w:r>
              <w:rPr>
                <w:color w:val="auto"/>
                <w:sz w:val="24"/>
                <w:rFonts w:hint="eastAsia" w:eastAsiaTheme="minorEastAsia"/>
              </w:rPr>
              <w:t>施工残土、建筑垃圾为主要固体废物，及时清运，并按市政部门指定地点堆放。运输车辆加盖遮挡，防止产生二次扬尘。生活垃圾统一收集后由市政统一处理</w:t>
            </w:r>
            <w:r>
              <w:rPr>
                <w:color w:val="auto"/>
                <w:sz w:val="24"/>
                <w:bCs/>
                <w:rFonts w:hint="eastAsia" w:eastAsiaTheme="minorEastAsia"/>
              </w:rPr>
              <w:t>。</w:t>
            </w:r>
          </w:p>
          <w:p w14:paraId="05AB0C09">
            <w:pPr>
              <w:contextualSpacing/>
              <w:spacing w:line="360" w:lineRule="auto"/>
              <w:ind w:firstLine="480" w:firstLineChars="200"/>
              <w:rPr>
                <w:color w:val="auto"/>
                <w:sz w:val="24"/>
                <w:bCs/>
                <w:rFonts w:eastAsiaTheme="minorEastAsia"/>
              </w:rPr>
            </w:pPr>
          </w:p>
          <w:p w14:paraId="03909194">
            <w:pPr>
              <w:contextualSpacing/>
              <w:spacing w:line="360" w:lineRule="auto"/>
              <w:ind w:firstLine="480" w:firstLineChars="200"/>
              <w:rPr>
                <w:color w:val="auto"/>
                <w:sz w:val="24"/>
                <w:bCs/>
                <w:rFonts w:eastAsiaTheme="minorEastAsia"/>
              </w:rPr>
            </w:pPr>
          </w:p>
          <w:p w14:paraId="27343FD8">
            <w:pPr>
              <w:contextualSpacing/>
              <w:spacing w:line="360" w:lineRule="auto"/>
              <w:ind w:firstLine="480" w:firstLineChars="200"/>
              <w:rPr>
                <w:color w:val="auto"/>
                <w:sz w:val="24"/>
                <w:bCs/>
                <w:rFonts w:eastAsiaTheme="minorEastAsia"/>
              </w:rPr>
            </w:pPr>
          </w:p>
          <w:p w14:paraId="544E067A">
            <w:pPr>
              <w:contextualSpacing/>
              <w:spacing w:line="360" w:lineRule="auto"/>
              <w:ind w:firstLine="480" w:firstLineChars="200"/>
              <w:rPr>
                <w:color w:val="auto"/>
                <w:sz w:val="24"/>
                <w:bCs/>
                <w:rFonts w:eastAsiaTheme="minorEastAsia"/>
              </w:rPr>
            </w:pPr>
          </w:p>
          <w:p w14:paraId="28D60745">
            <w:pPr>
              <w:contextualSpacing/>
              <w:spacing w:line="360" w:lineRule="auto"/>
              <w:ind w:firstLine="480" w:firstLineChars="200"/>
              <w:rPr>
                <w:color w:val="auto"/>
                <w:sz w:val="24"/>
                <w:bCs/>
                <w:rFonts w:eastAsiaTheme="minorEastAsia"/>
              </w:rPr>
            </w:pPr>
          </w:p>
          <w:p w14:paraId="3E7294D7">
            <w:pPr>
              <w:contextualSpacing/>
              <w:spacing w:line="360" w:lineRule="auto"/>
              <w:ind w:firstLine="480" w:firstLineChars="200"/>
              <w:rPr>
                <w:color w:val="auto"/>
                <w:sz w:val="24"/>
                <w:bCs/>
                <w:rFonts w:eastAsiaTheme="minorEastAsia"/>
              </w:rPr>
            </w:pPr>
          </w:p>
          <w:p w14:paraId="5158478A">
            <w:pPr>
              <w:contextualSpacing/>
              <w:spacing w:line="360" w:lineRule="auto"/>
              <w:ind w:firstLine="480" w:firstLineChars="200"/>
              <w:rPr>
                <w:color w:val="auto"/>
                <w:sz w:val="24"/>
                <w:bCs/>
                <w:rFonts w:eastAsiaTheme="minorEastAsia"/>
              </w:rPr>
            </w:pPr>
          </w:p>
          <w:p w14:paraId="5F495748">
            <w:pPr>
              <w:contextualSpacing/>
              <w:spacing w:line="360" w:lineRule="auto"/>
              <w:ind w:firstLine="480" w:firstLineChars="200"/>
              <w:rPr>
                <w:color w:val="auto"/>
                <w:sz w:val="24"/>
                <w:bCs/>
                <w:rFonts w:eastAsiaTheme="minorEastAsia"/>
              </w:rPr>
            </w:pPr>
          </w:p>
          <w:p w14:paraId="6C44CECF">
            <w:pPr>
              <w:contextualSpacing/>
              <w:spacing w:line="360" w:lineRule="auto"/>
              <w:ind w:firstLine="480" w:firstLineChars="200"/>
              <w:rPr>
                <w:color w:val="auto"/>
                <w:sz w:val="24"/>
                <w:bCs/>
                <w:rFonts w:eastAsiaTheme="minorEastAsia"/>
              </w:rPr>
            </w:pPr>
          </w:p>
          <w:p w14:paraId="79210D0A">
            <w:pPr>
              <w:contextualSpacing/>
              <w:spacing w:line="360" w:lineRule="auto"/>
              <w:ind w:firstLine="480" w:firstLineChars="200"/>
              <w:rPr>
                <w:color w:val="auto"/>
                <w:sz w:val="24"/>
                <w:bCs/>
                <w:rFonts w:eastAsiaTheme="minorEastAsia"/>
              </w:rPr>
            </w:pPr>
          </w:p>
          <w:p w14:paraId="297DF05D">
            <w:pPr>
              <w:contextualSpacing/>
              <w:spacing w:line="360" w:lineRule="auto"/>
              <w:ind w:firstLine="480" w:firstLineChars="200"/>
              <w:rPr>
                <w:color w:val="auto"/>
                <w:sz w:val="24"/>
                <w:bCs/>
                <w:rFonts w:eastAsiaTheme="minorEastAsia"/>
              </w:rPr>
            </w:pPr>
          </w:p>
          <w:p w14:paraId="4817D93F">
            <w:pPr>
              <w:contextualSpacing/>
              <w:spacing w:line="360" w:lineRule="auto"/>
              <w:ind w:firstLine="480" w:firstLineChars="200"/>
              <w:rPr>
                <w:color w:val="auto"/>
                <w:sz w:val="24"/>
                <w:bCs/>
                <w:rFonts w:eastAsiaTheme="minorEastAsia"/>
              </w:rPr>
            </w:pPr>
          </w:p>
          <w:p w14:paraId="7C794B5C">
            <w:pPr>
              <w:contextualSpacing/>
              <w:spacing w:line="360" w:lineRule="auto"/>
              <w:ind w:firstLine="480" w:firstLineChars="200"/>
              <w:rPr>
                <w:color w:val="auto"/>
                <w:sz w:val="24"/>
                <w:bCs/>
                <w:rFonts w:eastAsiaTheme="minorEastAsia"/>
              </w:rPr>
            </w:pPr>
          </w:p>
          <w:p w14:paraId="32CB03A2">
            <w:pPr>
              <w:contextualSpacing/>
              <w:spacing w:line="360" w:lineRule="auto"/>
              <w:ind w:firstLine="480" w:firstLineChars="200"/>
              <w:rPr>
                <w:color w:val="auto"/>
                <w:sz w:val="24"/>
                <w:bCs/>
                <w:rFonts w:eastAsiaTheme="minorEastAsia"/>
              </w:rPr>
            </w:pPr>
          </w:p>
          <w:p w14:paraId="5FB5725B">
            <w:pPr>
              <w:contextualSpacing/>
              <w:spacing w:line="360" w:lineRule="auto"/>
              <w:ind w:firstLine="480" w:firstLineChars="200"/>
              <w:rPr>
                <w:color w:val="auto"/>
                <w:sz w:val="24"/>
                <w:bCs/>
                <w:rFonts w:eastAsiaTheme="minorEastAsia"/>
              </w:rPr>
            </w:pPr>
          </w:p>
        </w:tc>
      </w:tr>
      <w:tr w14:paraId="2AE8F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2881" w:hRule="atLeast"/>
          <w:jc w:val="center"/>
        </w:trPr>
        <w:tc>
          <w:tcPr>
            <w:tcW w:w="736" w:type="dxa"/>
            <w:vAlign w:val="center"/>
            <w:tcMar>
              <w:left w:type="dxa" w:w="28.000000"/>
              <w:right w:type="dxa" w:w="28.000000"/>
            </w:tcMar>
          </w:tcPr>
          <w:p w14:paraId="64598D4C">
            <w:pPr>
              <w:adjustRightInd w:val="0"/>
              <w:snapToGrid w:val="0"/>
              <w:jc w:val="center"/>
              <w:rPr>
                <w:color w:val="auto"/>
                <w:sz w:val="24"/>
                <w:kern w:val="0"/>
              </w:rPr>
            </w:pPr>
            <w:r>
              <w:rPr>
                <w:color w:val="auto"/>
                <w:sz w:val="24"/>
                <w:kern w:val="0"/>
              </w:rPr>
              <w:t>运营</w:t>
            </w:r>
          </w:p>
          <w:p w14:paraId="0975084A">
            <w:pPr>
              <w:adjustRightInd w:val="0"/>
              <w:snapToGrid w:val="0"/>
              <w:jc w:val="center"/>
              <w:rPr>
                <w:color w:val="auto"/>
                <w:sz w:val="24"/>
                <w:kern w:val="0"/>
              </w:rPr>
            </w:pPr>
            <w:r>
              <w:rPr>
                <w:color w:val="auto"/>
                <w:sz w:val="24"/>
                <w:kern w:val="0"/>
              </w:rPr>
              <w:t>期环</w:t>
            </w:r>
          </w:p>
          <w:p w14:paraId="47F3D20C">
            <w:pPr>
              <w:adjustRightInd w:val="0"/>
              <w:snapToGrid w:val="0"/>
              <w:jc w:val="center"/>
              <w:rPr>
                <w:color w:val="auto"/>
                <w:sz w:val="24"/>
                <w:kern w:val="0"/>
              </w:rPr>
            </w:pPr>
            <w:r>
              <w:rPr>
                <w:color w:val="auto"/>
                <w:sz w:val="24"/>
                <w:kern w:val="0"/>
              </w:rPr>
              <w:t>境影</w:t>
            </w:r>
          </w:p>
          <w:p w14:paraId="28DBD45F">
            <w:pPr>
              <w:adjustRightInd w:val="0"/>
              <w:snapToGrid w:val="0"/>
              <w:jc w:val="center"/>
              <w:rPr>
                <w:color w:val="auto"/>
                <w:sz w:val="24"/>
                <w:kern w:val="0"/>
              </w:rPr>
            </w:pPr>
            <w:r>
              <w:rPr>
                <w:color w:val="auto"/>
                <w:sz w:val="24"/>
                <w:kern w:val="0"/>
              </w:rPr>
              <w:t>响和</w:t>
            </w:r>
          </w:p>
          <w:p w14:paraId="31614384">
            <w:pPr>
              <w:adjustRightInd w:val="0"/>
              <w:snapToGrid w:val="0"/>
              <w:jc w:val="center"/>
              <w:rPr>
                <w:color w:val="auto"/>
                <w:sz w:val="24"/>
                <w:kern w:val="0"/>
              </w:rPr>
            </w:pPr>
            <w:r>
              <w:rPr>
                <w:color w:val="auto"/>
                <w:sz w:val="24"/>
                <w:kern w:val="0"/>
              </w:rPr>
              <w:t>保护</w:t>
            </w:r>
          </w:p>
          <w:p w14:paraId="5EEA36BD">
            <w:pPr>
              <w:adjustRightInd w:val="0"/>
              <w:snapToGrid w:val="0"/>
              <w:jc w:val="center"/>
              <w:rPr>
                <w:color w:val="auto"/>
                <w:sz w:val="24"/>
                <w:kern w:val="0"/>
              </w:rPr>
            </w:pPr>
            <w:r>
              <w:rPr>
                <w:color w:val="auto"/>
                <w:sz w:val="24"/>
                <w:kern w:val="0"/>
              </w:rPr>
              <w:t>措施</w:t>
            </w:r>
          </w:p>
        </w:tc>
        <w:tc>
          <w:tcPr>
            <w:tcW w:w="8605" w:type="dxa"/>
            <w:vAlign w:val="center"/>
          </w:tcPr>
          <w:p w14:paraId="498E44C5">
            <w:pPr>
              <w:contextualSpacing/>
              <w:spacing w:line="360" w:lineRule="auto"/>
              <w:ind w:firstLine="482" w:firstLineChars="200"/>
              <w:rPr>
                <w:b w:val="1"/>
                <w:color w:val="auto"/>
                <w:sz w:val="24"/>
                <w:bCs/>
              </w:rPr>
            </w:pPr>
            <w:r>
              <w:rPr>
                <w:b w:val="1"/>
                <w:color w:val="auto"/>
                <w:sz w:val="24"/>
                <w:bCs/>
              </w:rPr>
              <w:t>（一）废气</w:t>
            </w:r>
          </w:p>
          <w:p w14:paraId="485CB337">
            <w:pPr>
              <w:contextualSpacing/>
              <w:spacing w:line="360" w:lineRule="auto"/>
              <w:ind w:firstLine="480" w:firstLineChars="200"/>
              <w:rPr>
                <w:color w:val="auto"/>
                <w:highlight w:val="yellow"/>
                <w:sz w:val="24"/>
                <w:bCs/>
                <w:kern w:val="0"/>
                <w:rFonts w:eastAsiaTheme="minorEastAsia"/>
              </w:rPr>
            </w:pPr>
            <w:r>
              <w:rPr>
                <w:color w:val="auto"/>
                <w:sz w:val="24"/>
                <w:rFonts w:eastAsiaTheme="minorEastAsia"/>
              </w:rPr>
              <w:t>本项目设置一个</w:t>
            </w:r>
            <w:r>
              <w:rPr>
                <w:color w:val="auto"/>
                <w:sz w:val="24"/>
                <w:bCs/>
                <w:rFonts w:eastAsiaTheme="minorEastAsia"/>
              </w:rPr>
              <w:t>干燥筒，热量由1台</w:t>
            </w:r>
            <w:r>
              <w:rPr>
                <w:color w:val="auto"/>
                <w:sz w:val="24"/>
                <w:rFonts w:eastAsiaTheme="minorEastAsia"/>
              </w:rPr>
              <w:t>28MW燃</w:t>
            </w:r>
            <w:r>
              <w:rPr>
                <w:color w:val="auto"/>
                <w:sz w:val="24"/>
                <w:bCs/>
                <w:rFonts w:eastAsiaTheme="minorEastAsia"/>
              </w:rPr>
              <w:t>天然气</w:t>
            </w:r>
            <w:r>
              <w:rPr>
                <w:color w:val="auto"/>
                <w:sz w:val="24"/>
                <w:rFonts w:eastAsiaTheme="minorEastAsia"/>
              </w:rPr>
              <w:t>燃烧器</w:t>
            </w:r>
            <w:r>
              <w:rPr>
                <w:color w:val="auto"/>
                <w:sz w:val="24"/>
                <w:bCs/>
                <w:rFonts w:eastAsiaTheme="minorEastAsia"/>
              </w:rPr>
              <w:t>提供，用于加</w:t>
            </w:r>
            <w:r>
              <w:rPr>
                <w:color w:val="auto"/>
                <w:sz w:val="24"/>
                <w:rFonts w:eastAsiaTheme="minorEastAsia"/>
              </w:rPr>
              <w:t>热碎石，年工作</w:t>
            </w:r>
            <w:r>
              <w:rPr>
                <w:color w:val="auto"/>
                <w:sz w:val="24"/>
                <w:rFonts w:eastAsiaTheme="minorEastAsia"/>
              </w:rPr>
              <w:t>2</w:t>
            </w:r>
            <w:r>
              <w:rPr>
                <w:color w:val="auto"/>
                <w:sz w:val="24"/>
                <w:lang w:val="en-US" w:eastAsia="zh-CN"/>
                <w:rFonts w:hint="eastAsia" w:eastAsiaTheme="minorEastAsia"/>
              </w:rPr>
              <w:t>4</w:t>
            </w:r>
            <w:r>
              <w:rPr>
                <w:color w:val="auto"/>
                <w:sz w:val="24"/>
                <w:rFonts w:eastAsiaTheme="minorEastAsia"/>
              </w:rPr>
              <w:t>0</w:t>
            </w:r>
            <w:r>
              <w:rPr>
                <w:color w:val="auto"/>
                <w:sz w:val="24"/>
                <w:rFonts w:eastAsiaTheme="minorEastAsia"/>
              </w:rPr>
              <w:t>天，每天10h。</w:t>
            </w:r>
            <w:r>
              <w:rPr>
                <w:color w:val="auto"/>
                <w:sz w:val="24"/>
                <w:bCs/>
                <w:kern w:val="0"/>
                <w:rFonts w:eastAsiaTheme="minorEastAsia"/>
              </w:rPr>
              <w:t>燃天然气燃烧器出厂设计天然气使用量为1400m</w:t>
            </w:r>
            <w:r>
              <w:rPr>
                <w:vertAlign w:val="superscript"/>
                <w:color w:val="auto"/>
                <w:sz w:val="24"/>
                <w:bCs/>
                <w:kern w:val="0"/>
                <w:rFonts w:eastAsiaTheme="minorEastAsia"/>
              </w:rPr>
              <w:t>3</w:t>
            </w:r>
            <w:r>
              <w:rPr>
                <w:color w:val="auto"/>
                <w:sz w:val="24"/>
                <w:bCs/>
                <w:kern w:val="0"/>
                <w:rFonts w:eastAsiaTheme="minorEastAsia"/>
              </w:rPr>
              <w:t>/h，因此天然气使用量</w:t>
            </w:r>
            <w:r>
              <w:rPr>
                <w:color w:val="auto"/>
                <w:sz w:val="24"/>
                <w:bCs/>
                <w:kern w:val="0"/>
                <w:rFonts w:eastAsiaTheme="minorEastAsia"/>
              </w:rPr>
              <w:t>3</w:t>
            </w:r>
            <w:r>
              <w:rPr>
                <w:color w:val="auto"/>
                <w:sz w:val="24"/>
                <w:lang w:val="en-US" w:eastAsia="zh-CN"/>
                <w:bCs/>
                <w:kern w:val="0"/>
                <w:rFonts w:hint="eastAsia" w:eastAsiaTheme="minorEastAsia"/>
              </w:rPr>
              <w:t>36</w:t>
            </w:r>
            <w:r>
              <w:rPr>
                <w:color w:val="auto"/>
                <w:sz w:val="24"/>
                <w:bCs/>
                <w:kern w:val="0"/>
                <w:rFonts w:eastAsiaTheme="minorEastAsia"/>
              </w:rPr>
              <w:t>万m</w:t>
            </w:r>
            <w:r>
              <w:rPr>
                <w:vertAlign w:val="superscript"/>
                <w:color w:val="auto"/>
                <w:sz w:val="24"/>
                <w:bCs/>
                <w:kern w:val="0"/>
                <w:rFonts w:eastAsiaTheme="minorEastAsia"/>
              </w:rPr>
              <w:t>3</w:t>
            </w:r>
            <w:r>
              <w:rPr>
                <w:color w:val="auto"/>
                <w:sz w:val="24"/>
                <w:bCs/>
                <w:kern w:val="0"/>
                <w:rFonts w:eastAsiaTheme="minorEastAsia"/>
              </w:rPr>
              <w:t>/a。</w:t>
            </w:r>
          </w:p>
          <w:p w14:paraId="1566F205">
            <w:pPr>
              <w:contextualSpacing/>
              <w:spacing w:line="360" w:lineRule="auto"/>
              <w:ind w:firstLine="480" w:firstLineChars="200"/>
              <w:rPr>
                <w:color w:val="auto"/>
                <w:sz w:val="24"/>
                <w:kern w:val="0"/>
                <w:rFonts w:eastAsiaTheme="minorEastAsia"/>
              </w:rPr>
            </w:pPr>
            <w:r>
              <w:rPr>
                <w:color w:val="auto"/>
                <w:sz w:val="24"/>
                <w:rFonts w:eastAsiaTheme="minorEastAsia"/>
              </w:rPr>
              <w:t>沥青罐内的沥青通过1台</w:t>
            </w:r>
            <w:r>
              <w:rPr>
                <w:color w:val="auto"/>
                <w:sz w:val="24"/>
                <w:lang w:val="en-US" w:eastAsia="zh-CN"/>
                <w:bCs/>
                <w:kern w:val="0"/>
                <w:rFonts w:hint="eastAsia" w:eastAsiaTheme="minorEastAsia"/>
              </w:rPr>
              <w:t>1.5t</w:t>
            </w:r>
            <w:r>
              <w:rPr>
                <w:color w:val="auto"/>
                <w:sz w:val="24"/>
                <w:bCs/>
                <w:kern w:val="0"/>
                <w:rFonts w:eastAsiaTheme="minorEastAsia"/>
              </w:rPr>
              <w:t>的燃气导热油炉，</w:t>
            </w:r>
            <w:r>
              <w:rPr>
                <w:color w:val="auto"/>
                <w:sz w:val="24"/>
                <w:kern w:val="0"/>
                <w:rFonts w:eastAsiaTheme="minorEastAsia"/>
              </w:rPr>
              <w:t>燃天然气导热油炉每小时消耗天然气量=天然气锅炉功率/（天然气低位发热量×锅炉效率）× 3600（1兆瓦时=3600兆焦）</w:t>
            </w:r>
          </w:p>
          <w:p w14:paraId="4CB36753">
            <w:pPr>
              <w:contextualSpacing/>
              <w:spacing w:line="360" w:lineRule="auto"/>
              <w:ind w:firstLine="480" w:firstLineChars="200"/>
              <w:rPr>
                <w:color w:val="auto"/>
                <w:sz w:val="24"/>
                <w:kern w:val="0"/>
                <w:rFonts w:eastAsiaTheme="minorEastAsia"/>
              </w:rPr>
            </w:pPr>
            <w:r>
              <w:rPr>
                <w:color w:val="auto"/>
                <w:sz w:val="24"/>
                <w:kern w:val="0"/>
                <w:rFonts w:eastAsiaTheme="minorEastAsia"/>
              </w:rPr>
              <w:t>本项目天然气燃料分析报告中收到基低位热值为33.69MJ/m</w:t>
            </w:r>
            <w:r>
              <w:rPr>
                <w:vertAlign w:val="superscript"/>
                <w:color w:val="auto"/>
                <w:sz w:val="24"/>
                <w:kern w:val="0"/>
                <w:rFonts w:eastAsiaTheme="minorEastAsia"/>
              </w:rPr>
              <w:t>3</w:t>
            </w:r>
            <w:r>
              <w:rPr>
                <w:color w:val="auto"/>
                <w:sz w:val="24"/>
                <w:kern w:val="0"/>
                <w:rFonts w:eastAsiaTheme="minorEastAsia"/>
              </w:rPr>
              <w:t>，燃气导热油炉采用1级能效锅炉，热效率在96%以上，每小时消耗天然气量的计算过程如下：</w:t>
            </w:r>
          </w:p>
          <w:p w14:paraId="2753A9DF">
            <w:pPr>
              <w:contextualSpacing/>
              <w:spacing w:line="360" w:lineRule="auto"/>
              <w:ind w:firstLine="480" w:firstLineChars="200"/>
              <w:rPr>
                <w:color w:val="auto"/>
                <w:sz w:val="24"/>
                <w:kern w:val="0"/>
                <w:rFonts w:eastAsiaTheme="minorEastAsia"/>
              </w:rPr>
            </w:pPr>
            <w:r>
              <w:rPr>
                <w:color w:val="auto"/>
                <w:sz w:val="24"/>
                <w:kern w:val="0"/>
                <w:rFonts w:eastAsiaTheme="minorEastAsia"/>
              </w:rPr>
              <w:t>消耗天然气量=</w:t>
            </w:r>
            <w:r>
              <w:rPr>
                <w:color w:val="auto"/>
                <w:sz w:val="24"/>
                <w:kern w:val="0"/>
                <w:rFonts w:eastAsiaTheme="minorEastAsia"/>
              </w:rPr>
              <w:t>1.</w:t>
            </w:r>
            <w:r>
              <w:rPr>
                <w:color w:val="auto"/>
                <w:sz w:val="24"/>
                <w:lang w:val="en-US" w:eastAsia="zh-CN"/>
                <w:kern w:val="0"/>
                <w:rFonts w:hint="eastAsia" w:eastAsiaTheme="minorEastAsia"/>
              </w:rPr>
              <w:t>05</w:t>
            </w:r>
            <w:r>
              <w:rPr>
                <w:color w:val="auto"/>
                <w:sz w:val="24"/>
                <w:kern w:val="0"/>
                <w:rFonts w:eastAsiaTheme="minorEastAsia"/>
              </w:rPr>
              <w:t>MW/（33.69MJ/m</w:t>
            </w:r>
            <w:r>
              <w:rPr>
                <w:vertAlign w:val="superscript"/>
                <w:color w:val="auto"/>
                <w:sz w:val="24"/>
                <w:kern w:val="0"/>
                <w:rFonts w:eastAsiaTheme="minorEastAsia"/>
              </w:rPr>
              <w:t>3</w:t>
            </w:r>
            <w:r>
              <w:rPr>
                <w:color w:val="auto"/>
                <w:sz w:val="24"/>
                <w:kern w:val="0"/>
                <w:rFonts w:eastAsiaTheme="minorEastAsia"/>
              </w:rPr>
              <w:t>×96%）×3600=</w:t>
            </w:r>
            <w:r>
              <w:rPr>
                <w:color w:val="auto"/>
                <w:sz w:val="24"/>
                <w:kern w:val="0"/>
                <w:rFonts w:eastAsiaTheme="minorEastAsia"/>
              </w:rPr>
              <w:t>1</w:t>
            </w:r>
            <w:r>
              <w:rPr>
                <w:color w:val="auto"/>
                <w:sz w:val="24"/>
                <w:lang w:val="en-US" w:eastAsia="zh-CN"/>
                <w:kern w:val="0"/>
                <w:rFonts w:hint="eastAsia" w:eastAsiaTheme="minorEastAsia"/>
              </w:rPr>
              <w:t>16.87</w:t>
            </w:r>
            <w:r>
              <w:rPr>
                <w:color w:val="auto"/>
                <w:sz w:val="24"/>
                <w:kern w:val="0"/>
                <w:rFonts w:eastAsiaTheme="minorEastAsia"/>
              </w:rPr>
              <w:t>m</w:t>
            </w:r>
            <w:r>
              <w:rPr>
                <w:vertAlign w:val="superscript"/>
                <w:color w:val="auto"/>
                <w:sz w:val="24"/>
                <w:kern w:val="0"/>
                <w:rFonts w:eastAsiaTheme="minorEastAsia"/>
              </w:rPr>
              <w:t>3</w:t>
            </w:r>
            <w:r>
              <w:rPr>
                <w:color w:val="auto"/>
                <w:sz w:val="24"/>
                <w:kern w:val="0"/>
                <w:rFonts w:eastAsiaTheme="minorEastAsia"/>
              </w:rPr>
              <w:t>/h，导热油炉运行时间为2</w:t>
            </w:r>
            <w:r>
              <w:rPr>
                <w:color w:val="auto"/>
                <w:sz w:val="24"/>
                <w:lang w:val="en-US" w:eastAsia="zh-CN"/>
                <w:kern w:val="0"/>
                <w:rFonts w:hint="eastAsia" w:eastAsiaTheme="minorEastAsia"/>
              </w:rPr>
              <w:t>4</w:t>
            </w:r>
            <w:r>
              <w:rPr>
                <w:color w:val="auto"/>
                <w:sz w:val="24"/>
                <w:kern w:val="0"/>
                <w:rFonts w:eastAsiaTheme="minorEastAsia"/>
              </w:rPr>
              <w:t>0天，每天工作10小时，共2</w:t>
            </w:r>
            <w:r>
              <w:rPr>
                <w:color w:val="auto"/>
                <w:sz w:val="24"/>
                <w:lang w:val="en-US" w:eastAsia="zh-CN"/>
                <w:kern w:val="0"/>
                <w:rFonts w:hint="eastAsia" w:eastAsiaTheme="minorEastAsia"/>
              </w:rPr>
              <w:t>4</w:t>
            </w:r>
            <w:r>
              <w:rPr>
                <w:color w:val="auto"/>
                <w:sz w:val="24"/>
                <w:kern w:val="0"/>
                <w:rFonts w:eastAsiaTheme="minorEastAsia"/>
              </w:rPr>
              <w:t>00h/a，则导热油炉天然气消耗量为</w:t>
            </w:r>
            <w:r>
              <w:rPr>
                <w:color w:val="auto"/>
                <w:sz w:val="24"/>
                <w:lang w:val="en-US" w:eastAsia="zh-CN"/>
                <w:kern w:val="0"/>
                <w:rFonts w:hint="eastAsia" w:eastAsiaTheme="minorEastAsia"/>
              </w:rPr>
              <w:t>28.05</w:t>
            </w:r>
            <w:r>
              <w:rPr>
                <w:color w:val="auto"/>
                <w:sz w:val="24"/>
                <w:kern w:val="0"/>
                <w:rFonts w:eastAsiaTheme="minorEastAsia"/>
              </w:rPr>
              <w:t>万m</w:t>
            </w:r>
            <w:r>
              <w:rPr>
                <w:vertAlign w:val="superscript"/>
                <w:color w:val="auto"/>
                <w:sz w:val="24"/>
                <w:kern w:val="0"/>
                <w:rFonts w:eastAsiaTheme="minorEastAsia"/>
              </w:rPr>
              <w:t>3</w:t>
            </w:r>
            <w:r>
              <w:rPr>
                <w:color w:val="auto"/>
                <w:sz w:val="24"/>
                <w:kern w:val="0"/>
                <w:rFonts w:eastAsiaTheme="minorEastAsia"/>
              </w:rPr>
              <w:t>/a。</w:t>
            </w:r>
          </w:p>
          <w:p w14:paraId="4D8A0A89">
            <w:pPr>
              <w:jc w:val="left"/>
              <w:contextualSpacing/>
              <w:spacing w:line="360" w:lineRule="auto"/>
              <w:ind w:firstLine="480" w:firstLineChars="200"/>
              <w:rPr>
                <w:color w:val="auto"/>
                <w:sz w:val="24"/>
                <w:rFonts w:eastAsiaTheme="minorEastAsia"/>
              </w:rPr>
            </w:pPr>
            <w:r>
              <w:rPr>
                <w:color w:val="auto"/>
                <w:sz w:val="24"/>
                <w:rFonts w:eastAsiaTheme="minorEastAsia"/>
              </w:rPr>
              <w:t>（1）上料过程粉尘</w:t>
            </w:r>
          </w:p>
          <w:p w14:paraId="1E48ACB9">
            <w:pPr>
              <w:jc w:val="left"/>
              <w:contextualSpacing/>
              <w:spacing w:line="360" w:lineRule="auto"/>
              <w:ind w:firstLine="480" w:firstLineChars="200"/>
              <w:rPr>
                <w:color w:val="auto"/>
                <w:sz w:val="24"/>
                <w:rFonts w:eastAsiaTheme="minorEastAsia"/>
              </w:rPr>
            </w:pPr>
            <w:r>
              <w:rPr>
                <w:color w:val="auto"/>
                <w:sz w:val="24"/>
                <w:rFonts w:eastAsiaTheme="minorEastAsia"/>
              </w:rPr>
              <w:t>本项目上料过程会有大量粉尘产生，年运行2</w:t>
            </w:r>
            <w:r>
              <w:rPr>
                <w:color w:val="auto"/>
                <w:sz w:val="24"/>
                <w:lang w:val="en-US" w:eastAsia="zh-CN"/>
                <w:rFonts w:hint="eastAsia" w:eastAsiaTheme="minorEastAsia"/>
              </w:rPr>
              <w:t>4</w:t>
            </w:r>
            <w:r>
              <w:rPr>
                <w:color w:val="auto"/>
                <w:sz w:val="24"/>
                <w:rFonts w:eastAsiaTheme="minorEastAsia"/>
              </w:rPr>
              <w:t>0天，每天运行10小时，参照《逸散性工业粉尘控制技术》粒料加工厂中送料上堆排放因子系数为0.0007kg/t（进料），</w:t>
            </w:r>
            <w:r>
              <w:rPr>
                <w:color w:val="auto"/>
                <w:sz w:val="24"/>
                <w:lang w:val="en-US" w:eastAsia="zh-CN"/>
                <w:rFonts w:hint="eastAsia" w:eastAsiaTheme="minorEastAsia"/>
              </w:rPr>
              <w:t>骨</w:t>
            </w:r>
            <w:r>
              <w:rPr>
                <w:color w:val="auto"/>
                <w:sz w:val="24"/>
                <w:rFonts w:eastAsiaTheme="minorEastAsia"/>
              </w:rPr>
              <w:t>料量为</w:t>
            </w:r>
            <w:r>
              <w:rPr>
                <w:color w:val="auto"/>
                <w:sz w:val="24"/>
                <w:lang w:val="en-US" w:eastAsia="zh-CN"/>
                <w:rFonts w:hint="eastAsia" w:eastAsiaTheme="minorEastAsia"/>
              </w:rPr>
              <w:t>305</w:t>
            </w:r>
            <w:r>
              <w:rPr>
                <w:color w:val="auto"/>
                <w:sz w:val="24"/>
                <w:rFonts w:eastAsiaTheme="minorEastAsia"/>
              </w:rPr>
              <w:t>000t/a，上料过程颗粒物最大产生量为0.</w:t>
            </w:r>
            <w:r>
              <w:rPr>
                <w:color w:val="auto"/>
                <w:sz w:val="24"/>
                <w:lang w:val="en-US" w:eastAsia="zh-CN"/>
                <w:rFonts w:hint="eastAsia" w:eastAsiaTheme="minorEastAsia"/>
              </w:rPr>
              <w:t>21</w:t>
            </w:r>
            <w:r>
              <w:rPr>
                <w:color w:val="auto"/>
                <w:sz w:val="24"/>
                <w:rFonts w:eastAsiaTheme="minorEastAsia"/>
              </w:rPr>
              <w:t>t/a、产生速率为0.0</w:t>
            </w:r>
            <w:r>
              <w:rPr>
                <w:color w:val="auto"/>
                <w:sz w:val="24"/>
                <w:lang w:val="en-US" w:eastAsia="zh-CN"/>
                <w:rFonts w:hint="eastAsia" w:eastAsiaTheme="minorEastAsia"/>
              </w:rPr>
              <w:t>89</w:t>
            </w:r>
            <w:r>
              <w:rPr>
                <w:color w:val="auto"/>
                <w:sz w:val="24"/>
                <w:rFonts w:eastAsiaTheme="minorEastAsia"/>
              </w:rPr>
              <w:t>kg/h，在冷料仓设置集气装置（集气效率90%），通过管道连接至除尘系统（重力+布袋），处理后经除尘系统烟囱（DA001）排放，除尘效率为99%，处理后粉尘排放量为0.001</w:t>
            </w:r>
            <w:r>
              <w:rPr>
                <w:color w:val="auto"/>
                <w:sz w:val="24"/>
                <w:lang w:val="en-US" w:eastAsia="zh-CN"/>
                <w:rFonts w:hint="eastAsia" w:eastAsiaTheme="minorEastAsia"/>
              </w:rPr>
              <w:t>9</w:t>
            </w:r>
            <w:r>
              <w:rPr>
                <w:color w:val="auto"/>
                <w:sz w:val="24"/>
                <w:rFonts w:eastAsiaTheme="minorEastAsia"/>
              </w:rPr>
              <w:t>t/a、排放速率为0.000</w:t>
            </w:r>
            <w:r>
              <w:rPr>
                <w:color w:val="auto"/>
                <w:sz w:val="24"/>
                <w:lang w:val="en-US" w:eastAsia="zh-CN"/>
                <w:rFonts w:hint="eastAsia" w:eastAsiaTheme="minorEastAsia"/>
              </w:rPr>
              <w:t>8</w:t>
            </w:r>
            <w:r>
              <w:rPr>
                <w:color w:val="auto"/>
                <w:sz w:val="24"/>
                <w:rFonts w:eastAsiaTheme="minorEastAsia"/>
              </w:rPr>
              <w:t>kg/h。</w:t>
            </w:r>
          </w:p>
          <w:p w14:paraId="12DF7E63">
            <w:pPr>
              <w:contextualSpacing/>
              <w:spacing w:line="360" w:lineRule="auto"/>
              <w:ind w:firstLine="480" w:firstLineChars="200"/>
              <w:rPr>
                <w:color w:val="auto"/>
                <w:sz w:val="24"/>
                <w:bCs/>
                <w:rFonts w:eastAsiaTheme="minorEastAsia"/>
              </w:rPr>
            </w:pPr>
            <w:r>
              <w:rPr>
                <w:color w:val="auto"/>
                <w:sz w:val="24"/>
                <w:bCs/>
                <w:rFonts w:eastAsiaTheme="minorEastAsia"/>
              </w:rPr>
              <w:t>（2）</w:t>
            </w:r>
            <w:r>
              <w:rPr>
                <w:color w:val="auto"/>
                <w:sz w:val="24"/>
                <w:lang w:val="en-US" w:eastAsia="zh-CN"/>
                <w:bCs/>
                <w:rFonts w:hint="eastAsia" w:eastAsiaTheme="minorEastAsia"/>
              </w:rPr>
              <w:t>骨料</w:t>
            </w:r>
            <w:r>
              <w:rPr>
                <w:color w:val="auto"/>
                <w:sz w:val="24"/>
                <w:bCs/>
                <w:rFonts w:eastAsiaTheme="minorEastAsia"/>
              </w:rPr>
              <w:t>烘干粉尘、</w:t>
            </w:r>
            <w:r>
              <w:rPr>
                <w:color w:val="auto"/>
                <w:sz w:val="24"/>
                <w:rFonts w:eastAsiaTheme="minorEastAsia"/>
              </w:rPr>
              <w:t>28MW燃</w:t>
            </w:r>
            <w:r>
              <w:rPr>
                <w:color w:val="auto"/>
                <w:sz w:val="24"/>
                <w:bCs/>
                <w:rFonts w:eastAsiaTheme="minorEastAsia"/>
              </w:rPr>
              <w:t>天然气</w:t>
            </w:r>
            <w:r>
              <w:rPr>
                <w:color w:val="auto"/>
                <w:sz w:val="24"/>
                <w:rFonts w:eastAsiaTheme="minorEastAsia"/>
              </w:rPr>
              <w:t>燃烧器烟气</w:t>
            </w:r>
            <w:r>
              <w:rPr>
                <w:color w:val="auto"/>
                <w:sz w:val="24"/>
                <w:bCs/>
                <w:rFonts w:eastAsiaTheme="minorEastAsia"/>
              </w:rPr>
              <w:t>、筛分粉尘、热料仓落料粉尘</w:t>
            </w:r>
          </w:p>
          <w:p w14:paraId="45484F66">
            <w:pPr>
              <w:contextualSpacing/>
              <w:spacing w:line="360" w:lineRule="auto"/>
              <w:ind w:firstLine="480" w:firstLineChars="200"/>
              <w:rPr>
                <w:color w:val="auto"/>
                <w:sz w:val="24"/>
                <w:bCs/>
              </w:rPr>
            </w:pPr>
            <w:r>
              <w:rPr>
                <w:color w:val="auto"/>
                <w:sz w:val="24"/>
                <w:bCs/>
              </w:rPr>
              <w:fldChar w:fldCharType="begin"/>
            </w:r>
            <w:r>
              <w:rPr>
                <w:color w:val="auto"/>
                <w:sz w:val="24"/>
                <w:bCs/>
              </w:rPr>
              <w:instrText xml:space="preserve"> = 1 \* GB3 </w:instrText>
            </w:r>
            <w:r>
              <w:rPr>
                <w:color w:val="auto"/>
                <w:sz w:val="24"/>
                <w:bCs/>
              </w:rPr>
              <w:fldChar w:fldCharType="separate"/>
            </w:r>
            <w:r>
              <w:rPr>
                <w:color w:val="auto"/>
                <w:sz w:val="24"/>
                <w:bCs/>
                <w:rFonts w:hAnsi="宋体"/>
              </w:rPr>
              <w:t>①</w:t>
            </w:r>
            <w:r>
              <w:rPr>
                <w:color w:val="auto"/>
                <w:sz w:val="24"/>
                <w:bCs/>
              </w:rPr>
              <w:fldChar w:fldCharType="end"/>
            </w:r>
            <w:r>
              <w:rPr>
                <w:color w:val="auto"/>
                <w:sz w:val="24"/>
                <w:lang w:val="en-US" w:eastAsia="zh-CN"/>
                <w:bCs/>
                <w:rFonts w:hint="eastAsia"/>
              </w:rPr>
              <w:t>冷</w:t>
            </w:r>
            <w:r>
              <w:rPr>
                <w:color w:val="auto"/>
                <w:sz w:val="24"/>
                <w:lang w:val="en-US" w:eastAsia="zh-CN"/>
                <w:bCs/>
                <w:rFonts w:hint="eastAsia" w:eastAsiaTheme="minorEastAsia"/>
              </w:rPr>
              <w:t>骨料</w:t>
            </w:r>
            <w:r>
              <w:rPr>
                <w:color w:val="auto"/>
                <w:sz w:val="24"/>
                <w:bCs/>
                <w:rFonts w:hAnsi="宋体" w:hint="eastAsia"/>
              </w:rPr>
              <w:t>烘干</w:t>
            </w:r>
            <w:r>
              <w:rPr>
                <w:color w:val="auto"/>
                <w:sz w:val="24"/>
                <w:bCs/>
                <w:rFonts w:hAnsi="宋体"/>
              </w:rPr>
              <w:t>产生的粉尘</w:t>
            </w:r>
          </w:p>
          <w:p w14:paraId="5AC18531">
            <w:pPr>
              <w:contextualSpacing/>
              <w:spacing w:line="360" w:lineRule="auto"/>
              <w:ind w:firstLine="480" w:firstLineChars="200"/>
              <w:rPr>
                <w:color w:val="auto"/>
                <w:sz w:val="24"/>
                <w:rFonts w:hAnsi="宋体"/>
              </w:rPr>
            </w:pPr>
            <w:r>
              <w:rPr>
                <w:color w:val="auto"/>
                <w:sz w:val="24"/>
                <w:bCs/>
                <w:rFonts w:hAnsi="宋体"/>
              </w:rPr>
              <w:t>项目为使沥青混凝土产品不至于因过快冷却而带来运输上的不便，</w:t>
            </w:r>
            <w:r>
              <w:rPr>
                <w:color w:val="auto"/>
                <w:sz w:val="24"/>
                <w:lang w:val="en-US" w:eastAsia="zh-CN"/>
                <w:bCs/>
                <w:rFonts w:hint="eastAsia" w:eastAsiaTheme="minorEastAsia"/>
              </w:rPr>
              <w:t>骨料</w:t>
            </w:r>
            <w:r>
              <w:rPr>
                <w:color w:val="auto"/>
                <w:sz w:val="24"/>
                <w:bCs/>
                <w:rFonts w:hAnsi="宋体"/>
              </w:rPr>
              <w:t>在上沥青前要经过加热处理，且通过密闭的干燥筒不停转动以使碎石料受热均匀，碎石料在干燥筒内加热时有粉尘产生。</w:t>
            </w:r>
            <w:r>
              <w:rPr>
                <w:color w:val="auto"/>
                <w:sz w:val="24"/>
                <w:rFonts w:hAnsi="宋体"/>
              </w:rPr>
              <w:t>年运行</w:t>
            </w:r>
            <w:r>
              <w:rPr>
                <w:color w:val="auto"/>
                <w:sz w:val="24"/>
                <w:rFonts w:hint="eastAsia"/>
              </w:rPr>
              <w:t>2</w:t>
            </w:r>
            <w:r>
              <w:rPr>
                <w:color w:val="auto"/>
                <w:sz w:val="24"/>
                <w:lang w:val="en-US" w:eastAsia="zh-CN"/>
                <w:rFonts w:hint="eastAsia"/>
              </w:rPr>
              <w:t>4</w:t>
            </w:r>
            <w:r>
              <w:rPr>
                <w:color w:val="auto"/>
                <w:sz w:val="24"/>
                <w:rFonts w:hint="eastAsia"/>
              </w:rPr>
              <w:t>0</w:t>
            </w:r>
            <w:r>
              <w:rPr>
                <w:color w:val="auto"/>
                <w:sz w:val="24"/>
                <w:rFonts w:hAnsi="宋体"/>
              </w:rPr>
              <w:t>天，每天运行</w:t>
            </w:r>
            <w:r>
              <w:rPr>
                <w:color w:val="auto"/>
                <w:sz w:val="24"/>
                <w:rFonts w:hint="eastAsia"/>
              </w:rPr>
              <w:t>10</w:t>
            </w:r>
            <w:r>
              <w:rPr>
                <w:color w:val="auto"/>
                <w:sz w:val="24"/>
                <w:rFonts w:hAnsi="宋体"/>
              </w:rPr>
              <w:t>小时，根据《逸散性工业粉尘控制技术》，粉尘产生量为</w:t>
            </w:r>
            <w:r>
              <w:rPr>
                <w:color w:val="auto"/>
                <w:sz w:val="24"/>
              </w:rPr>
              <w:t>0.25kg/t</w:t>
            </w:r>
            <w:r>
              <w:rPr>
                <w:color w:val="auto"/>
                <w:sz w:val="24"/>
                <w:rFonts w:hAnsi="宋体"/>
              </w:rPr>
              <w:t>原料，</w:t>
            </w:r>
            <w:r>
              <w:rPr>
                <w:color w:val="auto"/>
                <w:sz w:val="24"/>
                <w:bCs/>
                <w:rFonts w:hAnsi="宋体"/>
              </w:rPr>
              <w:t>则粉尘产生量</w:t>
            </w:r>
            <w:r>
              <w:rPr>
                <w:color w:val="auto"/>
                <w:sz w:val="24"/>
                <w:lang w:val="en-US" w:eastAsia="zh-CN"/>
                <w:bCs/>
                <w:rFonts w:hint="eastAsia"/>
              </w:rPr>
              <w:t>76.25</w:t>
            </w:r>
            <w:r>
              <w:rPr>
                <w:color w:val="auto"/>
                <w:sz w:val="24"/>
                <w:bCs/>
              </w:rPr>
              <w:t>t/a</w:t>
            </w:r>
            <w:r>
              <w:rPr>
                <w:color w:val="auto"/>
                <w:sz w:val="24"/>
                <w:bCs/>
                <w:rFonts w:hAnsi="宋体"/>
              </w:rPr>
              <w:t>、</w:t>
            </w:r>
            <w:r>
              <w:rPr>
                <w:color w:val="auto"/>
                <w:sz w:val="24"/>
                <w:lang w:val="en-US" w:eastAsia="zh-CN"/>
                <w:bCs/>
                <w:rFonts w:hint="eastAsia"/>
              </w:rPr>
              <w:t>31.8</w:t>
            </w:r>
            <w:r>
              <w:rPr>
                <w:color w:val="auto"/>
                <w:sz w:val="24"/>
                <w:bCs/>
              </w:rPr>
              <w:t>kg/h</w:t>
            </w:r>
            <w:r>
              <w:rPr>
                <w:color w:val="auto"/>
                <w:sz w:val="24"/>
                <w:bCs/>
                <w:rFonts w:hAnsi="宋体"/>
              </w:rPr>
              <w:t>，</w:t>
            </w:r>
            <w:r>
              <w:rPr>
                <w:color w:val="auto"/>
                <w:sz w:val="24"/>
                <w:rFonts w:hAnsi="宋体" w:hint="eastAsia"/>
              </w:rPr>
              <w:t>经</w:t>
            </w:r>
            <w:r>
              <w:rPr>
                <w:color w:val="auto"/>
                <w:sz w:val="24"/>
                <w:rFonts w:hint="eastAsia"/>
              </w:rPr>
              <w:t>除尘</w:t>
            </w:r>
            <w:r>
              <w:rPr>
                <w:color w:val="auto"/>
                <w:sz w:val="24"/>
              </w:rPr>
              <w:t>系统</w:t>
            </w:r>
            <w:r>
              <w:rPr>
                <w:color w:val="auto"/>
                <w:sz w:val="24"/>
                <w:rFonts w:hAnsi="宋体"/>
              </w:rPr>
              <w:t>（重力</w:t>
            </w:r>
            <w:r>
              <w:rPr>
                <w:color w:val="auto"/>
                <w:sz w:val="24"/>
                <w:rFonts w:hAnsi="宋体" w:hint="eastAsia"/>
              </w:rPr>
              <w:t>+布袋，</w:t>
            </w:r>
            <w:r>
              <w:rPr>
                <w:color w:val="auto"/>
                <w:sz w:val="24"/>
                <w:rFonts w:hAnsi="宋体"/>
              </w:rPr>
              <w:t>除尘效率</w:t>
            </w:r>
            <w:r>
              <w:rPr>
                <w:color w:val="auto"/>
                <w:sz w:val="24"/>
              </w:rPr>
              <w:t>99%</w:t>
            </w:r>
            <w:r>
              <w:rPr>
                <w:color w:val="auto"/>
                <w:sz w:val="24"/>
                <w:rFonts w:hAnsi="宋体"/>
              </w:rPr>
              <w:t>）处理后，由</w:t>
            </w:r>
            <w:r>
              <w:rPr>
                <w:color w:val="auto"/>
                <w:sz w:val="24"/>
                <w:rFonts w:hint="eastAsia"/>
              </w:rPr>
              <w:t>15</w:t>
            </w:r>
            <w:r>
              <w:rPr>
                <w:color w:val="auto"/>
                <w:sz w:val="24"/>
              </w:rPr>
              <w:t>m</w:t>
            </w:r>
            <w:r>
              <w:rPr>
                <w:color w:val="auto"/>
                <w:sz w:val="24"/>
                <w:rFonts w:hAnsi="宋体"/>
              </w:rPr>
              <w:t>高</w:t>
            </w:r>
            <w:r>
              <w:rPr>
                <w:color w:val="auto"/>
                <w:sz w:val="24"/>
                <w:rFonts w:hint="eastAsia"/>
              </w:rPr>
              <w:t>除尘</w:t>
            </w:r>
            <w:r>
              <w:rPr>
                <w:color w:val="auto"/>
                <w:sz w:val="24"/>
              </w:rPr>
              <w:t>系统烟囱</w:t>
            </w:r>
            <w:r>
              <w:rPr>
                <w:color w:val="auto"/>
                <w:sz w:val="24"/>
                <w:rFonts w:hint="eastAsia"/>
              </w:rPr>
              <w:t>（DA001）</w:t>
            </w:r>
            <w:r>
              <w:rPr>
                <w:color w:val="auto"/>
                <w:sz w:val="24"/>
                <w:rFonts w:hAnsi="宋体"/>
              </w:rPr>
              <w:t>排放，处理后粉尘排放量为</w:t>
            </w:r>
            <w:r>
              <w:rPr>
                <w:color w:val="auto"/>
                <w:sz w:val="24"/>
                <w:rFonts w:hAnsi="宋体"/>
              </w:rPr>
              <w:t>0.</w:t>
            </w:r>
            <w:r>
              <w:rPr>
                <w:color w:val="auto"/>
                <w:sz w:val="24"/>
                <w:lang w:val="en-US" w:eastAsia="zh-CN"/>
                <w:rFonts w:hAnsi="宋体" w:hint="eastAsia"/>
              </w:rPr>
              <w:t>76</w:t>
            </w:r>
            <w:r>
              <w:rPr>
                <w:color w:val="auto"/>
                <w:sz w:val="24"/>
                <w:rFonts w:hAnsi="宋体"/>
              </w:rPr>
              <w:t>t/a、排放速率为0.</w:t>
            </w:r>
            <w:r>
              <w:rPr>
                <w:color w:val="auto"/>
                <w:sz w:val="24"/>
                <w:lang w:val="en-US" w:eastAsia="zh-CN"/>
                <w:rFonts w:hAnsi="宋体" w:hint="eastAsia"/>
              </w:rPr>
              <w:t>318</w:t>
            </w:r>
            <w:r>
              <w:rPr>
                <w:color w:val="auto"/>
                <w:sz w:val="24"/>
                <w:rFonts w:hAnsi="宋体"/>
              </w:rPr>
              <w:t>kg/h</w:t>
            </w:r>
            <w:r>
              <w:rPr>
                <w:color w:val="auto"/>
                <w:sz w:val="24"/>
                <w:rFonts w:hAnsi="宋体"/>
              </w:rPr>
              <w:t>。</w:t>
            </w:r>
          </w:p>
          <w:p w14:paraId="4947116F">
            <w:pPr>
              <w:contextualSpacing/>
              <w:spacing w:line="360" w:lineRule="auto"/>
              <w:ind w:firstLine="480" w:firstLineChars="200"/>
              <w:rPr>
                <w:color w:val="auto"/>
                <w:sz w:val="24"/>
                <w:bCs/>
              </w:rPr>
            </w:pPr>
            <w:r>
              <w:rPr>
                <w:color w:val="auto"/>
                <w:sz w:val="24"/>
                <w:bCs/>
                <w:rFonts w:hAnsi="宋体"/>
              </w:rPr>
              <w:fldChar w:fldCharType="begin"/>
            </w:r>
            <w:r>
              <w:rPr>
                <w:color w:val="auto"/>
                <w:sz w:val="24"/>
                <w:bCs/>
                <w:rFonts w:hAnsi="宋体"/>
              </w:rPr>
              <w:instrText xml:space="preserve"> = 2 \* GB3 </w:instrText>
            </w:r>
            <w:r>
              <w:rPr>
                <w:color w:val="auto"/>
                <w:sz w:val="24"/>
                <w:bCs/>
                <w:rFonts w:hAnsi="宋体"/>
              </w:rPr>
              <w:fldChar w:fldCharType="separate"/>
            </w:r>
            <w:r>
              <w:rPr>
                <w:color w:val="auto"/>
                <w:sz w:val="24"/>
                <w:bCs/>
                <w:rFonts w:hAnsi="宋体" w:hint="eastAsia"/>
              </w:rPr>
              <w:t>②</w:t>
            </w:r>
            <w:r>
              <w:rPr>
                <w:color w:val="auto"/>
                <w:sz w:val="24"/>
                <w:bCs/>
                <w:rFonts w:hAnsi="宋体"/>
              </w:rPr>
              <w:fldChar w:fldCharType="end"/>
            </w:r>
            <w:r>
              <w:rPr>
                <w:color w:val="auto"/>
                <w:sz w:val="24"/>
                <w:rFonts w:hint="eastAsia"/>
              </w:rPr>
              <w:t>28MW</w:t>
            </w:r>
            <w:r>
              <w:rPr>
                <w:color w:val="auto"/>
                <w:sz w:val="24"/>
              </w:rPr>
              <w:t>燃</w:t>
            </w:r>
            <w:r>
              <w:rPr>
                <w:color w:val="auto"/>
                <w:sz w:val="24"/>
                <w:bCs/>
                <w:rFonts w:hint="eastAsia"/>
              </w:rPr>
              <w:t>天然气</w:t>
            </w:r>
            <w:r>
              <w:rPr>
                <w:color w:val="auto"/>
                <w:sz w:val="24"/>
              </w:rPr>
              <w:t>燃烧器</w:t>
            </w:r>
            <w:r>
              <w:rPr>
                <w:color w:val="auto"/>
                <w:sz w:val="24"/>
                <w:bCs/>
                <w:rFonts w:hAnsi="宋体"/>
              </w:rPr>
              <w:t>烟气</w:t>
            </w:r>
          </w:p>
          <w:p w14:paraId="4B10E770">
            <w:pPr>
              <w:spacing w:line="360" w:lineRule="auto"/>
              <w:ind w:firstLine="480" w:firstLineChars="200"/>
              <w:rPr>
                <w:color w:val="auto"/>
                <w:sz w:val="24"/>
                <w:rFonts w:hAnsi="宋体"/>
              </w:rPr>
            </w:pPr>
            <w:r>
              <w:rPr>
                <w:color w:val="auto"/>
                <w:sz w:val="24"/>
                <w:rFonts w:hAnsi="宋体"/>
              </w:rPr>
              <w:t>本项目骨料热处理热源为</w:t>
            </w:r>
            <w:r>
              <w:rPr>
                <w:color w:val="auto"/>
                <w:sz w:val="24"/>
              </w:rPr>
              <w:t>1</w:t>
            </w:r>
            <w:r>
              <w:rPr>
                <w:color w:val="auto"/>
                <w:sz w:val="24"/>
                <w:rFonts w:hAnsi="宋体"/>
              </w:rPr>
              <w:t>台</w:t>
            </w:r>
            <w:r>
              <w:rPr>
                <w:color w:val="auto"/>
                <w:sz w:val="24"/>
                <w:rFonts w:hint="eastAsia"/>
              </w:rPr>
              <w:t>28MW</w:t>
            </w:r>
            <w:r>
              <w:rPr>
                <w:color w:val="auto"/>
                <w:sz w:val="24"/>
              </w:rPr>
              <w:t>燃</w:t>
            </w:r>
            <w:r>
              <w:rPr>
                <w:color w:val="auto"/>
                <w:sz w:val="24"/>
                <w:bCs/>
                <w:rFonts w:hint="eastAsia"/>
              </w:rPr>
              <w:t>天然气</w:t>
            </w:r>
            <w:r>
              <w:rPr>
                <w:color w:val="auto"/>
                <w:sz w:val="24"/>
              </w:rPr>
              <w:t>燃烧器</w:t>
            </w:r>
            <w:r>
              <w:rPr>
                <w:color w:val="auto"/>
                <w:sz w:val="24"/>
                <w:rFonts w:hAnsi="宋体"/>
              </w:rPr>
              <w:t>，燃</w:t>
            </w:r>
            <w:r>
              <w:rPr>
                <w:color w:val="auto"/>
                <w:sz w:val="24"/>
                <w:rFonts w:hAnsi="宋体" w:hint="eastAsia"/>
              </w:rPr>
              <w:t>天然气</w:t>
            </w:r>
            <w:r>
              <w:rPr>
                <w:color w:val="auto"/>
                <w:sz w:val="24"/>
                <w:rFonts w:hAnsi="宋体"/>
              </w:rPr>
              <w:t>量约</w:t>
            </w:r>
            <w:r>
              <w:rPr>
                <w:color w:val="auto"/>
                <w:sz w:val="24"/>
                <w:rFonts w:hint="eastAsia"/>
              </w:rPr>
              <w:t>3</w:t>
            </w:r>
            <w:r>
              <w:rPr>
                <w:color w:val="auto"/>
                <w:sz w:val="24"/>
                <w:lang w:val="en-US" w:eastAsia="zh-CN"/>
                <w:rFonts w:hint="eastAsia"/>
              </w:rPr>
              <w:t>36</w:t>
            </w:r>
            <w:r>
              <w:rPr>
                <w:color w:val="auto"/>
                <w:sz w:val="24"/>
                <w:rFonts w:hint="eastAsia"/>
              </w:rPr>
              <w:t>万</w:t>
            </w:r>
            <w:r>
              <w:rPr>
                <w:color w:val="auto"/>
                <w:sz w:val="24"/>
              </w:rPr>
              <w:t>m³/a</w:t>
            </w:r>
            <w:r>
              <w:rPr>
                <w:color w:val="auto"/>
                <w:sz w:val="24"/>
                <w:rFonts w:hAnsi="宋体"/>
              </w:rPr>
              <w:t>，年运行</w:t>
            </w:r>
            <w:r>
              <w:rPr>
                <w:color w:val="auto"/>
                <w:sz w:val="24"/>
                <w:rFonts w:hint="eastAsia"/>
              </w:rPr>
              <w:t>2</w:t>
            </w:r>
            <w:r>
              <w:rPr>
                <w:color w:val="auto"/>
                <w:sz w:val="24"/>
                <w:lang w:val="en-US" w:eastAsia="zh-CN"/>
                <w:rFonts w:hint="eastAsia"/>
              </w:rPr>
              <w:t>4</w:t>
            </w:r>
            <w:r>
              <w:rPr>
                <w:color w:val="auto"/>
                <w:sz w:val="24"/>
                <w:rFonts w:hint="eastAsia"/>
              </w:rPr>
              <w:t>0</w:t>
            </w:r>
            <w:r>
              <w:rPr>
                <w:color w:val="auto"/>
                <w:sz w:val="24"/>
                <w:rFonts w:hAnsi="宋体"/>
              </w:rPr>
              <w:t>天，每天运行</w:t>
            </w:r>
            <w:r>
              <w:rPr>
                <w:color w:val="auto"/>
                <w:sz w:val="24"/>
                <w:rFonts w:hint="eastAsia"/>
              </w:rPr>
              <w:t>10</w:t>
            </w:r>
            <w:r>
              <w:rPr>
                <w:color w:val="auto"/>
                <w:sz w:val="24"/>
                <w:rFonts w:hAnsi="宋体"/>
              </w:rPr>
              <w:t>小时，烟气</w:t>
            </w:r>
            <w:r>
              <w:rPr>
                <w:color w:val="auto"/>
                <w:sz w:val="24"/>
                <w:rFonts w:hAnsi="宋体" w:hint="eastAsia"/>
              </w:rPr>
              <w:t>经除尘系统（重力+布袋）处理后，由15m高除尘系统排气筒（DA001）排放，除尘效率为99%。</w:t>
            </w:r>
          </w:p>
          <w:p w14:paraId="2D048099">
            <w:pPr>
              <w:spacing w:line="360" w:lineRule="auto"/>
              <w:ind w:firstLine="480" w:firstLineChars="200"/>
              <w:rPr>
                <w:color w:val="auto"/>
                <w:sz w:val="24"/>
              </w:rPr>
            </w:pPr>
            <w:r>
              <w:rPr>
                <w:color w:val="auto"/>
                <w:sz w:val="24"/>
              </w:rPr>
              <w:t>参考《未纳入排污许可管理行业适用的排污系数、物料衡算方法（试行）》中能够独立计量燃料消耗的，各污染物排放量核算方法如下：</w:t>
            </w:r>
          </w:p>
          <w:p w14:paraId="51DA0156">
            <w:pPr>
              <w:spacing w:line="360" w:lineRule="auto"/>
              <w:ind w:firstLine="480" w:firstLineChars="200"/>
              <w:rPr>
                <w:color w:val="auto"/>
                <w:sz w:val="24"/>
              </w:rPr>
            </w:pPr>
            <w:r>
              <w:rPr>
                <w:color w:val="auto"/>
                <w:sz w:val="24"/>
              </w:rPr>
              <w:t>二氧化硫排放量核算方法为：</w:t>
            </w:r>
          </w:p>
          <w:p w14:paraId="01138748">
            <w:pPr>
              <w:jc w:val="center"/>
              <w:spacing w:line="360" w:lineRule="auto"/>
              <w:rPr>
                <w:color w:val="auto"/>
                <w:sz w:val="24"/>
              </w:rPr>
            </w:pPr>
            <w:r>
              <w:rPr>
                <w:color w:val="auto"/>
                <w:sz w:val="24"/>
              </w:rPr>
              <w:t>Pso</w:t>
            </w:r>
            <w:r>
              <w:rPr>
                <w:vertAlign w:val="subscript"/>
                <w:color w:val="auto"/>
                <w:sz w:val="24"/>
              </w:rPr>
              <w:t>2</w:t>
            </w:r>
            <w:r>
              <w:rPr>
                <w:color w:val="auto"/>
                <w:sz w:val="24"/>
              </w:rPr>
              <w:t>=Q×η×0.85×2×10</w:t>
            </w:r>
          </w:p>
          <w:p w14:paraId="35EB476E">
            <w:pPr>
              <w:spacing w:line="360" w:lineRule="auto"/>
              <w:rPr>
                <w:color w:val="auto"/>
                <w:sz w:val="24"/>
              </w:rPr>
            </w:pPr>
            <w:r>
              <w:rPr>
                <w:color w:val="auto"/>
                <w:sz w:val="24"/>
              </w:rPr>
              <w:t>式中：Pso</w:t>
            </w:r>
            <w:r>
              <w:rPr>
                <w:vertAlign w:val="subscript"/>
                <w:color w:val="auto"/>
                <w:sz w:val="24"/>
              </w:rPr>
              <w:t>2</w:t>
            </w:r>
            <w:r>
              <w:rPr>
                <w:color w:val="auto"/>
                <w:sz w:val="24"/>
              </w:rPr>
              <w:t>为二氧化硫排放量（千克）；</w:t>
            </w:r>
          </w:p>
          <w:p w14:paraId="36CD279E">
            <w:pPr>
              <w:spacing w:line="360" w:lineRule="auto"/>
              <w:rPr>
                <w:color w:val="auto"/>
                <w:sz w:val="24"/>
              </w:rPr>
            </w:pPr>
            <w:r>
              <w:rPr>
                <w:color w:val="auto"/>
                <w:sz w:val="24"/>
              </w:rPr>
              <w:t xml:space="preserve">      Q为燃料消耗量（万m</w:t>
            </w:r>
            <w:r>
              <w:rPr>
                <w:vertAlign w:val="superscript"/>
                <w:color w:val="auto"/>
                <w:sz w:val="24"/>
              </w:rPr>
              <w:t>3</w:t>
            </w:r>
            <w:r>
              <w:rPr>
                <w:color w:val="auto"/>
                <w:sz w:val="24"/>
              </w:rPr>
              <w:t>），取</w:t>
            </w:r>
            <w:r>
              <w:rPr>
                <w:color w:val="auto"/>
                <w:sz w:val="24"/>
              </w:rPr>
              <w:t>3</w:t>
            </w:r>
            <w:r>
              <w:rPr>
                <w:color w:val="auto"/>
                <w:sz w:val="24"/>
                <w:lang w:val="en-US" w:eastAsia="zh-CN"/>
                <w:rFonts w:hint="eastAsia"/>
              </w:rPr>
              <w:t>36</w:t>
            </w:r>
            <w:r>
              <w:rPr>
                <w:color w:val="auto"/>
                <w:sz w:val="24"/>
              </w:rPr>
              <w:t>万m</w:t>
            </w:r>
            <w:r>
              <w:rPr>
                <w:vertAlign w:val="superscript"/>
                <w:color w:val="auto"/>
                <w:sz w:val="24"/>
              </w:rPr>
              <w:t>3</w:t>
            </w:r>
            <w:r>
              <w:rPr>
                <w:color w:val="auto"/>
                <w:sz w:val="24"/>
              </w:rPr>
              <w:t>；</w:t>
            </w:r>
          </w:p>
          <w:p w14:paraId="1476ED4E">
            <w:pPr>
              <w:spacing w:line="360" w:lineRule="auto"/>
              <w:rPr>
                <w:color w:val="auto"/>
                <w:sz w:val="24"/>
              </w:rPr>
            </w:pPr>
            <w:r>
              <w:rPr>
                <w:color w:val="auto"/>
                <w:sz w:val="24"/>
              </w:rPr>
              <w:t xml:space="preserve">      η为燃料含硫量（%），取0.0002%。</w:t>
            </w:r>
          </w:p>
          <w:p w14:paraId="5372D2CF">
            <w:pPr>
              <w:spacing w:line="360" w:lineRule="auto"/>
              <w:rPr>
                <w:color w:val="auto"/>
                <w:sz w:val="24"/>
              </w:rPr>
            </w:pPr>
            <w:r>
              <w:rPr>
                <w:color w:val="auto"/>
                <w:sz w:val="24"/>
              </w:rPr>
              <w:t>氮氧化物排放量核算方法为：</w:t>
            </w:r>
          </w:p>
          <w:p w14:paraId="20C721E6">
            <w:pPr>
              <w:jc w:val="center"/>
              <w:spacing w:line="360" w:lineRule="auto"/>
              <w:rPr>
                <w:color w:val="auto"/>
                <w:sz w:val="24"/>
              </w:rPr>
            </w:pPr>
            <w:r>
              <w:rPr>
                <w:color w:val="auto"/>
                <w:sz w:val="24"/>
              </w:rPr>
              <w:t>P</w:t>
            </w:r>
            <w:r>
              <w:rPr>
                <w:vertAlign w:val="subscript"/>
                <w:color w:val="auto"/>
                <w:sz w:val="24"/>
              </w:rPr>
              <w:t>NOx</w:t>
            </w:r>
            <w:r>
              <w:rPr>
                <w:color w:val="auto"/>
                <w:sz w:val="24"/>
              </w:rPr>
              <w:t>=Q×μ</w:t>
            </w:r>
          </w:p>
          <w:p w14:paraId="18C9BEB8">
            <w:pPr>
              <w:spacing w:line="360" w:lineRule="auto"/>
              <w:rPr>
                <w:color w:val="auto"/>
                <w:sz w:val="24"/>
              </w:rPr>
            </w:pPr>
            <w:r>
              <w:rPr>
                <w:color w:val="auto"/>
                <w:sz w:val="24"/>
              </w:rPr>
              <w:t>式中：P</w:t>
            </w:r>
            <w:r>
              <w:rPr>
                <w:vertAlign w:val="subscript"/>
                <w:color w:val="auto"/>
                <w:sz w:val="24"/>
              </w:rPr>
              <w:t>NOx</w:t>
            </w:r>
            <w:r>
              <w:rPr>
                <w:color w:val="auto"/>
                <w:sz w:val="24"/>
              </w:rPr>
              <w:t>为氮氧化物排放量（千克）；</w:t>
            </w:r>
          </w:p>
          <w:p w14:paraId="53138683">
            <w:pPr>
              <w:spacing w:line="360" w:lineRule="auto"/>
              <w:rPr>
                <w:color w:val="auto"/>
                <w:sz w:val="24"/>
              </w:rPr>
            </w:pPr>
            <w:r>
              <w:rPr>
                <w:color w:val="auto"/>
                <w:sz w:val="24"/>
              </w:rPr>
              <w:t xml:space="preserve">      Q为燃料消耗量（万m</w:t>
            </w:r>
            <w:r>
              <w:rPr>
                <w:vertAlign w:val="superscript"/>
                <w:color w:val="auto"/>
                <w:sz w:val="24"/>
              </w:rPr>
              <w:t>3</w:t>
            </w:r>
            <w:r>
              <w:rPr>
                <w:color w:val="auto"/>
                <w:sz w:val="24"/>
              </w:rPr>
              <w:t>），取</w:t>
            </w:r>
            <w:r>
              <w:rPr>
                <w:color w:val="auto"/>
                <w:sz w:val="24"/>
              </w:rPr>
              <w:t>3</w:t>
            </w:r>
            <w:r>
              <w:rPr>
                <w:color w:val="auto"/>
                <w:sz w:val="24"/>
                <w:lang w:val="en-US" w:eastAsia="zh-CN"/>
                <w:rFonts w:hint="eastAsia"/>
              </w:rPr>
              <w:t>36</w:t>
            </w:r>
            <w:r>
              <w:rPr>
                <w:color w:val="auto"/>
                <w:sz w:val="24"/>
              </w:rPr>
              <w:t>万m</w:t>
            </w:r>
            <w:r>
              <w:rPr>
                <w:vertAlign w:val="superscript"/>
                <w:color w:val="auto"/>
                <w:sz w:val="24"/>
              </w:rPr>
              <w:t>3</w:t>
            </w:r>
            <w:r>
              <w:rPr>
                <w:color w:val="auto"/>
                <w:sz w:val="24"/>
              </w:rPr>
              <w:t>；</w:t>
            </w:r>
          </w:p>
          <w:p w14:paraId="1E3819F8">
            <w:pPr>
              <w:spacing w:line="360" w:lineRule="auto"/>
              <w:ind w:firstLine="720" w:firstLineChars="300"/>
              <w:rPr>
                <w:color w:val="auto"/>
                <w:sz w:val="24"/>
              </w:rPr>
            </w:pPr>
            <w:r>
              <w:rPr>
                <w:color w:val="auto"/>
                <w:sz w:val="24"/>
              </w:rPr>
              <w:t>μ为排污系数，天然气取8千克/万立方米天然气。</w:t>
            </w:r>
          </w:p>
          <w:p w14:paraId="590997EF">
            <w:pPr>
              <w:spacing w:line="360" w:lineRule="auto"/>
              <w:rPr>
                <w:color w:val="auto"/>
                <w:sz w:val="24"/>
              </w:rPr>
            </w:pPr>
            <w:r>
              <w:rPr>
                <w:color w:val="auto"/>
                <w:sz w:val="24"/>
                <w:rFonts w:hint="eastAsia"/>
              </w:rPr>
              <w:t>烟尘排放量核算方法为：</w:t>
            </w:r>
          </w:p>
          <w:p w14:paraId="7EDCC771">
            <w:pPr>
              <w:jc w:val="center"/>
              <w:spacing w:line="360" w:lineRule="auto"/>
              <w:rPr>
                <w:color w:val="auto"/>
                <w:sz w:val="24"/>
              </w:rPr>
            </w:pPr>
            <w:r>
              <w:rPr>
                <w:color w:val="auto"/>
                <w:sz w:val="24"/>
                <w:rFonts w:hint="eastAsia"/>
              </w:rPr>
              <w:t>P</w:t>
            </w:r>
            <w:r>
              <w:rPr>
                <w:vertAlign w:val="subscript"/>
                <w:color w:val="auto"/>
                <w:sz w:val="24"/>
                <w:rFonts w:hint="eastAsia"/>
              </w:rPr>
              <w:t>烟尘</w:t>
            </w:r>
            <w:r>
              <w:rPr>
                <w:color w:val="auto"/>
                <w:sz w:val="24"/>
                <w:rFonts w:hint="eastAsia"/>
              </w:rPr>
              <w:t>=Q×</w:t>
            </w:r>
            <w:r>
              <w:rPr>
                <w:color w:val="auto"/>
                <w:sz w:val="24"/>
              </w:rPr>
              <w:t>ρ</w:t>
            </w:r>
          </w:p>
          <w:p w14:paraId="2981DED4">
            <w:pPr>
              <w:spacing w:line="360" w:lineRule="auto"/>
              <w:rPr>
                <w:color w:val="auto"/>
                <w:sz w:val="24"/>
              </w:rPr>
            </w:pPr>
            <w:r>
              <w:rPr>
                <w:color w:val="auto"/>
                <w:sz w:val="24"/>
              </w:rPr>
              <w:t>式中：P</w:t>
            </w:r>
            <w:r>
              <w:rPr>
                <w:vertAlign w:val="subscript"/>
                <w:color w:val="auto"/>
                <w:sz w:val="24"/>
              </w:rPr>
              <w:t>烟尘</w:t>
            </w:r>
            <w:r>
              <w:rPr>
                <w:color w:val="auto"/>
                <w:sz w:val="24"/>
              </w:rPr>
              <w:t>为烟尘排放量（千克）；</w:t>
            </w:r>
          </w:p>
          <w:p w14:paraId="6C3E76D6">
            <w:pPr>
              <w:spacing w:line="360" w:lineRule="auto"/>
              <w:rPr>
                <w:color w:val="auto"/>
                <w:sz w:val="24"/>
              </w:rPr>
            </w:pPr>
            <w:r>
              <w:rPr>
                <w:color w:val="auto"/>
                <w:sz w:val="24"/>
              </w:rPr>
              <w:t xml:space="preserve">      Q为燃料消耗量（万m</w:t>
            </w:r>
            <w:r>
              <w:rPr>
                <w:vertAlign w:val="superscript"/>
                <w:color w:val="auto"/>
                <w:sz w:val="24"/>
              </w:rPr>
              <w:t>3</w:t>
            </w:r>
            <w:r>
              <w:rPr>
                <w:color w:val="auto"/>
                <w:sz w:val="24"/>
              </w:rPr>
              <w:t>），取</w:t>
            </w:r>
            <w:r>
              <w:rPr>
                <w:color w:val="auto"/>
                <w:sz w:val="24"/>
              </w:rPr>
              <w:t>3</w:t>
            </w:r>
            <w:r>
              <w:rPr>
                <w:color w:val="auto"/>
                <w:sz w:val="24"/>
                <w:lang w:val="en-US" w:eastAsia="zh-CN"/>
                <w:rFonts w:hint="eastAsia"/>
              </w:rPr>
              <w:t>36</w:t>
            </w:r>
            <w:r>
              <w:rPr>
                <w:color w:val="auto"/>
                <w:sz w:val="24"/>
              </w:rPr>
              <w:t>万m</w:t>
            </w:r>
            <w:r>
              <w:rPr>
                <w:vertAlign w:val="superscript"/>
                <w:color w:val="auto"/>
                <w:sz w:val="24"/>
              </w:rPr>
              <w:t>3</w:t>
            </w:r>
            <w:r>
              <w:rPr>
                <w:color w:val="auto"/>
                <w:sz w:val="24"/>
              </w:rPr>
              <w:t>；</w:t>
            </w:r>
          </w:p>
          <w:p w14:paraId="31E018F2">
            <w:pPr>
              <w:spacing w:line="360" w:lineRule="auto"/>
              <w:ind w:firstLine="720" w:firstLineChars="300"/>
              <w:rPr>
                <w:color w:val="auto"/>
                <w:sz w:val="24"/>
              </w:rPr>
            </w:pPr>
            <w:r>
              <w:rPr>
                <w:color w:val="auto"/>
                <w:sz w:val="24"/>
              </w:rPr>
              <w:t>ρ为排污系数，根据</w:t>
            </w:r>
            <w:r>
              <w:rPr>
                <w:color w:val="auto"/>
                <w:sz w:val="24"/>
                <w:rFonts w:hAnsi="宋体"/>
              </w:rPr>
              <w:t>《建设项目环境保护</w:t>
            </w:r>
            <w:r>
              <w:rPr>
                <w:color w:val="auto"/>
                <w:sz w:val="24"/>
                <w:rFonts w:ascii="宋体" w:hAnsi="宋体" w:cs="宋体" w:hint="eastAsia"/>
              </w:rPr>
              <w:t>实用手册》（苏绍梅主编）表</w:t>
            </w:r>
            <w:r>
              <w:rPr>
                <w:color w:val="auto"/>
                <w:sz w:val="24"/>
              </w:rPr>
              <w:t>2-10</w:t>
            </w:r>
            <w:r>
              <w:rPr>
                <w:color w:val="auto"/>
                <w:sz w:val="24"/>
                <w:rFonts w:ascii="宋体" w:hAnsi="宋体" w:cs="宋体" w:hint="eastAsia"/>
              </w:rPr>
              <w:t>中，燃烧</w:t>
            </w:r>
            <w:r>
              <w:rPr>
                <w:color w:val="auto"/>
                <w:sz w:val="24"/>
              </w:rPr>
              <w:t>10</w:t>
            </w:r>
            <w:r>
              <w:rPr>
                <w:vertAlign w:val="superscript"/>
                <w:color w:val="auto"/>
                <w:sz w:val="24"/>
              </w:rPr>
              <w:t>6</w:t>
            </w:r>
            <w:r>
              <w:rPr>
                <w:color w:val="auto"/>
                <w:sz w:val="24"/>
              </w:rPr>
              <w:t>Nm</w:t>
            </w:r>
            <w:r>
              <w:rPr>
                <w:vertAlign w:val="superscript"/>
                <w:color w:val="auto"/>
                <w:sz w:val="24"/>
              </w:rPr>
              <w:t>3</w:t>
            </w:r>
            <w:r>
              <w:rPr>
                <w:color w:val="auto"/>
                <w:sz w:val="24"/>
                <w:rFonts w:ascii="宋体" w:hAnsi="宋体" w:cs="宋体" w:hint="eastAsia"/>
              </w:rPr>
              <w:t>天然气产生</w:t>
            </w:r>
            <w:r>
              <w:rPr>
                <w:color w:val="auto"/>
                <w:sz w:val="24"/>
              </w:rPr>
              <w:t>80~240kg</w:t>
            </w:r>
            <w:r>
              <w:rPr>
                <w:color w:val="auto"/>
                <w:sz w:val="24"/>
                <w:rFonts w:ascii="宋体" w:hAnsi="宋体" w:cs="宋体" w:hint="eastAsia"/>
              </w:rPr>
              <w:t>颗粒物，本项目取</w:t>
            </w:r>
            <w:r>
              <w:rPr>
                <w:color w:val="auto"/>
                <w:sz w:val="24"/>
              </w:rPr>
              <w:t>160kg/10</w:t>
            </w:r>
            <w:r>
              <w:rPr>
                <w:vertAlign w:val="superscript"/>
                <w:color w:val="auto"/>
                <w:sz w:val="24"/>
              </w:rPr>
              <w:t>6</w:t>
            </w:r>
            <w:r>
              <w:rPr>
                <w:color w:val="auto"/>
                <w:sz w:val="24"/>
              </w:rPr>
              <w:t>Nm</w:t>
            </w:r>
            <w:r>
              <w:rPr>
                <w:vertAlign w:val="superscript"/>
                <w:color w:val="auto"/>
                <w:sz w:val="24"/>
              </w:rPr>
              <w:t>3</w:t>
            </w:r>
            <w:r>
              <w:rPr>
                <w:color w:val="auto"/>
                <w:sz w:val="24"/>
                <w:rFonts w:hint="eastAsia"/>
              </w:rPr>
              <w:t>，</w:t>
            </w:r>
            <w:r>
              <w:rPr>
                <w:color w:val="auto"/>
                <w:sz w:val="24"/>
                <w:rFonts w:ascii="宋体" w:hAnsi="宋体" w:cs="宋体" w:hint="eastAsia"/>
              </w:rPr>
              <w:t>为</w:t>
            </w:r>
            <w:r>
              <w:rPr>
                <w:color w:val="auto"/>
                <w:sz w:val="24"/>
              </w:rPr>
              <w:t>1.6kg/</w:t>
            </w:r>
            <w:r>
              <w:rPr>
                <w:color w:val="auto"/>
                <w:sz w:val="24"/>
                <w:rFonts w:ascii="宋体" w:hAnsi="宋体" w:cs="宋体" w:hint="eastAsia"/>
              </w:rPr>
              <w:t>万</w:t>
            </w:r>
            <w:r>
              <w:rPr>
                <w:color w:val="auto"/>
                <w:sz w:val="24"/>
              </w:rPr>
              <w:t>m</w:t>
            </w:r>
            <w:r>
              <w:rPr>
                <w:vertAlign w:val="superscript"/>
                <w:color w:val="auto"/>
                <w:sz w:val="24"/>
                <w:rFonts w:hint="eastAsia"/>
              </w:rPr>
              <w:t>3</w:t>
            </w:r>
            <w:r>
              <w:rPr>
                <w:color w:val="auto"/>
                <w:sz w:val="24"/>
                <w:rFonts w:ascii="宋体" w:hAnsi="宋体" w:cs="宋体" w:hint="eastAsia"/>
              </w:rPr>
              <w:t>。</w:t>
            </w:r>
          </w:p>
          <w:p w14:paraId="23278DE0">
            <w:pPr>
              <w:spacing w:line="360" w:lineRule="auto"/>
              <w:ind w:firstLine="480" w:firstLineChars="200"/>
              <w:rPr>
                <w:color w:val="auto"/>
                <w:sz w:val="24"/>
              </w:rPr>
            </w:pPr>
            <w:r>
              <w:rPr>
                <w:color w:val="auto"/>
                <w:sz w:val="24"/>
                <w:rFonts w:ascii="宋体" w:hAnsi="宋体" w:cs="宋体" w:hint="eastAsia"/>
              </w:rPr>
              <w:t>本项目燃天然燃烧器风机风量</w:t>
            </w:r>
            <w:r>
              <w:rPr>
                <w:color w:val="auto"/>
                <w:sz w:val="24"/>
                <w:rFonts w:hAnsi="宋体"/>
              </w:rPr>
              <w:t>为</w:t>
            </w:r>
            <w:r>
              <w:rPr>
                <w:color w:val="auto"/>
                <w:sz w:val="24"/>
              </w:rPr>
              <w:t>14000m</w:t>
            </w:r>
            <w:r>
              <w:rPr>
                <w:vertAlign w:val="superscript"/>
                <w:color w:val="auto"/>
                <w:sz w:val="24"/>
              </w:rPr>
              <w:t>3</w:t>
            </w:r>
            <w:r>
              <w:rPr>
                <w:color w:val="auto"/>
                <w:sz w:val="24"/>
              </w:rPr>
              <w:t>/h。</w:t>
            </w:r>
          </w:p>
          <w:p w14:paraId="6BA038C7">
            <w:pPr>
              <w:jc w:val="center"/>
              <w:spacing w:line="360" w:lineRule="auto"/>
              <w:ind w:firstLine="482"/>
              <w:rPr>
                <w:b w:val="1"/>
                <w:color w:val="auto"/>
                <w:sz w:val="24"/>
                <w:rFonts w:hAnsi="宋体"/>
              </w:rPr>
            </w:pPr>
            <w:r>
              <w:rPr>
                <w:b w:val="1"/>
                <w:color w:val="auto"/>
                <w:sz w:val="24"/>
                <w:rFonts w:hAnsi="宋体"/>
              </w:rPr>
              <w:t>表</w:t>
            </w:r>
            <w:r>
              <w:rPr>
                <w:b w:val="1"/>
                <w:color w:val="auto"/>
                <w:sz w:val="24"/>
                <w:lang w:val="en-US" w:eastAsia="zh-CN"/>
                <w:rFonts w:hint="eastAsia"/>
              </w:rPr>
              <w:t>4</w:t>
            </w:r>
            <w:r>
              <w:rPr>
                <w:b w:val="1"/>
                <w:color w:val="auto"/>
                <w:sz w:val="24"/>
                <w:rFonts w:hint="eastAsia"/>
              </w:rPr>
              <w:t>-1</w:t>
            </w:r>
            <w:r>
              <w:rPr>
                <w:b w:val="1"/>
                <w:color w:val="auto"/>
                <w:sz w:val="24"/>
              </w:rPr>
              <w:t xml:space="preserve"> </w:t>
            </w:r>
            <w:r>
              <w:rPr>
                <w:b w:val="1"/>
                <w:color w:val="auto"/>
                <w:sz w:val="24"/>
                <w:rFonts w:hAnsi="宋体"/>
              </w:rPr>
              <w:t>燃</w:t>
            </w:r>
            <w:r>
              <w:rPr>
                <w:b w:val="1"/>
                <w:color w:val="auto"/>
                <w:sz w:val="24"/>
                <w:rFonts w:hAnsi="宋体" w:hint="eastAsia"/>
              </w:rPr>
              <w:t>天然气燃烧器</w:t>
            </w:r>
            <w:r>
              <w:rPr>
                <w:b w:val="1"/>
                <w:color w:val="auto"/>
                <w:sz w:val="24"/>
                <w:rFonts w:hAnsi="宋体"/>
              </w:rPr>
              <w:t>主要大气污染物产生情况一览表</w:t>
            </w:r>
          </w:p>
          <w:tbl>
            <w:tblPr>
              <w:tblStyle w:val="27"/>
              <w:tblW w:w="5000"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1359.000000"/>
              <w:gridCol w:w="1993.000000"/>
              <w:gridCol w:w="1216.000000"/>
              <w:gridCol w:w="1216.000000"/>
              <w:gridCol w:w="1037.000000"/>
              <w:gridCol w:w="1568.000000"/>
            </w:tblGrid>
            <w:tr w14:paraId="34C55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3" w:hRule="atLeast"/>
                <w:jc w:val="center"/>
              </w:trPr>
              <w:tc>
                <w:tcPr>
                  <w:tcW w:w="810" w:type="pct"/>
                  <w:vAlign w:val="center"/>
                  <w:tcBorders>
                    <w:top w:val="single" w:color="auto" w:sz="12" w:space="0"/>
                    <w:left w:val="nil"/>
                    <w:bottom w:val="single" w:color="auto" w:sz="4" w:space="0"/>
                    <w:right w:val="single" w:color="auto" w:sz="4" w:space="0"/>
                  </w:tcBorders>
                </w:tcPr>
                <w:p w14:paraId="3A4FEA34">
                  <w:pPr>
                    <w:jc w:val="center"/>
                    <w:rPr>
                      <w:color w:val="auto"/>
                      <w:szCs w:val="21"/>
                    </w:rPr>
                  </w:pPr>
                  <w:r>
                    <w:rPr>
                      <w:color w:val="auto"/>
                      <w:szCs w:val="21"/>
                    </w:rPr>
                    <w:t>消耗量</w:t>
                  </w:r>
                </w:p>
              </w:tc>
              <w:tc>
                <w:tcPr>
                  <w:tcW w:w="1188" w:type="pct"/>
                  <w:vAlign w:val="center"/>
                  <w:tcBorders>
                    <w:top w:val="single" w:color="auto" w:sz="12" w:space="0"/>
                    <w:left w:val="single" w:color="auto" w:sz="4" w:space="0"/>
                    <w:bottom w:val="single" w:color="auto" w:sz="4" w:space="0"/>
                    <w:right w:val="single" w:color="auto" w:sz="4" w:space="0"/>
                  </w:tcBorders>
                </w:tcPr>
                <w:p w14:paraId="69A6EA6A">
                  <w:pPr>
                    <w:jc w:val="center"/>
                    <w:rPr>
                      <w:color w:val="auto"/>
                      <w:szCs w:val="21"/>
                    </w:rPr>
                  </w:pPr>
                  <w:r>
                    <w:rPr>
                      <w:color w:val="auto"/>
                      <w:szCs w:val="21"/>
                    </w:rPr>
                    <w:t>主要污染物</w:t>
                  </w:r>
                </w:p>
              </w:tc>
              <w:tc>
                <w:tcPr>
                  <w:tcW w:w="725" w:type="pct"/>
                  <w:vAlign w:val="center"/>
                  <w:tcBorders>
                    <w:top w:val="single" w:color="auto" w:sz="12" w:space="0"/>
                    <w:left w:val="single" w:color="auto" w:sz="4" w:space="0"/>
                    <w:bottom w:val="single" w:color="auto" w:sz="4" w:space="0"/>
                    <w:right w:val="single" w:color="auto" w:sz="4" w:space="0"/>
                  </w:tcBorders>
                </w:tcPr>
                <w:p w14:paraId="129D0EA0">
                  <w:pPr>
                    <w:jc w:val="center"/>
                    <w:rPr>
                      <w:color w:val="auto"/>
                      <w:szCs w:val="21"/>
                    </w:rPr>
                  </w:pPr>
                  <w:r>
                    <w:rPr>
                      <w:color w:val="auto"/>
                      <w:szCs w:val="21"/>
                    </w:rPr>
                    <w:t>颗粒物</w:t>
                  </w:r>
                </w:p>
              </w:tc>
              <w:tc>
                <w:tcPr>
                  <w:tcW w:w="725" w:type="pct"/>
                  <w:vAlign w:val="center"/>
                  <w:tcBorders>
                    <w:top w:val="single" w:color="auto" w:sz="12" w:space="0"/>
                    <w:left w:val="single" w:color="auto" w:sz="4" w:space="0"/>
                    <w:bottom w:val="single" w:color="auto" w:sz="4" w:space="0"/>
                    <w:right w:val="single" w:color="auto" w:sz="4" w:space="0"/>
                  </w:tcBorders>
                </w:tcPr>
                <w:p w14:paraId="4827C444">
                  <w:pPr>
                    <w:jc w:val="center"/>
                    <w:rPr>
                      <w:color w:val="auto"/>
                      <w:szCs w:val="21"/>
                    </w:rPr>
                  </w:pPr>
                  <w:r>
                    <w:rPr>
                      <w:color w:val="auto"/>
                      <w:szCs w:val="21"/>
                    </w:rPr>
                    <w:t>SO</w:t>
                  </w:r>
                  <w:r>
                    <w:rPr>
                      <w:vertAlign w:val="subscript"/>
                      <w:color w:val="auto"/>
                      <w:szCs w:val="21"/>
                    </w:rPr>
                    <w:t>2</w:t>
                  </w:r>
                </w:p>
              </w:tc>
              <w:tc>
                <w:tcPr>
                  <w:tcW w:w="618" w:type="pct"/>
                  <w:vAlign w:val="center"/>
                  <w:tcBorders>
                    <w:top w:val="single" w:color="auto" w:sz="12" w:space="0"/>
                    <w:left w:val="single" w:color="auto" w:sz="4" w:space="0"/>
                    <w:bottom w:val="single" w:color="auto" w:sz="4" w:space="0"/>
                    <w:right w:val="single" w:color="auto" w:sz="4" w:space="0"/>
                  </w:tcBorders>
                </w:tcPr>
                <w:p w14:paraId="6D15EE7F">
                  <w:pPr>
                    <w:jc w:val="center"/>
                    <w:rPr>
                      <w:color w:val="auto"/>
                      <w:szCs w:val="21"/>
                    </w:rPr>
                  </w:pPr>
                  <w:r>
                    <w:rPr>
                      <w:color w:val="auto"/>
                      <w:szCs w:val="21"/>
                    </w:rPr>
                    <w:t>NO</w:t>
                  </w:r>
                  <w:r>
                    <w:rPr>
                      <w:vertAlign w:val="subscript"/>
                      <w:color w:val="auto"/>
                      <w:szCs w:val="21"/>
                    </w:rPr>
                    <w:t>X</w:t>
                  </w:r>
                </w:p>
              </w:tc>
              <w:tc>
                <w:tcPr>
                  <w:tcW w:w="934" w:type="pct"/>
                  <w:vAlign w:val="center"/>
                  <w:tcBorders>
                    <w:top w:val="single" w:color="auto" w:sz="12" w:space="0"/>
                    <w:left w:val="single" w:color="auto" w:sz="4" w:space="0"/>
                    <w:bottom w:val="single" w:color="auto" w:sz="4" w:space="0"/>
                    <w:right w:val="nil"/>
                  </w:tcBorders>
                </w:tcPr>
                <w:p w14:paraId="304BFC24">
                  <w:pPr>
                    <w:jc w:val="center"/>
                    <w:rPr>
                      <w:color w:val="auto"/>
                      <w:szCs w:val="21"/>
                    </w:rPr>
                  </w:pPr>
                  <w:r>
                    <w:rPr>
                      <w:color w:val="auto"/>
                      <w:szCs w:val="21"/>
                    </w:rPr>
                    <w:t>废气量</w:t>
                  </w:r>
                </w:p>
              </w:tc>
            </w:tr>
            <w:tr w14:paraId="6225C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6" w:hRule="atLeast"/>
                <w:jc w:val="center"/>
              </w:trPr>
              <w:tc>
                <w:tcPr>
                  <w:tcW w:w="810" w:type="pct"/>
                  <w:vMerge w:val="restart"/>
                  <w:vAlign w:val="center"/>
                  <w:tcBorders>
                    <w:top w:val="single" w:color="auto" w:sz="4" w:space="0"/>
                    <w:left w:val="nil"/>
                    <w:bottom w:val="single" w:color="auto" w:sz="4" w:space="0"/>
                    <w:right w:val="single" w:color="auto" w:sz="4" w:space="0"/>
                  </w:tcBorders>
                </w:tcPr>
                <w:p w14:paraId="6EE3A6D2">
                  <w:pPr>
                    <w:jc w:val="center"/>
                    <w:rPr>
                      <w:color w:val="auto"/>
                      <w:szCs w:val="21"/>
                    </w:rPr>
                  </w:pPr>
                  <w:r>
                    <w:rPr>
                      <w:color w:val="auto"/>
                      <w:sz w:val="21"/>
                      <w:szCs w:val="21"/>
                    </w:rPr>
                    <w:t>3</w:t>
                  </w:r>
                  <w:r>
                    <w:rPr>
                      <w:color w:val="auto"/>
                      <w:sz w:val="21"/>
                      <w:lang w:val="en-US" w:eastAsia="zh-CN"/>
                      <w:szCs w:val="21"/>
                      <w:rFonts w:hint="eastAsia"/>
                    </w:rPr>
                    <w:t>36</w:t>
                  </w:r>
                  <w:r>
                    <w:rPr>
                      <w:color w:val="auto"/>
                      <w:szCs w:val="21"/>
                      <w:rFonts w:hint="eastAsia"/>
                    </w:rPr>
                    <w:t>万</w:t>
                  </w:r>
                  <w:r>
                    <w:rPr>
                      <w:color w:val="auto"/>
                      <w:szCs w:val="21"/>
                    </w:rPr>
                    <w:t xml:space="preserve"> m³</w:t>
                  </w:r>
                </w:p>
              </w:tc>
              <w:tc>
                <w:tcPr>
                  <w:tcW w:w="1188" w:type="pct"/>
                  <w:vAlign w:val="center"/>
                  <w:tcBorders>
                    <w:top w:val="single" w:color="auto" w:sz="4" w:space="0"/>
                    <w:left w:val="single" w:color="auto" w:sz="4" w:space="0"/>
                    <w:bottom w:val="single" w:color="auto" w:sz="4" w:space="0"/>
                    <w:right w:val="single" w:color="auto" w:sz="4" w:space="0"/>
                  </w:tcBorders>
                </w:tcPr>
                <w:p w14:paraId="6F6F4EB5">
                  <w:pPr>
                    <w:jc w:val="center"/>
                    <w:rPr>
                      <w:color w:val="auto"/>
                      <w:szCs w:val="21"/>
                    </w:rPr>
                  </w:pPr>
                  <w:r>
                    <w:rPr>
                      <w:color w:val="auto"/>
                      <w:szCs w:val="21"/>
                    </w:rPr>
                    <w:t>产生量（t）</w:t>
                  </w:r>
                </w:p>
              </w:tc>
              <w:tc>
                <w:tcPr>
                  <w:tcW w:w="725" w:type="pct"/>
                  <w:vAlign w:val="center"/>
                  <w:tcBorders>
                    <w:top w:val="single" w:color="auto" w:sz="4" w:space="0"/>
                    <w:left w:val="single" w:color="auto" w:sz="4" w:space="0"/>
                    <w:bottom w:val="single" w:color="auto" w:sz="4" w:space="0"/>
                    <w:right w:val="single" w:color="auto" w:sz="4" w:space="0"/>
                  </w:tcBorders>
                </w:tcPr>
                <w:p w14:paraId="257AB111">
                  <w:pPr>
                    <w:jc w:val="center"/>
                    <w:rPr>
                      <w:color w:val="auto"/>
                      <w:lang w:val="en-US" w:eastAsia="zh-CN"/>
                      <w:szCs w:val="21"/>
                      <w:rFonts w:eastAsia="宋体" w:hint="default"/>
                    </w:rPr>
                  </w:pPr>
                  <w:r>
                    <w:rPr>
                      <w:color w:val="auto"/>
                      <w:szCs w:val="21"/>
                      <w:rFonts w:hint="eastAsia"/>
                    </w:rPr>
                    <w:t>0.</w:t>
                  </w:r>
                  <w:r>
                    <w:rPr>
                      <w:color w:val="auto"/>
                      <w:lang w:val="en-US" w:eastAsia="zh-CN"/>
                      <w:szCs w:val="21"/>
                      <w:rFonts w:hint="eastAsia"/>
                    </w:rPr>
                    <w:t>54</w:t>
                  </w:r>
                </w:p>
              </w:tc>
              <w:tc>
                <w:tcPr>
                  <w:tcW w:w="725" w:type="pct"/>
                  <w:vAlign w:val="center"/>
                  <w:tcBorders>
                    <w:top w:val="single" w:color="auto" w:sz="4" w:space="0"/>
                    <w:left w:val="single" w:color="auto" w:sz="4" w:space="0"/>
                    <w:bottom w:val="single" w:color="auto" w:sz="4" w:space="0"/>
                    <w:right w:val="single" w:color="auto" w:sz="4" w:space="0"/>
                  </w:tcBorders>
                </w:tcPr>
                <w:p w14:paraId="0DE7A740">
                  <w:pPr>
                    <w:jc w:val="center"/>
                    <w:rPr>
                      <w:color w:val="auto"/>
                      <w:lang w:eastAsia="zh-CN"/>
                      <w:szCs w:val="21"/>
                      <w:rFonts w:eastAsia="宋体" w:hint="eastAsia"/>
                    </w:rPr>
                  </w:pPr>
                  <w:r>
                    <w:rPr>
                      <w:color w:val="auto"/>
                      <w:szCs w:val="21"/>
                      <w:rFonts w:hint="eastAsia"/>
                    </w:rPr>
                    <w:t>0.01</w:t>
                  </w:r>
                  <w:r>
                    <w:rPr>
                      <w:color w:val="auto"/>
                      <w:lang w:val="en-US" w:eastAsia="zh-CN"/>
                      <w:szCs w:val="21"/>
                      <w:rFonts w:hint="eastAsia"/>
                    </w:rPr>
                    <w:t>1</w:t>
                  </w:r>
                </w:p>
              </w:tc>
              <w:tc>
                <w:tcPr>
                  <w:tcW w:w="618" w:type="pct"/>
                  <w:vAlign w:val="center"/>
                  <w:tcBorders>
                    <w:top w:val="single" w:color="auto" w:sz="4" w:space="0"/>
                    <w:left w:val="single" w:color="auto" w:sz="4" w:space="0"/>
                    <w:bottom w:val="single" w:color="auto" w:sz="4" w:space="0"/>
                    <w:right w:val="single" w:color="auto" w:sz="4" w:space="0"/>
                  </w:tcBorders>
                </w:tcPr>
                <w:p w14:paraId="3E2E4094">
                  <w:pPr>
                    <w:jc w:val="center"/>
                    <w:rPr>
                      <w:color w:val="auto"/>
                      <w:lang w:val="en-US" w:eastAsia="zh-CN"/>
                      <w:szCs w:val="21"/>
                      <w:rFonts w:eastAsia="宋体" w:hint="default"/>
                    </w:rPr>
                  </w:pPr>
                  <w:r>
                    <w:rPr>
                      <w:color w:val="auto"/>
                      <w:lang w:val="en-US" w:eastAsia="zh-CN"/>
                      <w:szCs w:val="21"/>
                      <w:rFonts w:hint="eastAsia"/>
                    </w:rPr>
                    <w:t>2.688</w:t>
                  </w:r>
                </w:p>
              </w:tc>
              <w:tc>
                <w:tcPr>
                  <w:tcW w:w="934" w:type="pct"/>
                  <w:vMerge w:val="restart"/>
                  <w:vAlign w:val="center"/>
                  <w:tcBorders>
                    <w:top w:val="single" w:color="auto" w:sz="4" w:space="0"/>
                    <w:left w:val="single" w:color="auto" w:sz="4" w:space="0"/>
                    <w:right w:val="nil"/>
                  </w:tcBorders>
                </w:tcPr>
                <w:p w14:paraId="42DB7AB0">
                  <w:pPr>
                    <w:jc w:val="center"/>
                    <w:rPr>
                      <w:color w:val="auto"/>
                      <w:szCs w:val="21"/>
                    </w:rPr>
                  </w:pPr>
                  <w:r>
                    <w:rPr>
                      <w:color w:val="auto"/>
                      <w:szCs w:val="21"/>
                      <w:rFonts w:hint="eastAsia"/>
                    </w:rPr>
                    <w:t>14000</w:t>
                  </w:r>
                  <w:r>
                    <w:rPr>
                      <w:color w:val="auto"/>
                      <w:szCs w:val="21"/>
                    </w:rPr>
                    <w:t>m</w:t>
                  </w:r>
                  <w:r>
                    <w:rPr>
                      <w:vertAlign w:val="superscript"/>
                      <w:color w:val="auto"/>
                      <w:szCs w:val="21"/>
                    </w:rPr>
                    <w:t>3</w:t>
                  </w:r>
                  <w:r>
                    <w:rPr>
                      <w:color w:val="auto"/>
                      <w:szCs w:val="21"/>
                    </w:rPr>
                    <w:t>/h</w:t>
                  </w:r>
                </w:p>
              </w:tc>
            </w:tr>
            <w:tr w14:paraId="5AC4B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6" w:hRule="atLeast"/>
                <w:jc w:val="center"/>
              </w:trPr>
              <w:tc>
                <w:tcPr>
                  <w:tcW w:w="810" w:type="pct"/>
                  <w:vMerge w:val="continue"/>
                  <w:vAlign w:val="center"/>
                  <w:tcBorders>
                    <w:top w:val="single" w:color="auto" w:sz="4" w:space="0"/>
                    <w:left w:val="nil"/>
                    <w:bottom w:val="single" w:color="auto" w:sz="4" w:space="0"/>
                    <w:right w:val="single" w:color="auto" w:sz="4" w:space="0"/>
                  </w:tcBorders>
                </w:tcPr>
                <w:p w14:paraId="2C5F981F">
                  <w:pPr>
                    <w:jc w:val="center"/>
                    <w:rPr>
                      <w:color w:val="auto"/>
                      <w:szCs w:val="21"/>
                    </w:rPr>
                  </w:pPr>
                </w:p>
              </w:tc>
              <w:tc>
                <w:tcPr>
                  <w:tcW w:w="1188" w:type="pct"/>
                  <w:vAlign w:val="center"/>
                  <w:tcBorders>
                    <w:top w:val="single" w:color="auto" w:sz="4" w:space="0"/>
                    <w:left w:val="single" w:color="auto" w:sz="4" w:space="0"/>
                    <w:bottom w:val="single" w:color="auto" w:sz="4" w:space="0"/>
                    <w:right w:val="single" w:color="auto" w:sz="4" w:space="0"/>
                  </w:tcBorders>
                </w:tcPr>
                <w:p w14:paraId="5D717980">
                  <w:pPr>
                    <w:jc w:val="center"/>
                    <w:rPr>
                      <w:color w:val="auto"/>
                      <w:szCs w:val="21"/>
                    </w:rPr>
                  </w:pPr>
                  <w:r>
                    <w:rPr>
                      <w:color w:val="auto"/>
                      <w:szCs w:val="21"/>
                    </w:rPr>
                    <w:t>产生速率（kg/h）</w:t>
                  </w:r>
                </w:p>
              </w:tc>
              <w:tc>
                <w:tcPr>
                  <w:tcW w:w="725" w:type="pct"/>
                  <w:vAlign w:val="center"/>
                  <w:tcBorders>
                    <w:top w:val="single" w:color="auto" w:sz="4" w:space="0"/>
                    <w:left w:val="single" w:color="auto" w:sz="4" w:space="0"/>
                    <w:bottom w:val="single" w:color="auto" w:sz="4" w:space="0"/>
                    <w:right w:val="single" w:color="auto" w:sz="4" w:space="0"/>
                  </w:tcBorders>
                </w:tcPr>
                <w:p w14:paraId="1F6D5530">
                  <w:pPr>
                    <w:jc w:val="center"/>
                    <w:rPr>
                      <w:color w:val="auto"/>
                      <w:lang w:val="en-US" w:eastAsia="zh-CN"/>
                      <w:szCs w:val="21"/>
                      <w:rFonts w:eastAsia="宋体" w:hint="eastAsia"/>
                    </w:rPr>
                  </w:pPr>
                  <w:r>
                    <w:rPr>
                      <w:color w:val="auto"/>
                      <w:szCs w:val="21"/>
                      <w:rFonts w:hint="eastAsia"/>
                    </w:rPr>
                    <w:t>0.22</w:t>
                  </w:r>
                  <w:r>
                    <w:rPr>
                      <w:color w:val="auto"/>
                      <w:lang w:val="en-US" w:eastAsia="zh-CN"/>
                      <w:szCs w:val="21"/>
                      <w:rFonts w:hint="eastAsia"/>
                    </w:rPr>
                    <w:t>4</w:t>
                  </w:r>
                </w:p>
              </w:tc>
              <w:tc>
                <w:tcPr>
                  <w:tcW w:w="725" w:type="pct"/>
                  <w:vAlign w:val="center"/>
                  <w:tcBorders>
                    <w:top w:val="single" w:color="auto" w:sz="4" w:space="0"/>
                    <w:left w:val="single" w:color="auto" w:sz="4" w:space="0"/>
                    <w:bottom w:val="single" w:color="auto" w:sz="4" w:space="0"/>
                    <w:right w:val="single" w:color="auto" w:sz="4" w:space="0"/>
                  </w:tcBorders>
                </w:tcPr>
                <w:p w14:paraId="33C5866B">
                  <w:pPr>
                    <w:jc w:val="center"/>
                    <w:rPr>
                      <w:color w:val="auto"/>
                      <w:lang w:eastAsia="zh-CN"/>
                      <w:szCs w:val="21"/>
                      <w:rFonts w:eastAsia="宋体" w:hint="eastAsia"/>
                    </w:rPr>
                  </w:pPr>
                  <w:r>
                    <w:rPr>
                      <w:color w:val="auto"/>
                      <w:szCs w:val="21"/>
                      <w:rFonts w:hint="eastAsia"/>
                    </w:rPr>
                    <w:t>0.00</w:t>
                  </w:r>
                  <w:r>
                    <w:rPr>
                      <w:color w:val="auto"/>
                      <w:lang w:val="en-US" w:eastAsia="zh-CN"/>
                      <w:szCs w:val="21"/>
                      <w:rFonts w:hint="eastAsia"/>
                    </w:rPr>
                    <w:t>5</w:t>
                  </w:r>
                </w:p>
              </w:tc>
              <w:tc>
                <w:tcPr>
                  <w:tcW w:w="618" w:type="pct"/>
                  <w:vAlign w:val="center"/>
                  <w:tcBorders>
                    <w:top w:val="single" w:color="auto" w:sz="4" w:space="0"/>
                    <w:left w:val="single" w:color="auto" w:sz="4" w:space="0"/>
                    <w:bottom w:val="single" w:color="auto" w:sz="4" w:space="0"/>
                    <w:right w:val="single" w:color="auto" w:sz="4" w:space="0"/>
                  </w:tcBorders>
                </w:tcPr>
                <w:p w14:paraId="08F1BBC7">
                  <w:pPr>
                    <w:jc w:val="center"/>
                    <w:rPr>
                      <w:color w:val="auto"/>
                      <w:szCs w:val="21"/>
                    </w:rPr>
                  </w:pPr>
                  <w:r>
                    <w:rPr>
                      <w:color w:val="auto"/>
                      <w:szCs w:val="21"/>
                      <w:rFonts w:hint="eastAsia"/>
                    </w:rPr>
                    <w:t>1.12</w:t>
                  </w:r>
                </w:p>
              </w:tc>
              <w:tc>
                <w:tcPr>
                  <w:tcW w:w="934" w:type="pct"/>
                  <w:vMerge w:val="continue"/>
                  <w:vAlign w:val="center"/>
                  <w:tcBorders>
                    <w:left w:val="single" w:color="auto" w:sz="4" w:space="0"/>
                    <w:right w:val="nil"/>
                  </w:tcBorders>
                </w:tcPr>
                <w:p w14:paraId="35810A00">
                  <w:pPr>
                    <w:jc w:val="center"/>
                    <w:ind w:firstLine="420"/>
                    <w:rPr>
                      <w:color w:val="auto"/>
                      <w:szCs w:val="21"/>
                    </w:rPr>
                  </w:pPr>
                </w:p>
              </w:tc>
            </w:tr>
            <w:tr w14:paraId="43C66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20" w:hRule="atLeast"/>
                <w:jc w:val="center"/>
              </w:trPr>
              <w:tc>
                <w:tcPr>
                  <w:tcW w:w="810" w:type="pct"/>
                  <w:vMerge w:val="continue"/>
                  <w:vAlign w:val="center"/>
                  <w:tcBorders>
                    <w:top w:val="single" w:color="auto" w:sz="4" w:space="0"/>
                    <w:left w:val="nil"/>
                    <w:bottom w:val="single" w:color="auto" w:sz="4" w:space="0"/>
                    <w:right w:val="single" w:color="auto" w:sz="4" w:space="0"/>
                  </w:tcBorders>
                </w:tcPr>
                <w:p w14:paraId="2982E0DF">
                  <w:pPr>
                    <w:jc w:val="center"/>
                    <w:rPr>
                      <w:color w:val="auto"/>
                      <w:szCs w:val="21"/>
                    </w:rPr>
                  </w:pPr>
                </w:p>
              </w:tc>
              <w:tc>
                <w:tcPr>
                  <w:tcW w:w="1188" w:type="pct"/>
                  <w:vAlign w:val="center"/>
                  <w:tcBorders>
                    <w:top w:val="single" w:color="auto" w:sz="4" w:space="0"/>
                    <w:left w:val="single" w:color="auto" w:sz="4" w:space="0"/>
                    <w:bottom w:val="single" w:color="auto" w:sz="4" w:space="0"/>
                    <w:right w:val="single" w:color="auto" w:sz="4" w:space="0"/>
                  </w:tcBorders>
                </w:tcPr>
                <w:p w14:paraId="7358584B">
                  <w:pPr>
                    <w:jc w:val="center"/>
                    <w:rPr>
                      <w:color w:val="auto"/>
                      <w:szCs w:val="21"/>
                    </w:rPr>
                  </w:pPr>
                  <w:r>
                    <w:rPr>
                      <w:color w:val="auto"/>
                      <w:szCs w:val="21"/>
                    </w:rPr>
                    <w:t>产生浓度（mg/m</w:t>
                  </w:r>
                  <w:r>
                    <w:rPr>
                      <w:vertAlign w:val="superscript"/>
                      <w:color w:val="auto"/>
                      <w:szCs w:val="21"/>
                    </w:rPr>
                    <w:t>3</w:t>
                  </w:r>
                  <w:r>
                    <w:rPr>
                      <w:color w:val="auto"/>
                      <w:szCs w:val="21"/>
                    </w:rPr>
                    <w:t>）</w:t>
                  </w:r>
                </w:p>
              </w:tc>
              <w:tc>
                <w:tcPr>
                  <w:tcW w:w="725" w:type="pct"/>
                  <w:vAlign w:val="center"/>
                  <w:tcBorders>
                    <w:top w:val="single" w:color="auto" w:sz="4" w:space="0"/>
                    <w:left w:val="single" w:color="auto" w:sz="4" w:space="0"/>
                    <w:bottom w:val="single" w:color="auto" w:sz="4" w:space="0"/>
                    <w:right w:val="single" w:color="auto" w:sz="4" w:space="0"/>
                  </w:tcBorders>
                </w:tcPr>
                <w:p w14:paraId="633A7D08">
                  <w:pPr>
                    <w:jc w:val="center"/>
                    <w:rPr>
                      <w:color w:val="auto"/>
                      <w:lang w:val="en-US" w:eastAsia="zh-CN"/>
                      <w:szCs w:val="21"/>
                      <w:rFonts w:eastAsia="宋体" w:hint="default"/>
                    </w:rPr>
                  </w:pPr>
                  <w:r>
                    <w:rPr>
                      <w:color w:val="auto"/>
                      <w:lang w:val="en-US" w:eastAsia="zh-CN"/>
                      <w:szCs w:val="21"/>
                      <w:rFonts w:hint="eastAsia"/>
                    </w:rPr>
                    <w:t>16</w:t>
                  </w:r>
                </w:p>
              </w:tc>
              <w:tc>
                <w:tcPr>
                  <w:tcW w:w="725" w:type="pct"/>
                  <w:vAlign w:val="center"/>
                  <w:tcBorders>
                    <w:top w:val="single" w:color="auto" w:sz="4" w:space="0"/>
                    <w:left w:val="single" w:color="auto" w:sz="4" w:space="0"/>
                    <w:bottom w:val="single" w:color="auto" w:sz="4" w:space="0"/>
                    <w:right w:val="single" w:color="auto" w:sz="4" w:space="0"/>
                  </w:tcBorders>
                </w:tcPr>
                <w:p w14:paraId="6570F3D6">
                  <w:pPr>
                    <w:jc w:val="center"/>
                    <w:rPr>
                      <w:color w:val="auto"/>
                      <w:lang w:eastAsia="zh-CN"/>
                      <w:szCs w:val="21"/>
                      <w:rFonts w:eastAsia="宋体" w:hint="eastAsia"/>
                    </w:rPr>
                  </w:pPr>
                  <w:r>
                    <w:rPr>
                      <w:color w:val="auto"/>
                      <w:szCs w:val="21"/>
                      <w:rFonts w:hint="eastAsia"/>
                    </w:rPr>
                    <w:t>0.3</w:t>
                  </w:r>
                  <w:r>
                    <w:rPr>
                      <w:color w:val="auto"/>
                      <w:lang w:val="en-US" w:eastAsia="zh-CN"/>
                      <w:szCs w:val="21"/>
                      <w:rFonts w:hint="eastAsia"/>
                    </w:rPr>
                    <w:t>4</w:t>
                  </w:r>
                </w:p>
              </w:tc>
              <w:tc>
                <w:tcPr>
                  <w:tcW w:w="618" w:type="pct"/>
                  <w:vAlign w:val="center"/>
                  <w:tcBorders>
                    <w:top w:val="single" w:color="auto" w:sz="4" w:space="0"/>
                    <w:left w:val="single" w:color="auto" w:sz="4" w:space="0"/>
                    <w:bottom w:val="single" w:color="auto" w:sz="4" w:space="0"/>
                    <w:right w:val="single" w:color="auto" w:sz="4" w:space="0"/>
                  </w:tcBorders>
                </w:tcPr>
                <w:p w14:paraId="6D4E3FEE">
                  <w:pPr>
                    <w:jc w:val="center"/>
                    <w:rPr>
                      <w:color w:val="auto"/>
                      <w:szCs w:val="21"/>
                    </w:rPr>
                  </w:pPr>
                  <w:r>
                    <w:rPr>
                      <w:color w:val="auto"/>
                      <w:szCs w:val="21"/>
                      <w:rFonts w:hint="eastAsia"/>
                    </w:rPr>
                    <w:t>80.00</w:t>
                  </w:r>
                </w:p>
              </w:tc>
              <w:tc>
                <w:tcPr>
                  <w:tcW w:w="934" w:type="pct"/>
                  <w:vMerge w:val="continue"/>
                  <w:vAlign w:val="center"/>
                  <w:tcBorders>
                    <w:left w:val="single" w:color="auto" w:sz="4" w:space="0"/>
                    <w:right w:val="nil"/>
                  </w:tcBorders>
                </w:tcPr>
                <w:p w14:paraId="6B377C27">
                  <w:pPr>
                    <w:jc w:val="center"/>
                    <w:ind w:firstLine="420"/>
                    <w:rPr>
                      <w:color w:val="auto"/>
                      <w:szCs w:val="21"/>
                    </w:rPr>
                  </w:pPr>
                </w:p>
              </w:tc>
            </w:tr>
            <w:tr w14:paraId="1BC8B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39" w:hRule="atLeast"/>
                <w:jc w:val="center"/>
              </w:trPr>
              <w:tc>
                <w:tcPr>
                  <w:tcW w:w="810" w:type="pct"/>
                  <w:vMerge w:val="continue"/>
                  <w:vAlign w:val="center"/>
                  <w:tcBorders>
                    <w:top w:val="single" w:color="auto" w:sz="4" w:space="0"/>
                    <w:left w:val="nil"/>
                    <w:bottom w:val="single" w:color="auto" w:sz="4" w:space="0"/>
                    <w:right w:val="single" w:color="auto" w:sz="4" w:space="0"/>
                  </w:tcBorders>
                </w:tcPr>
                <w:p w14:paraId="60959BF9">
                  <w:pPr>
                    <w:jc w:val="center"/>
                    <w:rPr>
                      <w:color w:val="auto"/>
                      <w:szCs w:val="21"/>
                    </w:rPr>
                  </w:pPr>
                </w:p>
              </w:tc>
              <w:tc>
                <w:tcPr>
                  <w:tcW w:w="1188" w:type="pct"/>
                  <w:vAlign w:val="center"/>
                  <w:tcBorders>
                    <w:top w:val="single" w:color="auto" w:sz="4" w:space="0"/>
                    <w:left w:val="single" w:color="auto" w:sz="4" w:space="0"/>
                    <w:bottom w:val="single" w:color="auto" w:sz="4" w:space="0"/>
                    <w:right w:val="single" w:color="auto" w:sz="4" w:space="0"/>
                  </w:tcBorders>
                </w:tcPr>
                <w:p w14:paraId="0398E3DE">
                  <w:pPr>
                    <w:jc w:val="center"/>
                    <w:rPr>
                      <w:color w:val="auto"/>
                      <w:szCs w:val="21"/>
                    </w:rPr>
                  </w:pPr>
                  <w:r>
                    <w:rPr>
                      <w:color w:val="auto"/>
                      <w:szCs w:val="21"/>
                    </w:rPr>
                    <w:t>排放量（t）</w:t>
                  </w:r>
                </w:p>
              </w:tc>
              <w:tc>
                <w:tcPr>
                  <w:tcW w:w="725" w:type="pct"/>
                  <w:vAlign w:val="center"/>
                  <w:tcBorders>
                    <w:top w:val="single" w:color="auto" w:sz="4" w:space="0"/>
                    <w:left w:val="single" w:color="auto" w:sz="4" w:space="0"/>
                    <w:bottom w:val="single" w:color="auto" w:sz="4" w:space="0"/>
                    <w:right w:val="single" w:color="auto" w:sz="4" w:space="0"/>
                  </w:tcBorders>
                </w:tcPr>
                <w:p w14:paraId="0D17640D">
                  <w:pPr>
                    <w:jc w:val="center"/>
                    <w:rPr>
                      <w:color w:val="auto"/>
                      <w:lang w:eastAsia="zh-CN"/>
                      <w:szCs w:val="21"/>
                      <w:rFonts w:eastAsia="宋体" w:hint="eastAsia"/>
                    </w:rPr>
                  </w:pPr>
                  <w:r>
                    <w:rPr>
                      <w:color w:val="auto"/>
                      <w:szCs w:val="21"/>
                      <w:rFonts w:hint="eastAsia"/>
                    </w:rPr>
                    <w:t>0.00</w:t>
                  </w:r>
                  <w:r>
                    <w:rPr>
                      <w:color w:val="auto"/>
                      <w:lang w:val="en-US" w:eastAsia="zh-CN"/>
                      <w:szCs w:val="21"/>
                      <w:rFonts w:hint="eastAsia"/>
                    </w:rPr>
                    <w:t>5</w:t>
                  </w:r>
                </w:p>
              </w:tc>
              <w:tc>
                <w:tcPr>
                  <w:tcW w:w="725" w:type="pct"/>
                  <w:vAlign w:val="center"/>
                  <w:tcBorders>
                    <w:top w:val="single" w:color="auto" w:sz="4" w:space="0"/>
                    <w:left w:val="single" w:color="auto" w:sz="4" w:space="0"/>
                    <w:bottom w:val="single" w:color="auto" w:sz="4" w:space="0"/>
                    <w:right w:val="single" w:color="auto" w:sz="4" w:space="0"/>
                  </w:tcBorders>
                </w:tcPr>
                <w:p w14:paraId="5AB52F14">
                  <w:pPr>
                    <w:jc w:val="center"/>
                    <w:rPr>
                      <w:color w:val="auto"/>
                      <w:szCs w:val="21"/>
                    </w:rPr>
                  </w:pPr>
                  <w:r>
                    <w:rPr>
                      <w:color w:val="auto"/>
                      <w:szCs w:val="21"/>
                      <w:rFonts w:hint="eastAsia"/>
                    </w:rPr>
                    <w:t>0.01</w:t>
                  </w:r>
                  <w:r>
                    <w:rPr>
                      <w:color w:val="auto"/>
                      <w:lang w:val="en-US" w:eastAsia="zh-CN"/>
                      <w:szCs w:val="21"/>
                      <w:rFonts w:hint="eastAsia"/>
                    </w:rPr>
                    <w:t>1</w:t>
                  </w:r>
                </w:p>
              </w:tc>
              <w:tc>
                <w:tcPr>
                  <w:tcW w:w="618" w:type="pct"/>
                  <w:vAlign w:val="center"/>
                  <w:tcBorders>
                    <w:top w:val="single" w:color="auto" w:sz="4" w:space="0"/>
                    <w:left w:val="single" w:color="auto" w:sz="4" w:space="0"/>
                    <w:bottom w:val="single" w:color="auto" w:sz="4" w:space="0"/>
                    <w:right w:val="single" w:color="auto" w:sz="4" w:space="0"/>
                  </w:tcBorders>
                </w:tcPr>
                <w:p w14:paraId="36A36F47">
                  <w:pPr>
                    <w:jc w:val="center"/>
                    <w:rPr>
                      <w:color w:val="auto"/>
                      <w:szCs w:val="21"/>
                    </w:rPr>
                  </w:pPr>
                  <w:r>
                    <w:rPr>
                      <w:color w:val="auto"/>
                      <w:lang w:val="en-US" w:eastAsia="zh-CN"/>
                      <w:szCs w:val="21"/>
                      <w:rFonts w:hint="eastAsia"/>
                    </w:rPr>
                    <w:t>2.688</w:t>
                  </w:r>
                </w:p>
              </w:tc>
              <w:tc>
                <w:tcPr>
                  <w:tcW w:w="934" w:type="pct"/>
                  <w:vMerge w:val="continue"/>
                  <w:vAlign w:val="center"/>
                  <w:tcBorders>
                    <w:left w:val="single" w:color="auto" w:sz="4" w:space="0"/>
                    <w:right w:val="nil"/>
                  </w:tcBorders>
                </w:tcPr>
                <w:p w14:paraId="200EC16F">
                  <w:pPr>
                    <w:jc w:val="center"/>
                    <w:ind w:firstLine="420"/>
                    <w:rPr>
                      <w:color w:val="auto"/>
                      <w:szCs w:val="21"/>
                    </w:rPr>
                  </w:pPr>
                </w:p>
              </w:tc>
            </w:tr>
            <w:tr w14:paraId="2D8FD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39" w:hRule="atLeast"/>
                <w:jc w:val="center"/>
              </w:trPr>
              <w:tc>
                <w:tcPr>
                  <w:tcW w:w="810" w:type="pct"/>
                  <w:vMerge w:val="continue"/>
                  <w:vAlign w:val="center"/>
                  <w:tcBorders>
                    <w:top w:val="single" w:color="auto" w:sz="4" w:space="0"/>
                    <w:left w:val="nil"/>
                    <w:bottom w:val="single" w:color="auto" w:sz="4" w:space="0"/>
                    <w:right w:val="single" w:color="auto" w:sz="4" w:space="0"/>
                  </w:tcBorders>
                </w:tcPr>
                <w:p w14:paraId="56496C40">
                  <w:pPr>
                    <w:jc w:val="center"/>
                    <w:rPr>
                      <w:color w:val="auto"/>
                      <w:szCs w:val="21"/>
                    </w:rPr>
                  </w:pPr>
                </w:p>
              </w:tc>
              <w:tc>
                <w:tcPr>
                  <w:tcW w:w="1188" w:type="pct"/>
                  <w:vAlign w:val="center"/>
                  <w:tcBorders>
                    <w:top w:val="single" w:color="auto" w:sz="4" w:space="0"/>
                    <w:left w:val="single" w:color="auto" w:sz="4" w:space="0"/>
                    <w:bottom w:val="single" w:color="auto" w:sz="4" w:space="0"/>
                    <w:right w:val="single" w:color="auto" w:sz="4" w:space="0"/>
                  </w:tcBorders>
                </w:tcPr>
                <w:p w14:paraId="062170A1">
                  <w:pPr>
                    <w:jc w:val="center"/>
                    <w:rPr>
                      <w:color w:val="auto"/>
                      <w:szCs w:val="21"/>
                    </w:rPr>
                  </w:pPr>
                  <w:r>
                    <w:rPr>
                      <w:color w:val="auto"/>
                      <w:szCs w:val="21"/>
                      <w:rFonts w:hint="eastAsia"/>
                    </w:rPr>
                    <w:t>排放</w:t>
                  </w:r>
                  <w:r>
                    <w:rPr>
                      <w:color w:val="auto"/>
                      <w:szCs w:val="21"/>
                    </w:rPr>
                    <w:t>速率（kg/h）</w:t>
                  </w:r>
                </w:p>
              </w:tc>
              <w:tc>
                <w:tcPr>
                  <w:tcW w:w="725" w:type="pct"/>
                  <w:vAlign w:val="center"/>
                  <w:tcBorders>
                    <w:top w:val="single" w:color="auto" w:sz="4" w:space="0"/>
                    <w:left w:val="single" w:color="auto" w:sz="4" w:space="0"/>
                    <w:bottom w:val="single" w:color="auto" w:sz="4" w:space="0"/>
                    <w:right w:val="single" w:color="auto" w:sz="4" w:space="0"/>
                  </w:tcBorders>
                </w:tcPr>
                <w:p w14:paraId="07F80129">
                  <w:pPr>
                    <w:jc w:val="center"/>
                    <w:rPr>
                      <w:color w:val="auto"/>
                      <w:szCs w:val="21"/>
                    </w:rPr>
                  </w:pPr>
                  <w:r>
                    <w:rPr>
                      <w:color w:val="auto"/>
                      <w:szCs w:val="21"/>
                      <w:rFonts w:hint="eastAsia"/>
                    </w:rPr>
                    <w:t>0.0022</w:t>
                  </w:r>
                </w:p>
              </w:tc>
              <w:tc>
                <w:tcPr>
                  <w:tcW w:w="725" w:type="pct"/>
                  <w:vAlign w:val="center"/>
                  <w:tcBorders>
                    <w:top w:val="single" w:color="auto" w:sz="4" w:space="0"/>
                    <w:left w:val="single" w:color="auto" w:sz="4" w:space="0"/>
                    <w:bottom w:val="single" w:color="auto" w:sz="4" w:space="0"/>
                    <w:right w:val="single" w:color="auto" w:sz="4" w:space="0"/>
                  </w:tcBorders>
                </w:tcPr>
                <w:p w14:paraId="63624846">
                  <w:pPr>
                    <w:jc w:val="center"/>
                    <w:rPr>
                      <w:color w:val="auto"/>
                      <w:szCs w:val="21"/>
                    </w:rPr>
                  </w:pPr>
                  <w:r>
                    <w:rPr>
                      <w:color w:val="auto"/>
                      <w:szCs w:val="21"/>
                      <w:rFonts w:hint="eastAsia"/>
                    </w:rPr>
                    <w:t>0.00</w:t>
                  </w:r>
                  <w:r>
                    <w:rPr>
                      <w:color w:val="auto"/>
                      <w:lang w:val="en-US" w:eastAsia="zh-CN"/>
                      <w:szCs w:val="21"/>
                      <w:rFonts w:hint="eastAsia"/>
                    </w:rPr>
                    <w:t>5</w:t>
                  </w:r>
                </w:p>
              </w:tc>
              <w:tc>
                <w:tcPr>
                  <w:tcW w:w="618" w:type="pct"/>
                  <w:vAlign w:val="center"/>
                  <w:tcBorders>
                    <w:top w:val="single" w:color="auto" w:sz="4" w:space="0"/>
                    <w:left w:val="single" w:color="auto" w:sz="4" w:space="0"/>
                    <w:bottom w:val="single" w:color="auto" w:sz="4" w:space="0"/>
                    <w:right w:val="single" w:color="auto" w:sz="4" w:space="0"/>
                  </w:tcBorders>
                </w:tcPr>
                <w:p w14:paraId="110CEB07">
                  <w:pPr>
                    <w:jc w:val="center"/>
                    <w:rPr>
                      <w:color w:val="auto"/>
                      <w:szCs w:val="21"/>
                    </w:rPr>
                  </w:pPr>
                  <w:r>
                    <w:rPr>
                      <w:color w:val="auto"/>
                      <w:szCs w:val="21"/>
                      <w:rFonts w:hint="eastAsia"/>
                    </w:rPr>
                    <w:t>1.12</w:t>
                  </w:r>
                </w:p>
              </w:tc>
              <w:tc>
                <w:tcPr>
                  <w:tcW w:w="934" w:type="pct"/>
                  <w:vMerge w:val="continue"/>
                  <w:vAlign w:val="center"/>
                  <w:tcBorders>
                    <w:left w:val="single" w:color="auto" w:sz="4" w:space="0"/>
                    <w:right w:val="nil"/>
                  </w:tcBorders>
                </w:tcPr>
                <w:p w14:paraId="30348B94">
                  <w:pPr>
                    <w:jc w:val="center"/>
                    <w:ind w:firstLine="420"/>
                    <w:rPr>
                      <w:color w:val="auto"/>
                      <w:szCs w:val="21"/>
                    </w:rPr>
                  </w:pPr>
                </w:p>
              </w:tc>
            </w:tr>
            <w:tr w14:paraId="659CF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0" w:hRule="atLeast"/>
                <w:jc w:val="center"/>
              </w:trPr>
              <w:tc>
                <w:tcPr>
                  <w:tcW w:w="810" w:type="pct"/>
                  <w:vMerge w:val="continue"/>
                  <w:vAlign w:val="center"/>
                  <w:tcBorders>
                    <w:top w:val="single" w:color="auto" w:sz="4" w:space="0"/>
                    <w:left w:val="nil"/>
                    <w:bottom w:val="single" w:color="auto" w:sz="4" w:space="0"/>
                    <w:right w:val="single" w:color="auto" w:sz="4" w:space="0"/>
                  </w:tcBorders>
                </w:tcPr>
                <w:p w14:paraId="2056BDB0">
                  <w:pPr>
                    <w:jc w:val="center"/>
                    <w:rPr>
                      <w:color w:val="auto"/>
                      <w:szCs w:val="21"/>
                    </w:rPr>
                  </w:pPr>
                </w:p>
              </w:tc>
              <w:tc>
                <w:tcPr>
                  <w:tcW w:w="1188" w:type="pct"/>
                  <w:vAlign w:val="center"/>
                  <w:tcBorders>
                    <w:top w:val="single" w:color="auto" w:sz="4" w:space="0"/>
                    <w:left w:val="single" w:color="auto" w:sz="4" w:space="0"/>
                    <w:bottom w:val="single" w:color="auto" w:sz="4" w:space="0"/>
                    <w:right w:val="single" w:color="auto" w:sz="4" w:space="0"/>
                  </w:tcBorders>
                </w:tcPr>
                <w:p w14:paraId="44EF36D2">
                  <w:pPr>
                    <w:jc w:val="center"/>
                    <w:rPr>
                      <w:color w:val="auto"/>
                      <w:szCs w:val="21"/>
                    </w:rPr>
                  </w:pPr>
                  <w:r>
                    <w:rPr>
                      <w:color w:val="auto"/>
                      <w:szCs w:val="21"/>
                    </w:rPr>
                    <w:t>排放浓度（mg/m</w:t>
                  </w:r>
                  <w:r>
                    <w:rPr>
                      <w:vertAlign w:val="superscript"/>
                      <w:color w:val="auto"/>
                      <w:szCs w:val="21"/>
                    </w:rPr>
                    <w:t>3</w:t>
                  </w:r>
                  <w:r>
                    <w:rPr>
                      <w:color w:val="auto"/>
                      <w:szCs w:val="21"/>
                    </w:rPr>
                    <w:t>）</w:t>
                  </w:r>
                </w:p>
              </w:tc>
              <w:tc>
                <w:tcPr>
                  <w:tcW w:w="725" w:type="pct"/>
                  <w:vAlign w:val="center"/>
                  <w:tcBorders>
                    <w:top w:val="single" w:color="auto" w:sz="4" w:space="0"/>
                    <w:left w:val="single" w:color="auto" w:sz="4" w:space="0"/>
                    <w:bottom w:val="single" w:color="auto" w:sz="4" w:space="0"/>
                    <w:right w:val="single" w:color="auto" w:sz="4" w:space="0"/>
                  </w:tcBorders>
                </w:tcPr>
                <w:p w14:paraId="0C18B876">
                  <w:pPr>
                    <w:jc w:val="center"/>
                    <w:rPr>
                      <w:color w:val="auto"/>
                      <w:lang w:val="en-US" w:eastAsia="zh-CN"/>
                      <w:szCs w:val="21"/>
                      <w:rFonts w:eastAsia="宋体" w:hint="default"/>
                    </w:rPr>
                  </w:pPr>
                  <w:r>
                    <w:rPr>
                      <w:color w:val="auto"/>
                      <w:szCs w:val="21"/>
                      <w:rFonts w:hint="eastAsia"/>
                    </w:rPr>
                    <w:t>0.</w:t>
                  </w:r>
                  <w:r>
                    <w:rPr>
                      <w:color w:val="auto"/>
                      <w:lang w:val="en-US" w:eastAsia="zh-CN"/>
                      <w:szCs w:val="21"/>
                      <w:rFonts w:hint="eastAsia"/>
                    </w:rPr>
                    <w:t>16</w:t>
                  </w:r>
                </w:p>
              </w:tc>
              <w:tc>
                <w:tcPr>
                  <w:tcW w:w="725" w:type="pct"/>
                  <w:vAlign w:val="center"/>
                  <w:tcBorders>
                    <w:top w:val="single" w:color="auto" w:sz="4" w:space="0"/>
                    <w:left w:val="single" w:color="auto" w:sz="4" w:space="0"/>
                    <w:bottom w:val="single" w:color="auto" w:sz="4" w:space="0"/>
                    <w:right w:val="single" w:color="auto" w:sz="4" w:space="0"/>
                  </w:tcBorders>
                </w:tcPr>
                <w:p w14:paraId="196D4657">
                  <w:pPr>
                    <w:jc w:val="center"/>
                    <w:rPr>
                      <w:color w:val="auto"/>
                      <w:lang w:eastAsia="zh-CN"/>
                      <w:szCs w:val="21"/>
                      <w:rFonts w:eastAsia="宋体" w:hint="eastAsia"/>
                    </w:rPr>
                  </w:pPr>
                  <w:r>
                    <w:rPr>
                      <w:color w:val="auto"/>
                      <w:szCs w:val="21"/>
                      <w:rFonts w:hint="eastAsia"/>
                    </w:rPr>
                    <w:t>0.3</w:t>
                  </w:r>
                  <w:r>
                    <w:rPr>
                      <w:color w:val="auto"/>
                      <w:lang w:val="en-US" w:eastAsia="zh-CN"/>
                      <w:szCs w:val="21"/>
                      <w:rFonts w:hint="eastAsia"/>
                    </w:rPr>
                    <w:t>4</w:t>
                  </w:r>
                </w:p>
              </w:tc>
              <w:tc>
                <w:tcPr>
                  <w:tcW w:w="618" w:type="pct"/>
                  <w:vAlign w:val="center"/>
                  <w:tcBorders>
                    <w:top w:val="single" w:color="auto" w:sz="4" w:space="0"/>
                    <w:left w:val="single" w:color="auto" w:sz="4" w:space="0"/>
                    <w:bottom w:val="single" w:color="auto" w:sz="4" w:space="0"/>
                    <w:right w:val="single" w:color="auto" w:sz="4" w:space="0"/>
                  </w:tcBorders>
                </w:tcPr>
                <w:p w14:paraId="618D3781">
                  <w:pPr>
                    <w:jc w:val="center"/>
                    <w:rPr>
                      <w:color w:val="auto"/>
                      <w:szCs w:val="21"/>
                    </w:rPr>
                  </w:pPr>
                  <w:r>
                    <w:rPr>
                      <w:color w:val="auto"/>
                      <w:szCs w:val="21"/>
                      <w:rFonts w:hint="eastAsia"/>
                    </w:rPr>
                    <w:t>80.00</w:t>
                  </w:r>
                </w:p>
              </w:tc>
              <w:tc>
                <w:tcPr>
                  <w:tcW w:w="934" w:type="pct"/>
                  <w:vMerge w:val="continue"/>
                  <w:vAlign w:val="center"/>
                  <w:tcBorders>
                    <w:left w:val="single" w:color="auto" w:sz="4" w:space="0"/>
                    <w:bottom w:val="single" w:color="auto" w:sz="4" w:space="0"/>
                    <w:right w:val="nil"/>
                  </w:tcBorders>
                </w:tcPr>
                <w:p w14:paraId="0448CCB0">
                  <w:pPr>
                    <w:jc w:val="center"/>
                    <w:rPr>
                      <w:color w:val="auto"/>
                      <w:szCs w:val="21"/>
                    </w:rPr>
                  </w:pPr>
                </w:p>
              </w:tc>
            </w:tr>
            <w:tr w14:paraId="61725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0" w:hRule="atLeast"/>
                <w:jc w:val="center"/>
              </w:trPr>
              <w:tc>
                <w:tcPr>
                  <w:tcW w:w="1998" w:type="pct"/>
                  <w:gridSpan w:val="2"/>
                  <w:vAlign w:val="center"/>
                  <w:tcBorders>
                    <w:top w:val="single" w:color="auto" w:sz="4" w:space="0"/>
                    <w:left w:val="nil"/>
                    <w:bottom w:val="single" w:color="auto" w:sz="12" w:space="0"/>
                    <w:right w:val="single" w:color="auto" w:sz="4" w:space="0"/>
                  </w:tcBorders>
                </w:tcPr>
                <w:p w14:paraId="7FFAF8E4">
                  <w:pPr>
                    <w:jc w:val="center"/>
                    <w:rPr>
                      <w:color w:val="auto"/>
                      <w:szCs w:val="21"/>
                    </w:rPr>
                  </w:pPr>
                  <w:r>
                    <w:rPr>
                      <w:color w:val="auto"/>
                      <w:szCs w:val="21"/>
                    </w:rPr>
                    <w:t>排放标准（mg/m</w:t>
                  </w:r>
                  <w:r>
                    <w:rPr>
                      <w:vertAlign w:val="superscript"/>
                      <w:color w:val="auto"/>
                      <w:szCs w:val="21"/>
                    </w:rPr>
                    <w:t>3</w:t>
                  </w:r>
                  <w:r>
                    <w:rPr>
                      <w:color w:val="auto"/>
                      <w:szCs w:val="21"/>
                    </w:rPr>
                    <w:t>）</w:t>
                  </w:r>
                </w:p>
              </w:tc>
              <w:tc>
                <w:tcPr>
                  <w:tcW w:w="725" w:type="pct"/>
                  <w:vAlign w:val="center"/>
                  <w:tcBorders>
                    <w:top w:val="single" w:color="auto" w:sz="4" w:space="0"/>
                    <w:left w:val="single" w:color="auto" w:sz="4" w:space="0"/>
                    <w:bottom w:val="single" w:color="auto" w:sz="12" w:space="0"/>
                    <w:right w:val="single" w:color="auto" w:sz="4" w:space="0"/>
                  </w:tcBorders>
                </w:tcPr>
                <w:p w14:paraId="3B890159">
                  <w:pPr>
                    <w:jc w:val="center"/>
                    <w:rPr>
                      <w:color w:val="auto"/>
                      <w:szCs w:val="21"/>
                    </w:rPr>
                  </w:pPr>
                  <w:r>
                    <w:rPr>
                      <w:color w:val="auto"/>
                      <w:szCs w:val="21"/>
                      <w:rFonts w:hint="eastAsia"/>
                    </w:rPr>
                    <w:t>120</w:t>
                  </w:r>
                </w:p>
              </w:tc>
              <w:tc>
                <w:tcPr>
                  <w:tcW w:w="725" w:type="pct"/>
                  <w:vAlign w:val="center"/>
                  <w:tcBorders>
                    <w:top w:val="single" w:color="auto" w:sz="4" w:space="0"/>
                    <w:left w:val="single" w:color="auto" w:sz="4" w:space="0"/>
                    <w:bottom w:val="single" w:color="auto" w:sz="12" w:space="0"/>
                    <w:right w:val="single" w:color="auto" w:sz="4" w:space="0"/>
                  </w:tcBorders>
                </w:tcPr>
                <w:p w14:paraId="07DAC50D">
                  <w:pPr>
                    <w:jc w:val="center"/>
                    <w:rPr>
                      <w:color w:val="auto"/>
                      <w:szCs w:val="21"/>
                    </w:rPr>
                  </w:pPr>
                  <w:r>
                    <w:rPr>
                      <w:color w:val="auto"/>
                      <w:szCs w:val="21"/>
                      <w:rFonts w:hint="eastAsia"/>
                    </w:rPr>
                    <w:t>550</w:t>
                  </w:r>
                </w:p>
              </w:tc>
              <w:tc>
                <w:tcPr>
                  <w:tcW w:w="618" w:type="pct"/>
                  <w:vAlign w:val="center"/>
                  <w:tcBorders>
                    <w:top w:val="single" w:color="auto" w:sz="4" w:space="0"/>
                    <w:left w:val="single" w:color="auto" w:sz="4" w:space="0"/>
                    <w:bottom w:val="single" w:color="auto" w:sz="12" w:space="0"/>
                    <w:right w:val="single" w:color="auto" w:sz="4" w:space="0"/>
                  </w:tcBorders>
                </w:tcPr>
                <w:p w14:paraId="73B685B4">
                  <w:pPr>
                    <w:jc w:val="center"/>
                    <w:rPr>
                      <w:color w:val="auto"/>
                      <w:szCs w:val="21"/>
                    </w:rPr>
                  </w:pPr>
                  <w:r>
                    <w:rPr>
                      <w:color w:val="auto"/>
                      <w:szCs w:val="21"/>
                      <w:rFonts w:hint="eastAsia"/>
                    </w:rPr>
                    <w:t>240</w:t>
                  </w:r>
                </w:p>
              </w:tc>
              <w:tc>
                <w:tcPr>
                  <w:tcW w:w="934" w:type="pct"/>
                  <w:vAlign w:val="center"/>
                  <w:tcBorders>
                    <w:top w:val="single" w:color="auto" w:sz="4" w:space="0"/>
                    <w:left w:val="single" w:color="auto" w:sz="4" w:space="0"/>
                    <w:bottom w:val="single" w:color="auto" w:sz="12" w:space="0"/>
                    <w:right w:val="nil"/>
                  </w:tcBorders>
                </w:tcPr>
                <w:p w14:paraId="6297DDE0">
                  <w:pPr>
                    <w:jc w:val="center"/>
                    <w:rPr>
                      <w:color w:val="auto"/>
                      <w:szCs w:val="21"/>
                    </w:rPr>
                  </w:pPr>
                  <w:r>
                    <w:rPr>
                      <w:color w:val="auto"/>
                      <w:szCs w:val="21"/>
                    </w:rPr>
                    <w:t>/</w:t>
                  </w:r>
                </w:p>
              </w:tc>
            </w:tr>
          </w:tbl>
          <w:p w14:paraId="44312527">
            <w:pPr>
              <w:contextualSpacing/>
              <w:spacing w:line="360" w:lineRule="auto"/>
              <w:ind w:firstLine="480" w:firstLineChars="200"/>
              <w:rPr>
                <w:color w:val="auto"/>
                <w:sz w:val="24"/>
                <w:bCs/>
              </w:rPr>
            </w:pPr>
            <w:r>
              <w:rPr>
                <w:color w:val="auto"/>
                <w:sz w:val="24"/>
                <w:bCs/>
                <w:rFonts w:hAnsi="宋体"/>
              </w:rPr>
              <w:t>③</w:t>
            </w:r>
            <w:r>
              <w:rPr>
                <w:color w:val="auto"/>
                <w:sz w:val="24"/>
                <w:lang w:val="en-US" w:eastAsia="zh-CN"/>
                <w:bCs/>
                <w:rFonts w:hAnsi="宋体" w:hint="eastAsia"/>
              </w:rPr>
              <w:t>热骨料</w:t>
            </w:r>
            <w:r>
              <w:rPr>
                <w:color w:val="auto"/>
                <w:sz w:val="24"/>
                <w:bCs/>
                <w:rFonts w:hAnsi="宋体"/>
              </w:rPr>
              <w:t>筛分粉尘</w:t>
            </w:r>
          </w:p>
          <w:p w14:paraId="4F4D8A8D">
            <w:pPr>
              <w:contextualSpacing/>
              <w:spacing w:line="360" w:lineRule="auto"/>
              <w:ind w:firstLine="480" w:firstLineChars="200"/>
              <w:rPr>
                <w:color w:val="auto"/>
                <w:sz w:val="24"/>
                <w:bCs/>
              </w:rPr>
            </w:pPr>
            <w:r>
              <w:rPr>
                <w:color w:val="auto"/>
                <w:sz w:val="24"/>
                <w:rFonts w:hAnsi="宋体"/>
              </w:rPr>
              <w:t>颗粒物产生量</w:t>
            </w:r>
            <w:r>
              <w:rPr>
                <w:color w:val="auto"/>
                <w:sz w:val="24"/>
                <w:rFonts w:hAnsi="宋体" w:hint="eastAsia"/>
              </w:rPr>
              <w:t>根据</w:t>
            </w:r>
            <w:r>
              <w:rPr>
                <w:color w:val="auto"/>
                <w:sz w:val="24"/>
                <w:rFonts w:hAnsi="宋体"/>
              </w:rPr>
              <w:t>《逸散性工业粉尘控制技术》</w:t>
            </w:r>
            <w:r>
              <w:rPr>
                <w:color w:val="auto"/>
                <w:sz w:val="24"/>
                <w:rFonts w:hAnsi="宋体" w:hint="eastAsia"/>
              </w:rPr>
              <w:t>粒料加工厂中筛选排放因子系数为1.0kg/t（贮料），</w:t>
            </w:r>
            <w:r>
              <w:rPr>
                <w:color w:val="auto"/>
                <w:sz w:val="24"/>
                <w:rFonts w:hAnsi="宋体"/>
              </w:rPr>
              <w:t>年运行</w:t>
            </w:r>
            <w:r>
              <w:rPr>
                <w:color w:val="auto"/>
                <w:sz w:val="24"/>
                <w:rFonts w:hint="eastAsia"/>
              </w:rPr>
              <w:t>2</w:t>
            </w:r>
            <w:r>
              <w:rPr>
                <w:color w:val="auto"/>
                <w:sz w:val="24"/>
                <w:lang w:val="en-US" w:eastAsia="zh-CN"/>
                <w:rFonts w:hint="eastAsia"/>
              </w:rPr>
              <w:t>4</w:t>
            </w:r>
            <w:r>
              <w:rPr>
                <w:color w:val="auto"/>
                <w:sz w:val="24"/>
                <w:rFonts w:hint="eastAsia"/>
              </w:rPr>
              <w:t>0</w:t>
            </w:r>
            <w:r>
              <w:rPr>
                <w:color w:val="auto"/>
                <w:sz w:val="24"/>
                <w:rFonts w:hAnsi="宋体"/>
              </w:rPr>
              <w:t>天，每天运行</w:t>
            </w:r>
            <w:r>
              <w:rPr>
                <w:color w:val="auto"/>
                <w:sz w:val="24"/>
                <w:rFonts w:hint="eastAsia"/>
              </w:rPr>
              <w:t>10</w:t>
            </w:r>
            <w:r>
              <w:rPr>
                <w:color w:val="auto"/>
                <w:sz w:val="24"/>
                <w:rFonts w:hAnsi="宋体"/>
              </w:rPr>
              <w:t>小时，</w:t>
            </w:r>
            <w:r>
              <w:rPr>
                <w:color w:val="auto"/>
                <w:sz w:val="24"/>
                <w:bCs/>
                <w:rFonts w:hAnsi="宋体"/>
              </w:rPr>
              <w:t>则粉尘产生量为</w:t>
            </w:r>
            <w:r>
              <w:rPr>
                <w:color w:val="auto"/>
                <w:sz w:val="24"/>
                <w:lang w:val="en-US" w:eastAsia="zh-CN"/>
                <w:bCs/>
                <w:rFonts w:hint="eastAsia"/>
              </w:rPr>
              <w:t>305</w:t>
            </w:r>
            <w:r>
              <w:rPr>
                <w:color w:val="auto"/>
                <w:sz w:val="24"/>
                <w:bCs/>
              </w:rPr>
              <w:t>t/a</w:t>
            </w:r>
            <w:r>
              <w:rPr>
                <w:color w:val="auto"/>
                <w:sz w:val="24"/>
                <w:bCs/>
                <w:rFonts w:hAnsi="宋体"/>
              </w:rPr>
              <w:t>、</w:t>
            </w:r>
            <w:r>
              <w:rPr>
                <w:color w:val="auto"/>
                <w:sz w:val="24"/>
                <w:lang w:val="en-US" w:eastAsia="zh-CN"/>
                <w:bCs/>
                <w:rFonts w:hint="eastAsia"/>
              </w:rPr>
              <w:t>127</w:t>
            </w:r>
            <w:r>
              <w:rPr>
                <w:color w:val="auto"/>
                <w:sz w:val="24"/>
                <w:bCs/>
              </w:rPr>
              <w:t>kg/h</w:t>
            </w:r>
            <w:r>
              <w:rPr>
                <w:color w:val="auto"/>
                <w:sz w:val="24"/>
                <w:bCs/>
                <w:rFonts w:hAnsi="宋体"/>
              </w:rPr>
              <w:t>，</w:t>
            </w:r>
            <w:r>
              <w:rPr>
                <w:color w:val="auto"/>
                <w:sz w:val="24"/>
                <w:rFonts w:hAnsi="宋体"/>
              </w:rPr>
              <w:t>产生的粉尘经集气管道收集，</w:t>
            </w:r>
            <w:r>
              <w:rPr>
                <w:color w:val="auto"/>
                <w:sz w:val="24"/>
                <w:rFonts w:hAnsi="宋体" w:hint="eastAsia"/>
              </w:rPr>
              <w:t>经</w:t>
            </w:r>
            <w:r>
              <w:rPr>
                <w:color w:val="auto"/>
                <w:sz w:val="24"/>
                <w:rFonts w:hint="eastAsia"/>
              </w:rPr>
              <w:t>除尘</w:t>
            </w:r>
            <w:r>
              <w:rPr>
                <w:color w:val="auto"/>
                <w:sz w:val="24"/>
              </w:rPr>
              <w:t>系统</w:t>
            </w:r>
            <w:r>
              <w:rPr>
                <w:color w:val="auto"/>
                <w:sz w:val="24"/>
                <w:rFonts w:hAnsi="宋体"/>
              </w:rPr>
              <w:t>（重力</w:t>
            </w:r>
            <w:r>
              <w:rPr>
                <w:color w:val="auto"/>
                <w:sz w:val="24"/>
                <w:rFonts w:hAnsi="宋体" w:hint="eastAsia"/>
              </w:rPr>
              <w:t>+布袋，</w:t>
            </w:r>
            <w:r>
              <w:rPr>
                <w:color w:val="auto"/>
                <w:sz w:val="24"/>
                <w:rFonts w:hAnsi="宋体"/>
              </w:rPr>
              <w:t>除尘效率</w:t>
            </w:r>
            <w:r>
              <w:rPr>
                <w:color w:val="auto"/>
                <w:sz w:val="24"/>
              </w:rPr>
              <w:t>99%</w:t>
            </w:r>
            <w:r>
              <w:rPr>
                <w:color w:val="auto"/>
                <w:sz w:val="24"/>
                <w:rFonts w:hAnsi="宋体"/>
              </w:rPr>
              <w:t>）处理后由</w:t>
            </w:r>
            <w:r>
              <w:rPr>
                <w:color w:val="auto"/>
                <w:sz w:val="24"/>
                <w:rFonts w:hint="eastAsia"/>
              </w:rPr>
              <w:t>15</w:t>
            </w:r>
            <w:r>
              <w:rPr>
                <w:color w:val="auto"/>
                <w:sz w:val="24"/>
              </w:rPr>
              <w:t>m</w:t>
            </w:r>
            <w:r>
              <w:rPr>
                <w:color w:val="auto"/>
                <w:sz w:val="24"/>
                <w:rFonts w:hAnsi="宋体"/>
              </w:rPr>
              <w:t>高</w:t>
            </w:r>
            <w:r>
              <w:rPr>
                <w:color w:val="auto"/>
                <w:sz w:val="24"/>
                <w:rFonts w:hint="eastAsia"/>
              </w:rPr>
              <w:t>除尘</w:t>
            </w:r>
            <w:r>
              <w:rPr>
                <w:color w:val="auto"/>
                <w:sz w:val="24"/>
              </w:rPr>
              <w:t>系统烟囱</w:t>
            </w:r>
            <w:r>
              <w:rPr>
                <w:color w:val="auto"/>
                <w:sz w:val="24"/>
                <w:rFonts w:hint="eastAsia"/>
              </w:rPr>
              <w:t>（DA001）</w:t>
            </w:r>
            <w:r>
              <w:rPr>
                <w:color w:val="auto"/>
                <w:sz w:val="24"/>
                <w:rFonts w:hAnsi="宋体"/>
              </w:rPr>
              <w:t>排放，排放量为</w:t>
            </w:r>
            <w:r>
              <w:rPr>
                <w:color w:val="auto"/>
                <w:sz w:val="24"/>
                <w:lang w:val="en-US" w:eastAsia="zh-CN"/>
                <w:rFonts w:hAnsi="宋体" w:hint="eastAsia"/>
              </w:rPr>
              <w:t>3.05</w:t>
            </w:r>
            <w:r>
              <w:rPr>
                <w:color w:val="auto"/>
                <w:sz w:val="24"/>
                <w:bCs/>
              </w:rPr>
              <w:t>t/a</w:t>
            </w:r>
            <w:r>
              <w:rPr>
                <w:color w:val="auto"/>
                <w:sz w:val="24"/>
                <w:bCs/>
                <w:rFonts w:hAnsi="宋体"/>
              </w:rPr>
              <w:t>、</w:t>
            </w:r>
            <w:r>
              <w:rPr>
                <w:color w:val="auto"/>
                <w:sz w:val="24"/>
                <w:lang w:val="en-US" w:eastAsia="zh-CN"/>
                <w:bCs/>
                <w:rFonts w:hAnsi="宋体" w:hint="eastAsia"/>
              </w:rPr>
              <w:t>1.27</w:t>
            </w:r>
            <w:r>
              <w:rPr>
                <w:color w:val="auto"/>
                <w:sz w:val="24"/>
                <w:bCs/>
              </w:rPr>
              <w:t>kg/h</w:t>
            </w:r>
            <w:r>
              <w:rPr>
                <w:color w:val="auto"/>
                <w:sz w:val="24"/>
                <w:rFonts w:hAnsi="宋体"/>
              </w:rPr>
              <w:t>。</w:t>
            </w:r>
          </w:p>
          <w:p w14:paraId="4442742D">
            <w:pPr>
              <w:contextualSpacing/>
              <w:spacing w:line="360" w:lineRule="auto"/>
              <w:ind w:firstLine="480" w:firstLineChars="200"/>
              <w:rPr>
                <w:color w:val="auto"/>
                <w:sz w:val="24"/>
                <w:bCs/>
                <w:rFonts w:hAnsi="宋体"/>
              </w:rPr>
            </w:pPr>
            <w:r>
              <w:rPr>
                <w:color w:val="auto"/>
                <w:sz w:val="24"/>
                <w:bCs/>
                <w:rFonts w:hAnsi="宋体"/>
              </w:rPr>
              <w:fldChar w:fldCharType="begin"/>
            </w:r>
            <w:r>
              <w:rPr>
                <w:color w:val="auto"/>
                <w:sz w:val="24"/>
                <w:bCs/>
                <w:rFonts w:hAnsi="宋体"/>
              </w:rPr>
              <w:instrText xml:space="preserve"> </w:instrText>
            </w:r>
            <w:r>
              <w:rPr>
                <w:color w:val="auto"/>
                <w:sz w:val="24"/>
                <w:bCs/>
                <w:rFonts w:hAnsi="宋体" w:hint="eastAsia"/>
              </w:rPr>
              <w:instrText xml:space="preserve">= 4 \* GB3</w:instrText>
            </w:r>
            <w:r>
              <w:rPr>
                <w:color w:val="auto"/>
                <w:sz w:val="24"/>
                <w:bCs/>
                <w:rFonts w:hAnsi="宋体"/>
              </w:rPr>
              <w:instrText xml:space="preserve"> </w:instrText>
            </w:r>
            <w:r>
              <w:rPr>
                <w:color w:val="auto"/>
                <w:sz w:val="24"/>
                <w:bCs/>
                <w:rFonts w:hAnsi="宋体"/>
              </w:rPr>
              <w:fldChar w:fldCharType="separate"/>
            </w:r>
            <w:r>
              <w:rPr>
                <w:color w:val="auto"/>
                <w:sz w:val="24"/>
                <w:bCs/>
                <w:rFonts w:hAnsi="宋体" w:hint="eastAsia"/>
              </w:rPr>
              <w:t>④</w:t>
            </w:r>
            <w:r>
              <w:rPr>
                <w:color w:val="auto"/>
                <w:sz w:val="24"/>
                <w:bCs/>
                <w:rFonts w:hAnsi="宋体"/>
              </w:rPr>
              <w:fldChar w:fldCharType="end"/>
            </w:r>
            <w:r>
              <w:rPr>
                <w:color w:val="auto"/>
                <w:sz w:val="24"/>
                <w:bCs/>
                <w:rFonts w:hAnsi="宋体"/>
              </w:rPr>
              <w:t>热料仓落料粉尘</w:t>
            </w:r>
          </w:p>
          <w:p w14:paraId="47ADE716">
            <w:pPr>
              <w:contextualSpacing/>
              <w:spacing w:line="360" w:lineRule="auto"/>
              <w:ind w:firstLine="480" w:firstLineChars="200"/>
              <w:rPr>
                <w:color w:val="auto"/>
                <w:sz w:val="24"/>
                <w:rFonts w:hAnsi="宋体"/>
              </w:rPr>
            </w:pPr>
            <w:r>
              <w:rPr>
                <w:color w:val="auto"/>
                <w:sz w:val="24"/>
                <w:bCs/>
                <w:rFonts w:hAnsi="宋体"/>
              </w:rPr>
              <w:t>加热的骨料通过提升机输送至热骨料仓暂存，落料过程中会产生粉尘，</w:t>
            </w:r>
            <w:r>
              <w:rPr>
                <w:color w:val="auto"/>
                <w:sz w:val="24"/>
                <w:rFonts w:hAnsi="宋体" w:hint="eastAsia"/>
              </w:rPr>
              <w:t>根据</w:t>
            </w:r>
            <w:r>
              <w:rPr>
                <w:color w:val="auto"/>
                <w:sz w:val="24"/>
                <w:rFonts w:hAnsi="宋体"/>
              </w:rPr>
              <w:t>《逸散性工业粉尘控制技术》</w:t>
            </w:r>
            <w:r>
              <w:rPr>
                <w:color w:val="auto"/>
                <w:sz w:val="24"/>
                <w:rFonts w:hAnsi="宋体" w:hint="eastAsia"/>
              </w:rPr>
              <w:t>卸粗、细粒料到贮箱排放因子系数为0.05kg/t（贮料），</w:t>
            </w:r>
            <w:r>
              <w:rPr>
                <w:color w:val="auto"/>
                <w:sz w:val="24"/>
                <w:rFonts w:hAnsi="宋体"/>
              </w:rPr>
              <w:t>年运行</w:t>
            </w:r>
            <w:r>
              <w:rPr>
                <w:color w:val="auto"/>
                <w:sz w:val="24"/>
                <w:rFonts w:hint="eastAsia"/>
              </w:rPr>
              <w:t>2</w:t>
            </w:r>
            <w:r>
              <w:rPr>
                <w:color w:val="auto"/>
                <w:sz w:val="24"/>
                <w:lang w:val="en-US" w:eastAsia="zh-CN"/>
                <w:rFonts w:hint="eastAsia"/>
              </w:rPr>
              <w:t>4</w:t>
            </w:r>
            <w:r>
              <w:rPr>
                <w:color w:val="auto"/>
                <w:sz w:val="24"/>
                <w:rFonts w:hint="eastAsia"/>
              </w:rPr>
              <w:t>0</w:t>
            </w:r>
            <w:r>
              <w:rPr>
                <w:color w:val="auto"/>
                <w:sz w:val="24"/>
                <w:rFonts w:hAnsi="宋体"/>
              </w:rPr>
              <w:t>天，每天运行</w:t>
            </w:r>
            <w:r>
              <w:rPr>
                <w:color w:val="auto"/>
                <w:sz w:val="24"/>
                <w:rFonts w:hint="eastAsia"/>
              </w:rPr>
              <w:t>10</w:t>
            </w:r>
            <w:r>
              <w:rPr>
                <w:color w:val="auto"/>
                <w:sz w:val="24"/>
                <w:rFonts w:hAnsi="宋体"/>
              </w:rPr>
              <w:t>小时，</w:t>
            </w:r>
            <w:r>
              <w:rPr>
                <w:color w:val="auto"/>
                <w:sz w:val="24"/>
                <w:bCs/>
                <w:rFonts w:hAnsi="宋体"/>
              </w:rPr>
              <w:t>则粉尘产生量为</w:t>
            </w:r>
            <w:r>
              <w:rPr>
                <w:color w:val="auto"/>
                <w:sz w:val="24"/>
                <w:lang w:val="en-US" w:eastAsia="zh-CN"/>
                <w:bCs/>
                <w:rFonts w:hint="eastAsia"/>
              </w:rPr>
              <w:t>15.25</w:t>
            </w:r>
            <w:r>
              <w:rPr>
                <w:color w:val="auto"/>
                <w:sz w:val="24"/>
                <w:bCs/>
              </w:rPr>
              <w:t>t/a</w:t>
            </w:r>
            <w:r>
              <w:rPr>
                <w:color w:val="auto"/>
                <w:sz w:val="24"/>
                <w:bCs/>
                <w:rFonts w:hAnsi="宋体"/>
              </w:rPr>
              <w:t>、</w:t>
            </w:r>
            <w:r>
              <w:rPr>
                <w:color w:val="auto"/>
                <w:sz w:val="24"/>
                <w:lang w:val="en-US" w:eastAsia="zh-CN"/>
                <w:bCs/>
                <w:rFonts w:hint="eastAsia"/>
              </w:rPr>
              <w:t>6.35</w:t>
            </w:r>
            <w:r>
              <w:rPr>
                <w:color w:val="auto"/>
                <w:sz w:val="24"/>
                <w:bCs/>
              </w:rPr>
              <w:t>kg/h</w:t>
            </w:r>
            <w:r>
              <w:rPr>
                <w:color w:val="auto"/>
                <w:sz w:val="24"/>
                <w:bCs/>
                <w:rFonts w:hAnsi="宋体"/>
              </w:rPr>
              <w:t>，</w:t>
            </w:r>
            <w:r>
              <w:rPr>
                <w:color w:val="auto"/>
                <w:sz w:val="24"/>
                <w:rFonts w:hAnsi="宋体"/>
              </w:rPr>
              <w:t>产生的粉尘经集气管道收集，</w:t>
            </w:r>
            <w:r>
              <w:rPr>
                <w:color w:val="auto"/>
                <w:sz w:val="24"/>
                <w:rFonts w:hAnsi="宋体" w:hint="eastAsia"/>
              </w:rPr>
              <w:t>经</w:t>
            </w:r>
            <w:r>
              <w:rPr>
                <w:color w:val="auto"/>
                <w:sz w:val="24"/>
                <w:rFonts w:hint="eastAsia"/>
              </w:rPr>
              <w:t>除尘</w:t>
            </w:r>
            <w:r>
              <w:rPr>
                <w:color w:val="auto"/>
                <w:sz w:val="24"/>
              </w:rPr>
              <w:t>系统</w:t>
            </w:r>
            <w:r>
              <w:rPr>
                <w:color w:val="auto"/>
                <w:sz w:val="24"/>
                <w:rFonts w:hAnsi="宋体"/>
              </w:rPr>
              <w:t>（重力</w:t>
            </w:r>
            <w:r>
              <w:rPr>
                <w:color w:val="auto"/>
                <w:sz w:val="24"/>
                <w:rFonts w:hAnsi="宋体" w:hint="eastAsia"/>
              </w:rPr>
              <w:t>+布袋，</w:t>
            </w:r>
            <w:r>
              <w:rPr>
                <w:color w:val="auto"/>
                <w:sz w:val="24"/>
                <w:rFonts w:hAnsi="宋体"/>
              </w:rPr>
              <w:t>除尘效率</w:t>
            </w:r>
            <w:r>
              <w:rPr>
                <w:color w:val="auto"/>
                <w:sz w:val="24"/>
              </w:rPr>
              <w:t>99%</w:t>
            </w:r>
            <w:r>
              <w:rPr>
                <w:color w:val="auto"/>
                <w:sz w:val="24"/>
                <w:rFonts w:hAnsi="宋体"/>
              </w:rPr>
              <w:t>）处理后由</w:t>
            </w:r>
            <w:r>
              <w:rPr>
                <w:color w:val="auto"/>
                <w:sz w:val="24"/>
                <w:rFonts w:hint="eastAsia"/>
              </w:rPr>
              <w:t>15</w:t>
            </w:r>
            <w:r>
              <w:rPr>
                <w:color w:val="auto"/>
                <w:sz w:val="24"/>
              </w:rPr>
              <w:t>m</w:t>
            </w:r>
            <w:r>
              <w:rPr>
                <w:color w:val="auto"/>
                <w:sz w:val="24"/>
                <w:rFonts w:hAnsi="宋体"/>
              </w:rPr>
              <w:t>高</w:t>
            </w:r>
            <w:r>
              <w:rPr>
                <w:color w:val="auto"/>
                <w:sz w:val="24"/>
                <w:rFonts w:hint="eastAsia"/>
              </w:rPr>
              <w:t>除尘</w:t>
            </w:r>
            <w:r>
              <w:rPr>
                <w:color w:val="auto"/>
                <w:sz w:val="24"/>
              </w:rPr>
              <w:t>系统烟囱</w:t>
            </w:r>
            <w:r>
              <w:rPr>
                <w:color w:val="auto"/>
                <w:sz w:val="24"/>
                <w:rFonts w:hint="eastAsia"/>
              </w:rPr>
              <w:t>（DA001）</w:t>
            </w:r>
            <w:r>
              <w:rPr>
                <w:color w:val="auto"/>
                <w:sz w:val="24"/>
                <w:rFonts w:hAnsi="宋体"/>
              </w:rPr>
              <w:t>排放，排放量为</w:t>
            </w:r>
            <w:r>
              <w:rPr>
                <w:color w:val="auto"/>
                <w:sz w:val="24"/>
                <w:rFonts w:hAnsi="宋体" w:hint="eastAsia"/>
              </w:rPr>
              <w:t>0.</w:t>
            </w:r>
            <w:r>
              <w:rPr>
                <w:color w:val="auto"/>
                <w:sz w:val="24"/>
                <w:lang w:val="en-US" w:eastAsia="zh-CN"/>
                <w:rFonts w:hAnsi="宋体" w:hint="eastAsia"/>
              </w:rPr>
              <w:t>15</w:t>
            </w:r>
            <w:r>
              <w:rPr>
                <w:color w:val="auto"/>
                <w:sz w:val="24"/>
                <w:bCs/>
              </w:rPr>
              <w:t>t/a</w:t>
            </w:r>
            <w:r>
              <w:rPr>
                <w:color w:val="auto"/>
                <w:sz w:val="24"/>
                <w:bCs/>
                <w:rFonts w:hAnsi="宋体"/>
              </w:rPr>
              <w:t>、</w:t>
            </w:r>
            <w:r>
              <w:rPr>
                <w:color w:val="auto"/>
                <w:sz w:val="24"/>
                <w:bCs/>
                <w:rFonts w:hint="eastAsia"/>
              </w:rPr>
              <w:t>0.0</w:t>
            </w:r>
            <w:r>
              <w:rPr>
                <w:color w:val="auto"/>
                <w:sz w:val="24"/>
                <w:lang w:val="en-US" w:eastAsia="zh-CN"/>
                <w:bCs/>
                <w:rFonts w:hint="eastAsia"/>
              </w:rPr>
              <w:t>6</w:t>
            </w:r>
            <w:r>
              <w:rPr>
                <w:color w:val="auto"/>
                <w:sz w:val="24"/>
                <w:bCs/>
              </w:rPr>
              <w:t>kg/h</w:t>
            </w:r>
            <w:r>
              <w:rPr>
                <w:color w:val="auto"/>
                <w:sz w:val="24"/>
                <w:rFonts w:hAnsi="宋体"/>
              </w:rPr>
              <w:t>。</w:t>
            </w:r>
          </w:p>
          <w:p w14:paraId="0EDE68C4">
            <w:pPr>
              <w:contextualSpacing/>
              <w:spacing w:line="360" w:lineRule="auto"/>
              <w:ind w:firstLine="480" w:firstLineChars="200"/>
              <w:rPr>
                <w:color w:val="auto"/>
                <w:sz w:val="24"/>
                <w:kern w:val="0"/>
              </w:rPr>
            </w:pPr>
            <w:r>
              <w:rPr>
                <w:color w:val="auto"/>
                <w:sz w:val="24"/>
                <w:rFonts w:hint="eastAsia"/>
              </w:rPr>
              <w:t>（3）</w:t>
            </w:r>
            <w:r>
              <w:rPr>
                <w:color w:val="auto"/>
                <w:sz w:val="24"/>
                <w:kern w:val="0"/>
                <w:rFonts w:hAnsi="宋体"/>
              </w:rPr>
              <w:t>加热沥青导热油炉烟气</w:t>
            </w:r>
          </w:p>
          <w:p w14:paraId="19630923">
            <w:pPr>
              <w:spacing w:line="360" w:lineRule="auto"/>
              <w:ind w:firstLine="480" w:firstLineChars="200"/>
              <w:rPr>
                <w:color w:val="auto"/>
                <w:sz w:val="24"/>
              </w:rPr>
            </w:pPr>
            <w:r>
              <w:rPr>
                <w:color w:val="auto"/>
                <w:sz w:val="24"/>
                <w:rFonts w:hAnsi="宋体"/>
              </w:rPr>
              <w:t>本项目</w:t>
            </w:r>
            <w:r>
              <w:rPr>
                <w:color w:val="auto"/>
                <w:sz w:val="24"/>
                <w:kern w:val="0"/>
                <w:rFonts w:hAnsi="宋体"/>
              </w:rPr>
              <w:t>加热沥青热源</w:t>
            </w:r>
            <w:r>
              <w:rPr>
                <w:color w:val="auto"/>
                <w:sz w:val="24"/>
                <w:rFonts w:hAnsi="宋体"/>
              </w:rPr>
              <w:t>为</w:t>
            </w:r>
            <w:r>
              <w:rPr>
                <w:color w:val="auto"/>
                <w:sz w:val="24"/>
              </w:rPr>
              <w:t>1</w:t>
            </w:r>
            <w:r>
              <w:rPr>
                <w:color w:val="auto"/>
                <w:sz w:val="24"/>
                <w:rFonts w:hAnsi="宋体"/>
              </w:rPr>
              <w:t>台</w:t>
            </w:r>
            <w:r>
              <w:rPr>
                <w:color w:val="auto"/>
                <w:sz w:val="24"/>
              </w:rPr>
              <w:t>120万kcal</w:t>
            </w:r>
            <w:r>
              <w:rPr>
                <w:color w:val="auto"/>
                <w:sz w:val="24"/>
                <w:rFonts w:hAnsi="宋体"/>
              </w:rPr>
              <w:t>导热油炉，燃</w:t>
            </w:r>
            <w:r>
              <w:rPr>
                <w:color w:val="auto"/>
                <w:sz w:val="24"/>
                <w:rFonts w:hAnsi="宋体" w:hint="eastAsia"/>
              </w:rPr>
              <w:t>天然气</w:t>
            </w:r>
            <w:r>
              <w:rPr>
                <w:color w:val="auto"/>
                <w:sz w:val="24"/>
                <w:rFonts w:hAnsi="宋体"/>
              </w:rPr>
              <w:t>量</w:t>
            </w:r>
            <w:r>
              <w:rPr>
                <w:color w:val="auto"/>
                <w:sz w:val="24"/>
                <w:rFonts w:hAnsi="宋体" w:hint="eastAsia"/>
              </w:rPr>
              <w:t>约</w:t>
            </w:r>
            <w:r>
              <w:rPr>
                <w:color w:val="auto"/>
                <w:sz w:val="24"/>
                <w:lang w:val="en-US" w:eastAsia="zh-CN"/>
                <w:rFonts w:hint="eastAsia"/>
              </w:rPr>
              <w:t>28.05</w:t>
            </w:r>
            <w:r>
              <w:rPr>
                <w:color w:val="auto"/>
                <w:sz w:val="24"/>
                <w:rFonts w:hint="eastAsia"/>
              </w:rPr>
              <w:t>万</w:t>
            </w:r>
            <w:r>
              <w:rPr>
                <w:color w:val="auto"/>
                <w:sz w:val="24"/>
              </w:rPr>
              <w:t>m³/a</w:t>
            </w:r>
            <w:r>
              <w:rPr>
                <w:color w:val="auto"/>
                <w:sz w:val="24"/>
                <w:rFonts w:hAnsi="宋体"/>
              </w:rPr>
              <w:t>，导热油炉年运行</w:t>
            </w:r>
            <w:r>
              <w:rPr>
                <w:color w:val="auto"/>
                <w:sz w:val="24"/>
                <w:rFonts w:hint="eastAsia"/>
              </w:rPr>
              <w:t>2</w:t>
            </w:r>
            <w:r>
              <w:rPr>
                <w:color w:val="auto"/>
                <w:sz w:val="24"/>
                <w:lang w:val="en-US" w:eastAsia="zh-CN"/>
                <w:rFonts w:hint="eastAsia"/>
              </w:rPr>
              <w:t>4</w:t>
            </w:r>
            <w:r>
              <w:rPr>
                <w:color w:val="auto"/>
                <w:sz w:val="24"/>
                <w:rFonts w:hint="eastAsia"/>
              </w:rPr>
              <w:t>0</w:t>
            </w:r>
            <w:r>
              <w:rPr>
                <w:color w:val="auto"/>
                <w:sz w:val="24"/>
                <w:rFonts w:hAnsi="宋体"/>
              </w:rPr>
              <w:t>天，每天运行</w:t>
            </w:r>
            <w:r>
              <w:rPr>
                <w:color w:val="auto"/>
                <w:sz w:val="24"/>
                <w:rFonts w:hint="eastAsia"/>
              </w:rPr>
              <w:t>10</w:t>
            </w:r>
            <w:r>
              <w:rPr>
                <w:color w:val="auto"/>
                <w:sz w:val="24"/>
                <w:rFonts w:hAnsi="宋体"/>
              </w:rPr>
              <w:t>小时，</w:t>
            </w:r>
            <w:r>
              <w:rPr>
                <w:color w:val="auto"/>
                <w:sz w:val="24"/>
              </w:rPr>
              <w:t>导热油炉</w:t>
            </w:r>
            <w:r>
              <w:rPr>
                <w:color w:val="auto"/>
                <w:sz w:val="24"/>
                <w:bCs/>
              </w:rPr>
              <w:t>烟气经</w:t>
            </w:r>
            <w:r>
              <w:rPr>
                <w:color w:val="auto"/>
                <w:sz w:val="24"/>
                <w:bCs/>
                <w:rFonts w:hint="eastAsia"/>
              </w:rPr>
              <w:t>低氮燃烧</w:t>
            </w:r>
            <w:r>
              <w:rPr>
                <w:color w:val="auto"/>
                <w:sz w:val="24"/>
                <w:bCs/>
              </w:rPr>
              <w:t>处理后（除</w:t>
            </w:r>
            <w:r>
              <w:rPr>
                <w:color w:val="auto"/>
                <w:sz w:val="24"/>
                <w:bCs/>
                <w:rFonts w:hint="eastAsia"/>
              </w:rPr>
              <w:t>氮</w:t>
            </w:r>
            <w:r>
              <w:rPr>
                <w:color w:val="auto"/>
                <w:sz w:val="24"/>
                <w:bCs/>
              </w:rPr>
              <w:t>效率</w:t>
            </w:r>
            <w:r>
              <w:rPr>
                <w:color w:val="auto"/>
                <w:sz w:val="24"/>
                <w:bCs/>
                <w:rFonts w:hint="eastAsia"/>
              </w:rPr>
              <w:t>30</w:t>
            </w:r>
            <w:r>
              <w:rPr>
                <w:color w:val="auto"/>
                <w:sz w:val="24"/>
                <w:bCs/>
              </w:rPr>
              <w:t>%），由1根</w:t>
            </w:r>
            <w:r>
              <w:rPr>
                <w:color w:val="auto"/>
                <w:sz w:val="24"/>
                <w:bCs/>
                <w:rFonts w:hint="eastAsia"/>
              </w:rPr>
              <w:t>12</w:t>
            </w:r>
            <w:r>
              <w:rPr>
                <w:color w:val="auto"/>
                <w:sz w:val="24"/>
                <w:bCs/>
              </w:rPr>
              <w:t>m高</w:t>
            </w:r>
            <w:r>
              <w:rPr>
                <w:color w:val="auto"/>
                <w:sz w:val="24"/>
              </w:rPr>
              <w:t>导热油炉烟囱</w:t>
            </w:r>
            <w:r>
              <w:rPr>
                <w:color w:val="auto"/>
                <w:sz w:val="24"/>
                <w:rFonts w:hint="eastAsia"/>
              </w:rPr>
              <w:t>（DA002）</w:t>
            </w:r>
            <w:r>
              <w:rPr>
                <w:color w:val="auto"/>
                <w:sz w:val="24"/>
                <w:bCs/>
              </w:rPr>
              <w:t>排放</w:t>
            </w:r>
            <w:r>
              <w:rPr>
                <w:color w:val="auto"/>
                <w:sz w:val="24"/>
                <w:rFonts w:hAnsi="宋体"/>
              </w:rPr>
              <w:t>。</w:t>
            </w:r>
          </w:p>
          <w:p w14:paraId="5C7C0849">
            <w:pPr>
              <w:spacing w:line="360" w:lineRule="auto"/>
              <w:ind w:firstLine="480" w:firstLineChars="200"/>
              <w:rPr>
                <w:color w:val="auto"/>
                <w:sz w:val="24"/>
                <w:rFonts w:hAnsi="宋体"/>
              </w:rPr>
            </w:pPr>
            <w:r>
              <w:rPr>
                <w:color w:val="auto"/>
                <w:sz w:val="24"/>
                <w:rFonts w:ascii="宋体" w:hAnsi="宋体" w:cs="宋体" w:hint="eastAsia"/>
              </w:rPr>
              <w:t>根据《排污许可证申请与核发技术规范 锅炉》（</w:t>
            </w:r>
            <w:r>
              <w:rPr>
                <w:color w:val="auto"/>
                <w:sz w:val="24"/>
              </w:rPr>
              <w:t>HJ953-2018</w:t>
            </w:r>
            <w:r>
              <w:rPr>
                <w:color w:val="auto"/>
                <w:sz w:val="24"/>
                <w:rFonts w:ascii="宋体" w:hAnsi="宋体" w:cs="宋体" w:hint="eastAsia"/>
              </w:rPr>
              <w:t>）中表</w:t>
            </w:r>
            <w:r>
              <w:rPr>
                <w:color w:val="auto"/>
                <w:sz w:val="24"/>
              </w:rPr>
              <w:t>5</w:t>
            </w:r>
            <w:r>
              <w:rPr>
                <w:color w:val="auto"/>
                <w:sz w:val="24"/>
                <w:rFonts w:ascii="宋体" w:hAnsi="宋体" w:cs="宋体" w:hint="eastAsia"/>
              </w:rPr>
              <w:t>基准烟气量取值表计算本项目燃天然气锅炉的基准烟气量，则基准烟气量经验公式可定为</w:t>
            </w:r>
            <w:r>
              <w:rPr>
                <w:color w:val="auto"/>
                <w:sz w:val="24"/>
              </w:rPr>
              <w:t>Vgy=0.285Qnet+0.343</w:t>
            </w:r>
            <w:r>
              <w:rPr>
                <w:color w:val="auto"/>
                <w:sz w:val="24"/>
                <w:rFonts w:ascii="宋体" w:hAnsi="宋体" w:cs="宋体" w:hint="eastAsia"/>
              </w:rPr>
              <w:t>，项目天然气的低位发热量为</w:t>
            </w:r>
            <w:r>
              <w:rPr>
                <w:color w:val="auto"/>
                <w:sz w:val="24"/>
              </w:rPr>
              <w:t>3</w:t>
            </w:r>
            <w:r>
              <w:rPr>
                <w:color w:val="auto"/>
                <w:sz w:val="24"/>
                <w:rFonts w:hint="eastAsia"/>
              </w:rPr>
              <w:t>3.69</w:t>
            </w:r>
            <w:r>
              <w:rPr>
                <w:color w:val="auto"/>
                <w:sz w:val="24"/>
              </w:rPr>
              <w:t>MJ/m</w:t>
            </w:r>
            <w:r>
              <w:rPr>
                <w:vertAlign w:val="superscript"/>
                <w:color w:val="auto"/>
                <w:sz w:val="24"/>
              </w:rPr>
              <w:t>3</w:t>
            </w:r>
            <w:r>
              <w:rPr>
                <w:color w:val="auto"/>
                <w:sz w:val="24"/>
                <w:rFonts w:ascii="宋体" w:hAnsi="宋体" w:cs="宋体" w:hint="eastAsia"/>
              </w:rPr>
              <w:t>。则本项目基准烟气量为</w:t>
            </w:r>
            <w:r>
              <w:rPr>
                <w:color w:val="auto"/>
                <w:sz w:val="24"/>
              </w:rPr>
              <w:t>Vgy=</w:t>
            </w:r>
            <w:r>
              <w:rPr>
                <w:color w:val="auto"/>
                <w:sz w:val="24"/>
                <w:rFonts w:ascii="宋体" w:hAnsi="宋体" w:cs="宋体" w:hint="eastAsia"/>
              </w:rPr>
              <w:t>（</w:t>
            </w:r>
            <w:r>
              <w:rPr>
                <w:color w:val="auto"/>
                <w:sz w:val="24"/>
              </w:rPr>
              <w:t>0.285×</w:t>
            </w:r>
            <w:r>
              <w:rPr>
                <w:color w:val="auto"/>
                <w:sz w:val="24"/>
                <w:rFonts w:hint="eastAsia"/>
              </w:rPr>
              <w:t>33.69</w:t>
            </w:r>
            <w:r>
              <w:rPr>
                <w:color w:val="auto"/>
                <w:sz w:val="24"/>
              </w:rPr>
              <w:t>+0.343</w:t>
            </w:r>
            <w:r>
              <w:rPr>
                <w:color w:val="auto"/>
                <w:sz w:val="24"/>
                <w:rFonts w:ascii="宋体" w:hAnsi="宋体" w:cs="宋体" w:hint="eastAsia"/>
              </w:rPr>
              <w:t>）</w:t>
            </w:r>
            <w:r>
              <w:rPr>
                <w:color w:val="auto"/>
                <w:sz w:val="24"/>
              </w:rPr>
              <w:t>Nm</w:t>
            </w:r>
            <w:r>
              <w:rPr>
                <w:vertAlign w:val="superscript"/>
                <w:color w:val="auto"/>
                <w:sz w:val="24"/>
              </w:rPr>
              <w:t>3</w:t>
            </w:r>
            <w:r>
              <w:rPr>
                <w:color w:val="auto"/>
                <w:sz w:val="24"/>
              </w:rPr>
              <w:t>/m</w:t>
            </w:r>
            <w:r>
              <w:rPr>
                <w:vertAlign w:val="superscript"/>
                <w:color w:val="auto"/>
                <w:sz w:val="24"/>
              </w:rPr>
              <w:t>3</w:t>
            </w:r>
            <w:r>
              <w:rPr>
                <w:color w:val="auto"/>
                <w:sz w:val="24"/>
              </w:rPr>
              <w:t>=9.</w:t>
            </w:r>
            <w:r>
              <w:rPr>
                <w:color w:val="auto"/>
                <w:sz w:val="24"/>
                <w:rFonts w:hint="eastAsia"/>
              </w:rPr>
              <w:t>9</w:t>
            </w:r>
            <w:r>
              <w:rPr>
                <w:color w:val="auto"/>
                <w:sz w:val="24"/>
              </w:rPr>
              <w:t>Nm</w:t>
            </w:r>
            <w:r>
              <w:rPr>
                <w:vertAlign w:val="superscript"/>
                <w:color w:val="auto"/>
                <w:sz w:val="24"/>
              </w:rPr>
              <w:t>3</w:t>
            </w:r>
            <w:r>
              <w:rPr>
                <w:color w:val="auto"/>
                <w:sz w:val="24"/>
              </w:rPr>
              <w:t>/m</w:t>
            </w:r>
            <w:r>
              <w:rPr>
                <w:vertAlign w:val="superscript"/>
                <w:color w:val="auto"/>
                <w:sz w:val="24"/>
              </w:rPr>
              <w:t>3</w:t>
            </w:r>
            <w:r>
              <w:rPr>
                <w:color w:val="auto"/>
                <w:sz w:val="24"/>
                <w:rFonts w:ascii="宋体" w:hAnsi="宋体" w:cs="宋体" w:hint="eastAsia"/>
              </w:rPr>
              <w:t>。</w:t>
            </w:r>
          </w:p>
          <w:p w14:paraId="6E3BA33C">
            <w:pPr>
              <w:autoSpaceDE w:val="0"/>
              <w:autoSpaceDN w:val="0"/>
              <w:spacing w:line="360" w:lineRule="auto"/>
              <w:ind w:firstLine="480" w:firstLineChars="200"/>
              <w:rPr>
                <w:color w:val="auto"/>
                <w:sz w:val="24"/>
              </w:rPr>
            </w:pPr>
            <w:r>
              <w:rPr>
                <w:color w:val="auto"/>
                <w:sz w:val="24"/>
              </w:rPr>
              <w:t>本项目</w:t>
            </w:r>
            <w:r>
              <w:rPr>
                <w:color w:val="auto"/>
                <w:sz w:val="24"/>
                <w:rFonts w:hint="eastAsia"/>
              </w:rPr>
              <w:t>导热油炉天然气用</w:t>
            </w:r>
            <w:r>
              <w:rPr>
                <w:color w:val="auto"/>
                <w:sz w:val="24"/>
              </w:rPr>
              <w:t>量为</w:t>
            </w:r>
            <w:r>
              <w:rPr>
                <w:color w:val="auto"/>
                <w:sz w:val="24"/>
                <w:lang w:val="en-US" w:eastAsia="zh-CN"/>
                <w:rFonts w:hint="eastAsia"/>
              </w:rPr>
              <w:t>28.05</w:t>
            </w:r>
            <w:r>
              <w:rPr>
                <w:color w:val="auto"/>
                <w:sz w:val="24"/>
                <w:rFonts w:hint="eastAsia"/>
              </w:rPr>
              <w:t>万</w:t>
            </w:r>
            <w:r>
              <w:rPr>
                <w:color w:val="auto"/>
                <w:sz w:val="24"/>
              </w:rPr>
              <w:t>m³/a</w:t>
            </w:r>
            <w:r>
              <w:rPr>
                <w:color w:val="auto"/>
                <w:sz w:val="24"/>
                <w:rFonts w:hint="eastAsia"/>
              </w:rPr>
              <w:t>，因此本项目导热油炉烟气量为</w:t>
            </w:r>
            <w:r>
              <w:rPr>
                <w:color w:val="auto"/>
                <w:sz w:val="24"/>
                <w:lang w:val="en-US" w:eastAsia="zh-CN"/>
                <w:rFonts w:hint="eastAsia"/>
              </w:rPr>
              <w:t>277.69</w:t>
            </w:r>
            <w:r>
              <w:rPr>
                <w:color w:val="auto"/>
                <w:sz w:val="24"/>
                <w:rFonts w:hint="eastAsia"/>
              </w:rPr>
              <w:t>万</w:t>
            </w:r>
            <w:r>
              <w:rPr>
                <w:color w:val="auto"/>
                <w:sz w:val="24"/>
              </w:rPr>
              <w:t>m</w:t>
            </w:r>
            <w:r>
              <w:rPr>
                <w:vertAlign w:val="superscript"/>
                <w:color w:val="auto"/>
                <w:sz w:val="24"/>
              </w:rPr>
              <w:t>3</w:t>
            </w:r>
            <w:r>
              <w:rPr>
                <w:color w:val="auto"/>
                <w:sz w:val="24"/>
              </w:rPr>
              <w:t>/</w:t>
            </w:r>
            <w:r>
              <w:rPr>
                <w:color w:val="auto"/>
                <w:sz w:val="24"/>
                <w:rFonts w:hint="eastAsia"/>
              </w:rPr>
              <w:t>a。</w:t>
            </w:r>
          </w:p>
          <w:p w14:paraId="3C3494E2">
            <w:pPr>
              <w:spacing w:line="360" w:lineRule="auto"/>
              <w:ind w:firstLine="480" w:firstLineChars="200"/>
              <w:rPr>
                <w:color w:val="auto"/>
                <w:sz w:val="24"/>
              </w:rPr>
            </w:pPr>
            <w:r>
              <w:rPr>
                <w:color w:val="auto"/>
                <w:sz w:val="24"/>
              </w:rPr>
              <w:t>颗粒物</w:t>
            </w:r>
            <w:r>
              <w:rPr>
                <w:color w:val="auto"/>
                <w:sz w:val="24"/>
                <w:rFonts w:hint="eastAsia"/>
              </w:rPr>
              <w:t>参照</w:t>
            </w:r>
            <w:r>
              <w:rPr>
                <w:color w:val="auto"/>
                <w:sz w:val="24"/>
              </w:rPr>
              <w:t>《污染源源强核算技术指南 锅炉》（HJ 991-2018），污染物排放情况计算过程如下：</w:t>
            </w:r>
          </w:p>
          <w:p w14:paraId="2045D20C">
            <w:pPr>
              <w:jc w:val="center"/>
              <w:rPr>
                <w:color w:val="auto"/>
              </w:rPr>
            </w:pPr>
            <w:r>
              <w:rPr>
                <w:color w:val="auto"/>
              </w:rPr>
              <w:drawing>
                <wp:inline distT="0" distB="0" distL="0" distR="0">
                  <wp:extent cx="2434590" cy="605790"/>
                  <wp:effectExtent l="0" t="0" r="3810" b="3810"/>
                  <wp:docPr id="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pic:nvPicPr>
                        <pic:blipFill>
                          <a:blip r:embed="rId11"/>
                          <a:srcRect/>
                          <a:stretch>
                            <a:fillRect/>
                          </a:stretch>
                        </pic:blipFill>
                        <pic:spPr>
                          <a:xfrm>
                            <a:off x="0" y="0"/>
                            <a:ext cx="2434590" cy="605790"/>
                          </a:xfrm>
                          <a:prstGeom prst="rect">
                            <a:avLst/>
                          </a:prstGeom>
                          <a:noFill/>
                          <a:ln w="9525">
                            <a:noFill/>
                            <a:miter lim="800000"/>
                          </a:ln>
                        </pic:spPr>
                      </pic:pic>
                    </a:graphicData>
                  </a:graphic>
                </wp:inline>
              </w:drawing>
            </w:r>
          </w:p>
          <w:p w14:paraId="42270BC4">
            <w:pPr>
              <w:spacing w:line="360" w:lineRule="auto"/>
              <w:ind w:firstLine="480" w:firstLineChars="200"/>
              <w:rPr>
                <w:color w:val="auto"/>
                <w:sz w:val="24"/>
              </w:rPr>
            </w:pPr>
            <w:r>
              <w:rPr>
                <w:color w:val="auto"/>
                <w:sz w:val="24"/>
              </w:rPr>
              <w:t>式中：Ej——核算时段内第j种污染物排放量，t；</w:t>
            </w:r>
          </w:p>
          <w:p w14:paraId="132AE781">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R——核算时段内燃料耗量，t或万m³；取</w:t>
            </w:r>
            <w:r>
              <w:rPr>
                <w:color w:val="auto"/>
                <w:sz w:val="24"/>
                <w:rFonts w:hint="eastAsia"/>
              </w:rPr>
              <w:t>燃气</w:t>
            </w:r>
            <w:r>
              <w:rPr>
                <w:color w:val="auto"/>
                <w:sz w:val="24"/>
              </w:rPr>
              <w:t>量为</w:t>
            </w:r>
            <w:r>
              <w:rPr>
                <w:color w:val="auto"/>
                <w:sz w:val="24"/>
                <w:lang w:val="en-US" w:eastAsia="zh-CN"/>
                <w:rFonts w:hint="eastAsia"/>
              </w:rPr>
              <w:t>28.05</w:t>
            </w:r>
            <w:r>
              <w:rPr>
                <w:color w:val="auto"/>
                <w:sz w:val="24"/>
                <w:kern w:val="0"/>
              </w:rPr>
              <w:t>万m</w:t>
            </w:r>
            <w:r>
              <w:rPr>
                <w:vertAlign w:val="superscript"/>
                <w:color w:val="auto"/>
                <w:sz w:val="24"/>
                <w:kern w:val="0"/>
              </w:rPr>
              <w:t>3</w:t>
            </w:r>
            <w:r>
              <w:rPr>
                <w:color w:val="auto"/>
                <w:sz w:val="24"/>
                <w:kern w:val="0"/>
              </w:rPr>
              <w:t>/a</w:t>
            </w:r>
            <w:r>
              <w:rPr>
                <w:color w:val="auto"/>
                <w:sz w:val="24"/>
              </w:rPr>
              <w:t>；</w:t>
            </w:r>
          </w:p>
          <w:p w14:paraId="4D05690D">
            <w:pPr>
              <w:spacing w:line="360" w:lineRule="auto"/>
              <w:rPr>
                <w:color w:val="auto"/>
                <w:sz w:val="24"/>
              </w:rPr>
            </w:pPr>
            <w:r>
              <w:rPr>
                <w:color w:val="auto"/>
                <w:sz w:val="24"/>
              </w:rPr>
              <w:t xml:space="preserve">      </w:t>
            </w:r>
            <w:r>
              <w:rPr>
                <w:color w:val="auto"/>
                <w:sz w:val="24"/>
                <w:rFonts w:hint="eastAsia"/>
              </w:rPr>
              <w:t xml:space="preserve">    </w:t>
            </w:r>
            <w:r>
              <w:rPr>
                <w:color w:val="auto"/>
                <w:sz w:val="24"/>
              </w:rPr>
              <w:t>βj——产污系数，kg/t或kg</w:t>
            </w:r>
            <w:r>
              <w:rPr>
                <w:color w:val="auto"/>
                <w:sz w:val="24"/>
                <w:rFonts w:hint="eastAsia"/>
              </w:rPr>
              <w:t>/</w:t>
            </w:r>
            <w:r>
              <w:rPr>
                <w:color w:val="auto"/>
                <w:sz w:val="24"/>
              </w:rPr>
              <w:t>万m³，本次参照《建设项目环境保护实用手册》（苏绍梅主编）表2-10中，燃烧10</w:t>
            </w:r>
            <w:r>
              <w:rPr>
                <w:vertAlign w:val="superscript"/>
                <w:color w:val="auto"/>
                <w:sz w:val="24"/>
              </w:rPr>
              <w:t>6</w:t>
            </w:r>
            <w:r>
              <w:rPr>
                <w:color w:val="auto"/>
                <w:sz w:val="24"/>
              </w:rPr>
              <w:t>Nm</w:t>
            </w:r>
            <w:r>
              <w:rPr>
                <w:vertAlign w:val="superscript"/>
                <w:color w:val="auto"/>
                <w:sz w:val="24"/>
              </w:rPr>
              <w:t>3</w:t>
            </w:r>
            <w:r>
              <w:rPr>
                <w:color w:val="auto"/>
                <w:sz w:val="24"/>
              </w:rPr>
              <w:t>天然气产生80~240kg颗粒物，本项目取1</w:t>
            </w:r>
            <w:r>
              <w:rPr>
                <w:color w:val="auto"/>
                <w:sz w:val="24"/>
                <w:rFonts w:hint="eastAsia"/>
              </w:rPr>
              <w:t>.</w:t>
            </w:r>
            <w:r>
              <w:rPr>
                <w:color w:val="auto"/>
                <w:sz w:val="24"/>
              </w:rPr>
              <w:t>6kg/10</w:t>
            </w:r>
            <w:r>
              <w:rPr>
                <w:vertAlign w:val="superscript"/>
                <w:color w:val="auto"/>
                <w:sz w:val="24"/>
                <w:rFonts w:hint="eastAsia"/>
              </w:rPr>
              <w:t>4</w:t>
            </w:r>
            <w:r>
              <w:rPr>
                <w:color w:val="auto"/>
                <w:sz w:val="24"/>
              </w:rPr>
              <w:t>Nm</w:t>
            </w:r>
            <w:r>
              <w:rPr>
                <w:vertAlign w:val="superscript"/>
                <w:color w:val="auto"/>
                <w:sz w:val="24"/>
              </w:rPr>
              <w:t>3</w:t>
            </w:r>
            <w:r>
              <w:rPr>
                <w:color w:val="auto"/>
                <w:sz w:val="24"/>
              </w:rPr>
              <w:t>；</w:t>
            </w:r>
          </w:p>
          <w:p w14:paraId="39037A1F">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ƞ——污染物的脱除效率。</w:t>
            </w:r>
          </w:p>
          <w:p w14:paraId="3BF4AE17">
            <w:pPr>
              <w:spacing w:line="360" w:lineRule="auto"/>
              <w:ind w:firstLine="480" w:firstLineChars="200"/>
              <w:rPr>
                <w:color w:val="auto"/>
                <w:sz w:val="24"/>
              </w:rPr>
            </w:pPr>
            <w:r>
              <w:rPr>
                <w:color w:val="auto"/>
                <w:sz w:val="24"/>
              </w:rPr>
              <w:t>二氧化硫根据《污染源源强核算技术指南 锅炉》（HJ991-2018） ，燃气锅炉污染物二氧化硫排放量采用物料衡算法核算，核算按下列公式进行计算。</w:t>
            </w:r>
          </w:p>
          <w:p w14:paraId="34C9FD44">
            <w:pPr>
              <w:jc w:val="center"/>
              <w:rPr>
                <w:color w:val="auto"/>
              </w:rPr>
            </w:pPr>
            <w:r>
              <w:rPr>
                <w:color w:val="auto"/>
              </w:rPr>
              <w:drawing>
                <wp:inline distT="0" distB="0" distL="0" distR="0">
                  <wp:extent cx="3788410" cy="593725"/>
                  <wp:effectExtent l="0" t="0" r="2540" b="15875"/>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pic:cNvPicPr/>
                        </pic:nvPicPr>
                        <pic:blipFill>
                          <a:blip r:embed="rId12"/>
                          <a:srcRect/>
                          <a:stretch>
                            <a:fillRect/>
                          </a:stretch>
                        </pic:blipFill>
                        <pic:spPr>
                          <a:xfrm>
                            <a:off x="0" y="0"/>
                            <a:ext cx="3788410" cy="593725"/>
                          </a:xfrm>
                          <a:prstGeom prst="rect">
                            <a:avLst/>
                          </a:prstGeom>
                          <a:noFill/>
                          <a:ln w="9525">
                            <a:noFill/>
                            <a:miter lim="800000"/>
                          </a:ln>
                        </pic:spPr>
                      </pic:pic>
                    </a:graphicData>
                  </a:graphic>
                </wp:inline>
              </w:drawing>
            </w:r>
          </w:p>
          <w:p w14:paraId="41AF7B01">
            <w:pPr>
              <w:spacing w:line="360" w:lineRule="auto"/>
              <w:ind w:firstLine="480" w:firstLineChars="200"/>
              <w:rPr>
                <w:color w:val="auto"/>
                <w:sz w:val="24"/>
              </w:rPr>
            </w:pPr>
            <w:r>
              <w:rPr>
                <w:color w:val="auto"/>
                <w:sz w:val="24"/>
              </w:rPr>
              <w:t>式中：</w:t>
            </w:r>
          </w:p>
          <w:p w14:paraId="3C526B14">
            <w:pPr>
              <w:spacing w:line="360" w:lineRule="auto"/>
              <w:ind w:firstLine="480" w:firstLineChars="200"/>
              <w:rPr>
                <w:color w:val="auto"/>
                <w:sz w:val="24"/>
              </w:rPr>
            </w:pPr>
            <w:r>
              <w:rPr>
                <w:rStyle w:val="76"/>
                <w:color w:val="auto"/>
              </w:rPr>
              <w:t>E</w:t>
            </w:r>
            <w:r>
              <w:rPr>
                <w:rStyle w:val="76"/>
                <w:vertAlign w:val="subscript"/>
                <w:color w:val="auto"/>
              </w:rPr>
              <w:t>SO</w:t>
            </w:r>
            <w:r>
              <w:rPr>
                <w:vertAlign w:val="subscript"/>
                <w:color w:val="auto"/>
                <w:sz w:val="24"/>
              </w:rPr>
              <w:t xml:space="preserve">2 </w:t>
            </w:r>
            <w:r>
              <w:rPr>
                <w:color w:val="auto"/>
                <w:sz w:val="24"/>
              </w:rPr>
              <w:t>--核算时段内二氧化硫排放量，t；</w:t>
            </w:r>
          </w:p>
          <w:p w14:paraId="08683F24">
            <w:pPr>
              <w:spacing w:line="360" w:lineRule="auto"/>
              <w:ind w:firstLine="480" w:firstLineChars="200"/>
              <w:rPr>
                <w:color w:val="auto"/>
                <w:sz w:val="24"/>
              </w:rPr>
            </w:pPr>
            <w:r>
              <w:rPr>
                <w:color w:val="auto"/>
                <w:sz w:val="24"/>
              </w:rPr>
              <w:t>R--核算时段内锅炉燃料耗量，</w:t>
            </w:r>
            <w:r>
              <w:rPr>
                <w:color w:val="auto"/>
                <w:sz w:val="24"/>
                <w:lang w:val="en-US" w:eastAsia="zh-CN"/>
                <w:rFonts w:hint="eastAsia"/>
              </w:rPr>
              <w:t>28.05</w:t>
            </w:r>
            <w:r>
              <w:rPr>
                <w:color w:val="auto"/>
                <w:sz w:val="24"/>
              </w:rPr>
              <w:t>万m</w:t>
            </w:r>
            <w:r>
              <w:rPr>
                <w:vertAlign w:val="superscript"/>
                <w:color w:val="auto"/>
                <w:sz w:val="24"/>
              </w:rPr>
              <w:t>3</w:t>
            </w:r>
            <w:r>
              <w:rPr>
                <w:color w:val="auto"/>
                <w:sz w:val="24"/>
              </w:rPr>
              <w:t>；</w:t>
            </w:r>
          </w:p>
          <w:p w14:paraId="226F0846">
            <w:pPr>
              <w:spacing w:line="360" w:lineRule="auto"/>
              <w:ind w:firstLine="480" w:firstLineChars="200"/>
              <w:rPr>
                <w:color w:val="auto"/>
                <w:sz w:val="24"/>
              </w:rPr>
            </w:pPr>
            <w:r>
              <w:rPr>
                <w:i w:val="1"/>
                <w:color w:val="auto"/>
                <w:sz w:val="24"/>
                <w:iCs/>
              </w:rPr>
              <w:t xml:space="preserve">St </w:t>
            </w:r>
            <w:r>
              <w:rPr>
                <w:color w:val="auto"/>
                <w:sz w:val="24"/>
              </w:rPr>
              <w:t>--燃料总硫的质量浓度，mg/m</w:t>
            </w:r>
            <w:r>
              <w:rPr>
                <w:vertAlign w:val="superscript"/>
                <w:color w:val="auto"/>
                <w:sz w:val="24"/>
              </w:rPr>
              <w:t>3</w:t>
            </w:r>
            <w:r>
              <w:rPr>
                <w:color w:val="auto"/>
                <w:sz w:val="24"/>
              </w:rPr>
              <w:t>，根据燃料分析报告中总硫量（以硫计）检测结果为1.23mg/m</w:t>
            </w:r>
            <w:r>
              <w:rPr>
                <w:vertAlign w:val="superscript"/>
                <w:color w:val="auto"/>
                <w:sz w:val="24"/>
              </w:rPr>
              <w:t>3</w:t>
            </w:r>
            <w:r>
              <w:rPr>
                <w:color w:val="auto"/>
                <w:sz w:val="24"/>
              </w:rPr>
              <w:t>，</w:t>
            </w:r>
          </w:p>
          <w:p w14:paraId="36F14723">
            <w:pPr>
              <w:spacing w:line="360" w:lineRule="auto"/>
              <w:ind w:firstLine="480" w:firstLineChars="200"/>
              <w:rPr>
                <w:rStyle w:val="161"/>
                <w:color w:val="auto"/>
                <w:rFonts w:hint="default"/>
              </w:rPr>
            </w:pPr>
            <w:r>
              <w:rPr>
                <w:color w:val="auto"/>
                <w:sz w:val="24"/>
              </w:rPr>
              <w:t>η</w:t>
            </w:r>
            <w:r>
              <w:rPr>
                <w:vertAlign w:val="subscript"/>
                <w:i w:val="1"/>
                <w:color w:val="auto"/>
                <w:sz w:val="24"/>
                <w:iCs/>
              </w:rPr>
              <w:t>S</w:t>
            </w:r>
            <w:r>
              <w:rPr>
                <w:color w:val="auto"/>
                <w:sz w:val="24"/>
              </w:rPr>
              <w:t xml:space="preserve"> --</w:t>
            </w:r>
            <w:r>
              <w:rPr>
                <w:rStyle w:val="161"/>
                <w:color w:val="auto"/>
                <w:rFonts w:hint="default"/>
              </w:rPr>
              <w:t>脱硫效率，</w:t>
            </w:r>
            <w:r>
              <w:rPr>
                <w:color w:val="auto"/>
                <w:sz w:val="24"/>
              </w:rPr>
              <w:t>%</w:t>
            </w:r>
            <w:r>
              <w:rPr>
                <w:rStyle w:val="161"/>
                <w:color w:val="auto"/>
                <w:rFonts w:hint="default"/>
              </w:rPr>
              <w:t>，本次取</w:t>
            </w:r>
            <w:r>
              <w:rPr>
                <w:color w:val="auto"/>
                <w:sz w:val="24"/>
              </w:rPr>
              <w:t>0</w:t>
            </w:r>
            <w:r>
              <w:rPr>
                <w:rStyle w:val="161"/>
                <w:color w:val="auto"/>
                <w:rFonts w:hint="default"/>
              </w:rPr>
              <w:t>；</w:t>
            </w:r>
          </w:p>
          <w:p w14:paraId="12BDD80E">
            <w:pPr>
              <w:numPr>
                <w:ilvl w:val="0"/>
                <w:numId w:val="1"/>
              </w:numPr>
              <w:spacing w:line="360" w:lineRule="auto"/>
              <w:ind w:firstLine="480" w:firstLineChars="200"/>
              <w:rPr>
                <w:color w:val="auto"/>
                <w:sz w:val="24"/>
              </w:rPr>
            </w:pPr>
            <w:r>
              <w:rPr>
                <w:color w:val="auto"/>
                <w:sz w:val="24"/>
              </w:rPr>
              <w:t>-</w:t>
            </w:r>
            <w:r>
              <w:rPr>
                <w:rStyle w:val="161"/>
                <w:color w:val="auto"/>
                <w:rFonts w:hint="default"/>
              </w:rPr>
              <w:t>燃料中的硫燃烧后氧化成二氧化硫的份额，量纲一的量，本次取</w:t>
            </w:r>
            <w:r>
              <w:rPr>
                <w:color w:val="auto"/>
                <w:sz w:val="24"/>
              </w:rPr>
              <w:t>1</w:t>
            </w:r>
            <w:r>
              <w:rPr>
                <w:rStyle w:val="161"/>
                <w:color w:val="auto"/>
                <w:rFonts w:hint="default"/>
              </w:rPr>
              <w:t>。</w:t>
            </w:r>
            <w:r>
              <w:rPr>
                <w:color w:val="auto"/>
                <w:sz w:val="24"/>
              </w:rPr>
              <w:t xml:space="preserve"> </w:t>
            </w:r>
          </w:p>
          <w:p w14:paraId="3E69A4A6">
            <w:pPr>
              <w:spacing w:line="360" w:lineRule="auto"/>
              <w:rPr>
                <w:color w:val="auto"/>
                <w:sz w:val="24"/>
              </w:rPr>
            </w:pPr>
            <w:r>
              <w:rPr>
                <w:color w:val="auto"/>
                <w:sz w:val="24"/>
                <w:rFonts w:hint="eastAsia"/>
              </w:rPr>
              <w:t>氮氧化物</w:t>
            </w:r>
            <w:r>
              <w:rPr>
                <w:color w:val="auto"/>
                <w:sz w:val="24"/>
              </w:rPr>
              <w:t>根据《污染源源强核算技术指南 锅炉》（HJ991-2018），燃气锅炉污染物氮氧化物排放量采用物料衡算法进行核算，公式如下</w:t>
            </w:r>
            <w:r>
              <w:rPr>
                <w:color w:val="auto"/>
                <w:sz w:val="24"/>
                <w:rFonts w:hint="eastAsia"/>
              </w:rPr>
              <w:t>：</w:t>
            </w:r>
          </w:p>
          <w:p w14:paraId="7D3E1BD1">
            <w:pPr>
              <w:jc w:val="center"/>
              <w:rPr>
                <w:color w:val="auto"/>
              </w:rPr>
            </w:pPr>
            <w:r>
              <w:rPr>
                <w:color w:val="auto"/>
              </w:rPr>
              <w:drawing>
                <wp:inline distT="0" distB="0" distL="0" distR="0">
                  <wp:extent cx="3705225" cy="724535"/>
                  <wp:effectExtent l="0" t="0" r="9525" b="18415"/>
                  <wp:docPr id="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pic:nvPicPr>
                        <pic:blipFill>
                          <a:blip r:embed="rId13"/>
                          <a:srcRect/>
                          <a:stretch>
                            <a:fillRect/>
                          </a:stretch>
                        </pic:blipFill>
                        <pic:spPr>
                          <a:xfrm>
                            <a:off x="0" y="0"/>
                            <a:ext cx="3705225" cy="724535"/>
                          </a:xfrm>
                          <a:prstGeom prst="rect">
                            <a:avLst/>
                          </a:prstGeom>
                          <a:noFill/>
                          <a:ln w="9525">
                            <a:noFill/>
                            <a:miter lim="800000"/>
                          </a:ln>
                        </pic:spPr>
                      </pic:pic>
                    </a:graphicData>
                  </a:graphic>
                </wp:inline>
              </w:drawing>
            </w:r>
          </w:p>
          <w:p w14:paraId="29E4A6E5">
            <w:pPr>
              <w:spacing w:line="360" w:lineRule="auto"/>
              <w:ind w:firstLine="480" w:firstLineChars="200"/>
              <w:rPr>
                <w:color w:val="auto"/>
                <w:sz w:val="24"/>
              </w:rPr>
            </w:pPr>
            <w:r>
              <w:rPr>
                <w:color w:val="auto"/>
                <w:sz w:val="24"/>
                <w:rFonts w:ascii="宋体" w:hAnsi="宋体" w:cs="宋体" w:hint="eastAsia"/>
              </w:rPr>
              <w:t>式</w:t>
            </w:r>
            <w:r>
              <w:rPr>
                <w:color w:val="auto"/>
                <w:sz w:val="24"/>
              </w:rPr>
              <w:t xml:space="preserve">中： </w:t>
            </w:r>
            <w:r>
              <w:rPr>
                <w:i w:val="1"/>
                <w:color w:val="auto"/>
                <w:sz w:val="24"/>
                <w:iCs/>
              </w:rPr>
              <w:t>E</w:t>
            </w:r>
            <w:r>
              <w:rPr>
                <w:vertAlign w:val="subscript"/>
                <w:i w:val="1"/>
                <w:color w:val="auto"/>
                <w:sz w:val="24"/>
                <w:iCs/>
              </w:rPr>
              <w:t>NOX</w:t>
            </w:r>
            <w:r>
              <w:rPr>
                <w:i w:val="1"/>
                <w:color w:val="auto"/>
                <w:sz w:val="24"/>
                <w:iCs/>
              </w:rPr>
              <w:t xml:space="preserve"> </w:t>
            </w:r>
            <w:r>
              <w:rPr>
                <w:rStyle w:val="75"/>
                <w:color w:val="auto"/>
              </w:rPr>
              <w:t>--</w:t>
            </w:r>
            <w:r>
              <w:rPr>
                <w:color w:val="auto"/>
                <w:sz w:val="24"/>
              </w:rPr>
              <w:t xml:space="preserve">核算时段内氮氧化物排放量， </w:t>
            </w:r>
            <w:r>
              <w:rPr>
                <w:rStyle w:val="75"/>
                <w:color w:val="auto"/>
              </w:rPr>
              <w:t>t</w:t>
            </w:r>
            <w:r>
              <w:rPr>
                <w:color w:val="auto"/>
                <w:sz w:val="24"/>
              </w:rPr>
              <w:t>；</w:t>
            </w:r>
          </w:p>
          <w:p w14:paraId="6AE9B044">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w:t>
            </w:r>
            <w:r>
              <w:rPr>
                <w:i w:val="1"/>
                <w:color w:val="auto"/>
                <w:sz w:val="24"/>
                <w:iCs/>
              </w:rPr>
              <w:t>ρ</w:t>
            </w:r>
            <w:r>
              <w:rPr>
                <w:vertAlign w:val="subscript"/>
                <w:i w:val="1"/>
                <w:color w:val="auto"/>
                <w:sz w:val="24"/>
                <w:iCs/>
              </w:rPr>
              <w:t>NOX</w:t>
            </w:r>
            <w:r>
              <w:rPr>
                <w:rStyle w:val="75"/>
                <w:color w:val="auto"/>
              </w:rPr>
              <w:t>--</w:t>
            </w:r>
            <w:r>
              <w:rPr>
                <w:color w:val="auto"/>
                <w:sz w:val="24"/>
              </w:rPr>
              <w:t>锅炉炉膛出口氮氧化物质量浓度，</w:t>
            </w:r>
            <w:r>
              <w:rPr>
                <w:rStyle w:val="75"/>
                <w:color w:val="auto"/>
              </w:rPr>
              <w:t>mg/m</w:t>
            </w:r>
            <w:r>
              <w:rPr>
                <w:rStyle w:val="75"/>
                <w:vertAlign w:val="superscript"/>
                <w:color w:val="auto"/>
              </w:rPr>
              <w:t>3</w:t>
            </w:r>
            <w:r>
              <w:rPr>
                <w:color w:val="auto"/>
                <w:sz w:val="24"/>
              </w:rPr>
              <w:t>，根据《污染源源强核算技术指南 锅炉》（HJ991-2018）表B.4，燃气炉30-300</w:t>
            </w:r>
            <w:r>
              <w:rPr>
                <w:rStyle w:val="75"/>
                <w:color w:val="auto"/>
              </w:rPr>
              <w:t>mg/m</w:t>
            </w:r>
            <w:r>
              <w:rPr>
                <w:rStyle w:val="75"/>
                <w:vertAlign w:val="superscript"/>
                <w:color w:val="auto"/>
              </w:rPr>
              <w:t>3</w:t>
            </w:r>
            <w:r>
              <w:rPr>
                <w:color w:val="auto"/>
                <w:sz w:val="24"/>
              </w:rPr>
              <w:t>，本次取2</w:t>
            </w:r>
            <w:r>
              <w:rPr>
                <w:color w:val="auto"/>
                <w:sz w:val="24"/>
                <w:rFonts w:hint="eastAsia"/>
              </w:rPr>
              <w:t>0</w:t>
            </w:r>
            <w:r>
              <w:rPr>
                <w:color w:val="auto"/>
                <w:sz w:val="24"/>
              </w:rPr>
              <w:t>0</w:t>
            </w:r>
            <w:r>
              <w:rPr>
                <w:rStyle w:val="75"/>
                <w:color w:val="auto"/>
              </w:rPr>
              <w:t>mg/m</w:t>
            </w:r>
            <w:r>
              <w:rPr>
                <w:rStyle w:val="75"/>
                <w:vertAlign w:val="superscript"/>
                <w:color w:val="auto"/>
              </w:rPr>
              <w:t>3</w:t>
            </w:r>
            <w:r>
              <w:rPr>
                <w:color w:val="auto"/>
                <w:sz w:val="24"/>
              </w:rPr>
              <w:t>；</w:t>
            </w:r>
          </w:p>
          <w:p w14:paraId="1458D062">
            <w:pPr>
              <w:spacing w:line="360" w:lineRule="auto"/>
              <w:ind w:firstLine="1200" w:firstLineChars="500"/>
              <w:rPr>
                <w:color w:val="auto"/>
                <w:sz w:val="24"/>
              </w:rPr>
            </w:pPr>
            <w:r>
              <w:rPr>
                <w:color w:val="auto"/>
                <w:sz w:val="24"/>
              </w:rPr>
              <w:t>Q-</w:t>
            </w:r>
            <w:r>
              <w:rPr>
                <w:rStyle w:val="75"/>
                <w:color w:val="auto"/>
              </w:rPr>
              <w:t>-</w:t>
            </w:r>
            <w:r>
              <w:rPr>
                <w:color w:val="auto"/>
                <w:sz w:val="24"/>
              </w:rPr>
              <w:t>核算时段内标态干烟气排放量，</w:t>
            </w:r>
            <w:r>
              <w:rPr>
                <w:color w:val="auto"/>
                <w:sz w:val="24"/>
                <w:lang w:val="en-US" w:eastAsia="zh-CN"/>
                <w:rFonts w:hint="eastAsia"/>
              </w:rPr>
              <w:t>27769</w:t>
            </w:r>
            <w:r>
              <w:rPr>
                <w:color w:val="auto"/>
                <w:sz w:val="24"/>
                <w:rFonts w:hint="eastAsia"/>
              </w:rPr>
              <w:t>00</w:t>
            </w:r>
            <w:r>
              <w:rPr>
                <w:rStyle w:val="75"/>
                <w:color w:val="auto"/>
              </w:rPr>
              <w:t>m</w:t>
            </w:r>
            <w:r>
              <w:rPr>
                <w:rStyle w:val="75"/>
                <w:vertAlign w:val="superscript"/>
                <w:color w:val="auto"/>
              </w:rPr>
              <w:t>3</w:t>
            </w:r>
            <w:r>
              <w:rPr>
                <w:color w:val="auto"/>
                <w:sz w:val="24"/>
              </w:rPr>
              <w:t>；</w:t>
            </w:r>
          </w:p>
          <w:p w14:paraId="2E9778E6">
            <w:pPr>
              <w:spacing w:line="360" w:lineRule="auto"/>
              <w:ind w:firstLine="1200" w:firstLineChars="500"/>
              <w:rPr>
                <w:color w:val="auto"/>
                <w:sz w:val="24"/>
                <w:lang w:val="en-US" w:eastAsia="zh-CN"/>
                <w:rFonts w:eastAsia="宋体" w:hint="default"/>
              </w:rPr>
            </w:pPr>
            <w:r>
              <w:rPr>
                <w:i w:val="1"/>
                <w:color w:val="auto"/>
                <w:sz w:val="24"/>
                <w:iCs/>
              </w:rPr>
              <w:t>η</w:t>
            </w:r>
            <w:r>
              <w:rPr>
                <w:vertAlign w:val="subscript"/>
                <w:i w:val="1"/>
                <w:color w:val="auto"/>
                <w:sz w:val="24"/>
                <w:iCs/>
              </w:rPr>
              <w:t>NOX</w:t>
            </w:r>
            <w:r>
              <w:rPr>
                <w:rStyle w:val="75"/>
                <w:color w:val="auto"/>
              </w:rPr>
              <w:t>--</w:t>
            </w:r>
            <w:r>
              <w:rPr>
                <w:color w:val="auto"/>
                <w:sz w:val="24"/>
              </w:rPr>
              <w:t xml:space="preserve">脱硝效率， </w:t>
            </w:r>
            <w:r>
              <w:rPr>
                <w:rStyle w:val="75"/>
                <w:color w:val="auto"/>
              </w:rPr>
              <w:t>%</w:t>
            </w:r>
            <w:r>
              <w:rPr>
                <w:color w:val="auto"/>
                <w:sz w:val="24"/>
              </w:rPr>
              <w:t>，项目采用低氮燃烧技术锅炉，低氮燃烧技术效率30%</w:t>
            </w:r>
            <w:r>
              <w:rPr>
                <w:color w:val="auto"/>
                <w:sz w:val="24"/>
                <w:lang w:eastAsia="zh-CN"/>
                <w:rFonts w:hint="eastAsia"/>
              </w:rPr>
              <w:t>。</w:t>
            </w:r>
            <w:r>
              <w:rPr>
                <w:color w:val="auto"/>
                <w:sz w:val="24"/>
                <w:lang w:val="en-US" w:eastAsia="zh-CN"/>
                <w:rFonts w:hint="eastAsia"/>
              </w:rPr>
              <w:t>导热油炉污染物排放浓度及排放量见下表。</w:t>
            </w:r>
          </w:p>
          <w:p w14:paraId="42A1CBB7">
            <w:pPr>
              <w:jc w:val="center"/>
              <w:ind w:firstLine="482"/>
              <w:rPr>
                <w:b w:val="1"/>
                <w:color w:val="auto"/>
                <w:sz w:val="24"/>
              </w:rPr>
            </w:pPr>
            <w:r>
              <w:rPr>
                <w:b w:val="1"/>
                <w:color w:val="auto"/>
                <w:sz w:val="24"/>
                <w:rFonts w:hAnsi="宋体"/>
              </w:rPr>
              <w:t>表</w:t>
            </w:r>
            <w:r>
              <w:rPr>
                <w:b w:val="1"/>
                <w:color w:val="auto"/>
                <w:sz w:val="24"/>
                <w:lang w:val="en-US" w:eastAsia="zh-CN"/>
                <w:rFonts w:hint="eastAsia"/>
              </w:rPr>
              <w:t>4</w:t>
            </w:r>
            <w:r>
              <w:rPr>
                <w:b w:val="1"/>
                <w:color w:val="auto"/>
                <w:sz w:val="24"/>
                <w:rFonts w:hint="eastAsia"/>
              </w:rPr>
              <w:t>-2</w:t>
            </w:r>
            <w:r>
              <w:rPr>
                <w:b w:val="1"/>
                <w:color w:val="auto"/>
                <w:sz w:val="24"/>
              </w:rPr>
              <w:t xml:space="preserve"> </w:t>
            </w:r>
            <w:r>
              <w:rPr>
                <w:b w:val="1"/>
                <w:color w:val="auto"/>
                <w:sz w:val="24"/>
                <w:rFonts w:hAnsi="宋体"/>
              </w:rPr>
              <w:t>导热油炉主要大气污染物产生情况一览表</w:t>
            </w:r>
          </w:p>
          <w:tbl>
            <w:tblPr>
              <w:tblStyle w:val="27"/>
              <w:tblW w:w="5000"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1080.000000"/>
              <w:gridCol w:w="1955.000000"/>
              <w:gridCol w:w="1257.000000"/>
              <w:gridCol w:w="1116.000000"/>
              <w:gridCol w:w="976.000000"/>
              <w:gridCol w:w="1002.000000"/>
              <w:gridCol w:w="1003.000000"/>
            </w:tblGrid>
            <w:tr w14:paraId="4189E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3" w:hRule="atLeast"/>
                <w:jc w:val="center"/>
              </w:trPr>
              <w:tc>
                <w:tcPr>
                  <w:tcW w:w="642" w:type="pct"/>
                  <w:vAlign w:val="center"/>
                  <w:tcBorders>
                    <w:top w:val="single" w:color="auto" w:sz="12" w:space="0"/>
                    <w:left w:val="nil"/>
                    <w:bottom w:val="single" w:color="auto" w:sz="4" w:space="0"/>
                    <w:right w:val="single" w:color="auto" w:sz="4" w:space="0"/>
                  </w:tcBorders>
                </w:tcPr>
                <w:p w14:paraId="28809895">
                  <w:pPr>
                    <w:jc w:val="center"/>
                    <w:rPr>
                      <w:color w:val="auto"/>
                      <w:szCs w:val="21"/>
                    </w:rPr>
                  </w:pPr>
                  <w:r>
                    <w:rPr>
                      <w:color w:val="auto"/>
                      <w:szCs w:val="21"/>
                    </w:rPr>
                    <w:t>消耗量</w:t>
                  </w:r>
                </w:p>
              </w:tc>
              <w:tc>
                <w:tcPr>
                  <w:tcW w:w="1163" w:type="pct"/>
                  <w:vAlign w:val="center"/>
                  <w:tcBorders>
                    <w:top w:val="single" w:color="auto" w:sz="12" w:space="0"/>
                    <w:left w:val="single" w:color="auto" w:sz="4" w:space="0"/>
                    <w:bottom w:val="single" w:color="auto" w:sz="4" w:space="0"/>
                    <w:right w:val="single" w:color="auto" w:sz="4" w:space="0"/>
                  </w:tcBorders>
                </w:tcPr>
                <w:p w14:paraId="547F3943">
                  <w:pPr>
                    <w:jc w:val="center"/>
                    <w:rPr>
                      <w:color w:val="auto"/>
                      <w:szCs w:val="21"/>
                    </w:rPr>
                  </w:pPr>
                  <w:r>
                    <w:rPr>
                      <w:color w:val="auto"/>
                      <w:szCs w:val="21"/>
                    </w:rPr>
                    <w:t>主要污染物</w:t>
                  </w:r>
                </w:p>
              </w:tc>
              <w:tc>
                <w:tcPr>
                  <w:tcW w:w="747" w:type="pct"/>
                  <w:vAlign w:val="center"/>
                  <w:tcBorders>
                    <w:top w:val="single" w:color="auto" w:sz="12" w:space="0"/>
                    <w:left w:val="single" w:color="auto" w:sz="4" w:space="0"/>
                    <w:bottom w:val="single" w:color="auto" w:sz="4" w:space="0"/>
                    <w:right w:val="single" w:color="auto" w:sz="4" w:space="0"/>
                  </w:tcBorders>
                </w:tcPr>
                <w:p w14:paraId="50FBF44D">
                  <w:pPr>
                    <w:jc w:val="center"/>
                    <w:rPr>
                      <w:color w:val="auto"/>
                      <w:szCs w:val="21"/>
                    </w:rPr>
                  </w:pPr>
                  <w:r>
                    <w:rPr>
                      <w:color w:val="auto"/>
                      <w:szCs w:val="21"/>
                    </w:rPr>
                    <w:t>颗粒物</w:t>
                  </w:r>
                </w:p>
              </w:tc>
              <w:tc>
                <w:tcPr>
                  <w:tcW w:w="664" w:type="pct"/>
                  <w:vAlign w:val="center"/>
                  <w:tcBorders>
                    <w:top w:val="single" w:color="auto" w:sz="12" w:space="0"/>
                    <w:left w:val="single" w:color="auto" w:sz="4" w:space="0"/>
                    <w:bottom w:val="single" w:color="auto" w:sz="4" w:space="0"/>
                    <w:right w:val="single" w:color="auto" w:sz="4" w:space="0"/>
                  </w:tcBorders>
                </w:tcPr>
                <w:p w14:paraId="69DFA479">
                  <w:pPr>
                    <w:jc w:val="center"/>
                    <w:rPr>
                      <w:color w:val="auto"/>
                      <w:szCs w:val="21"/>
                    </w:rPr>
                  </w:pPr>
                  <w:r>
                    <w:rPr>
                      <w:color w:val="auto"/>
                      <w:szCs w:val="21"/>
                    </w:rPr>
                    <w:t>SO</w:t>
                  </w:r>
                  <w:r>
                    <w:rPr>
                      <w:vertAlign w:val="subscript"/>
                      <w:color w:val="auto"/>
                      <w:szCs w:val="21"/>
                    </w:rPr>
                    <w:t>2</w:t>
                  </w:r>
                </w:p>
              </w:tc>
              <w:tc>
                <w:tcPr>
                  <w:tcW w:w="581" w:type="pct"/>
                  <w:vAlign w:val="center"/>
                  <w:tcBorders>
                    <w:top w:val="single" w:color="auto" w:sz="12" w:space="0"/>
                    <w:left w:val="single" w:color="auto" w:sz="4" w:space="0"/>
                    <w:bottom w:val="single" w:color="auto" w:sz="4" w:space="0"/>
                    <w:right w:val="single" w:color="auto" w:sz="4" w:space="0"/>
                  </w:tcBorders>
                </w:tcPr>
                <w:p w14:paraId="0491CD15">
                  <w:pPr>
                    <w:jc w:val="center"/>
                    <w:rPr>
                      <w:color w:val="auto"/>
                      <w:szCs w:val="21"/>
                    </w:rPr>
                  </w:pPr>
                  <w:r>
                    <w:rPr>
                      <w:color w:val="auto"/>
                      <w:szCs w:val="21"/>
                    </w:rPr>
                    <w:t>NO</w:t>
                  </w:r>
                  <w:r>
                    <w:rPr>
                      <w:vertAlign w:val="subscript"/>
                      <w:color w:val="auto"/>
                      <w:szCs w:val="21"/>
                    </w:rPr>
                    <w:t>X</w:t>
                  </w:r>
                </w:p>
              </w:tc>
              <w:tc>
                <w:tcPr>
                  <w:tcW w:w="596" w:type="pct"/>
                  <w:vAlign w:val="center"/>
                  <w:tcBorders>
                    <w:top w:val="single" w:color="auto" w:sz="12" w:space="0"/>
                    <w:left w:val="single" w:color="auto" w:sz="4" w:space="0"/>
                    <w:bottom w:val="single" w:color="auto" w:sz="4" w:space="0"/>
                    <w:right w:val="nil"/>
                  </w:tcBorders>
                </w:tcPr>
                <w:p w14:paraId="2DAF90FC">
                  <w:pPr>
                    <w:jc w:val="center"/>
                    <w:rPr>
                      <w:color w:val="auto"/>
                      <w:szCs w:val="21"/>
                    </w:rPr>
                  </w:pPr>
                  <w:r>
                    <w:rPr>
                      <w:color w:val="auto"/>
                      <w:szCs w:val="21"/>
                    </w:rPr>
                    <w:t>林格曼黑度</w:t>
                  </w:r>
                </w:p>
              </w:tc>
              <w:tc>
                <w:tcPr>
                  <w:tcW w:w="606" w:type="pct"/>
                  <w:vAlign w:val="center"/>
                  <w:tcBorders>
                    <w:top w:val="single" w:color="auto" w:sz="12" w:space="0"/>
                    <w:left w:val="single" w:color="auto" w:sz="4" w:space="0"/>
                    <w:bottom w:val="single" w:color="auto" w:sz="4" w:space="0"/>
                    <w:right w:val="nil"/>
                  </w:tcBorders>
                </w:tcPr>
                <w:p w14:paraId="4D1EA9B2">
                  <w:pPr>
                    <w:jc w:val="center"/>
                    <w:rPr>
                      <w:color w:val="auto"/>
                      <w:szCs w:val="21"/>
                    </w:rPr>
                  </w:pPr>
                  <w:r>
                    <w:rPr>
                      <w:color w:val="auto"/>
                      <w:szCs w:val="21"/>
                    </w:rPr>
                    <w:t>废气量</w:t>
                  </w:r>
                </w:p>
              </w:tc>
            </w:tr>
            <w:tr w14:paraId="03BE5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6" w:hRule="atLeast"/>
                <w:jc w:val="center"/>
              </w:trPr>
              <w:tc>
                <w:tcPr>
                  <w:tcW w:w="644" w:type="pct"/>
                  <w:vMerge w:val="restart"/>
                  <w:vAlign w:val="center"/>
                  <w:tcBorders>
                    <w:top w:val="single" w:color="auto" w:sz="4" w:space="0"/>
                    <w:left w:val="nil"/>
                    <w:bottom w:val="single" w:color="auto" w:sz="4" w:space="0"/>
                    <w:right w:val="single" w:color="auto" w:sz="4" w:space="0"/>
                  </w:tcBorders>
                </w:tcPr>
                <w:p w14:paraId="0BEBAAF9">
                  <w:pPr>
                    <w:jc w:val="center"/>
                    <w:rPr>
                      <w:color w:val="auto"/>
                      <w:szCs w:val="21"/>
                    </w:rPr>
                  </w:pPr>
                  <w:r>
                    <w:rPr>
                      <w:color w:val="auto"/>
                      <w:szCs w:val="21"/>
                      <w:rFonts w:hint="eastAsia"/>
                    </w:rPr>
                    <w:t>42.07万m</w:t>
                  </w:r>
                  <w:r>
                    <w:rPr>
                      <w:color w:val="auto"/>
                      <w:szCs w:val="21"/>
                    </w:rPr>
                    <w:t>³</w:t>
                  </w:r>
                </w:p>
              </w:tc>
              <w:tc>
                <w:tcPr>
                  <w:tcW w:w="1165" w:type="pct"/>
                  <w:vAlign w:val="center"/>
                  <w:tcBorders>
                    <w:top w:val="single" w:color="auto" w:sz="4" w:space="0"/>
                    <w:left w:val="single" w:color="auto" w:sz="4" w:space="0"/>
                    <w:bottom w:val="single" w:color="auto" w:sz="4" w:space="0"/>
                    <w:right w:val="single" w:color="auto" w:sz="4" w:space="0"/>
                  </w:tcBorders>
                </w:tcPr>
                <w:p w14:paraId="3CCBD9DF">
                  <w:pPr>
                    <w:jc w:val="center"/>
                    <w:rPr>
                      <w:color w:val="auto"/>
                      <w:szCs w:val="21"/>
                    </w:rPr>
                  </w:pPr>
                  <w:r>
                    <w:rPr>
                      <w:color w:val="auto"/>
                      <w:szCs w:val="21"/>
                    </w:rPr>
                    <w:t>产生量（t）</w:t>
                  </w:r>
                </w:p>
              </w:tc>
              <w:tc>
                <w:tcPr>
                  <w:tcW w:w="749" w:type="pct"/>
                  <w:vAlign w:val="center"/>
                  <w:tcBorders>
                    <w:top w:val="single" w:color="auto" w:sz="4" w:space="0"/>
                    <w:left w:val="single" w:color="auto" w:sz="4" w:space="0"/>
                    <w:bottom w:val="single" w:color="auto" w:sz="4" w:space="0"/>
                    <w:right w:val="single" w:color="auto" w:sz="4" w:space="0"/>
                  </w:tcBorders>
                </w:tcPr>
                <w:p w14:paraId="1C2C44A3">
                  <w:pPr>
                    <w:jc w:val="center"/>
                    <w:rPr>
                      <w:color w:val="auto"/>
                      <w:lang w:val="en-US" w:eastAsia="zh-CN"/>
                      <w:szCs w:val="21"/>
                      <w:rFonts w:eastAsia="宋体" w:hint="default"/>
                    </w:rPr>
                  </w:pPr>
                  <w:r>
                    <w:rPr>
                      <w:color w:val="auto"/>
                      <w:szCs w:val="21"/>
                      <w:rFonts w:hint="eastAsia"/>
                    </w:rPr>
                    <w:t>0.0</w:t>
                  </w:r>
                  <w:r>
                    <w:rPr>
                      <w:color w:val="auto"/>
                      <w:lang w:val="en-US" w:eastAsia="zh-CN"/>
                      <w:szCs w:val="21"/>
                      <w:rFonts w:hint="eastAsia"/>
                    </w:rPr>
                    <w:t>45</w:t>
                  </w:r>
                </w:p>
              </w:tc>
              <w:tc>
                <w:tcPr>
                  <w:tcW w:w="665" w:type="pct"/>
                  <w:vAlign w:val="center"/>
                  <w:tcBorders>
                    <w:top w:val="single" w:color="auto" w:sz="4" w:space="0"/>
                    <w:left w:val="single" w:color="auto" w:sz="4" w:space="0"/>
                    <w:bottom w:val="single" w:color="auto" w:sz="4" w:space="0"/>
                    <w:right w:val="single" w:color="auto" w:sz="4" w:space="0"/>
                  </w:tcBorders>
                </w:tcPr>
                <w:p w14:paraId="10595D38">
                  <w:pPr>
                    <w:jc w:val="center"/>
                    <w:rPr>
                      <w:color w:val="auto"/>
                      <w:lang w:val="en-US" w:eastAsia="zh-CN"/>
                      <w:szCs w:val="21"/>
                      <w:rFonts w:eastAsia="宋体" w:hint="default"/>
                    </w:rPr>
                  </w:pPr>
                  <w:r>
                    <w:rPr>
                      <w:color w:val="auto"/>
                      <w:szCs w:val="21"/>
                      <w:rFonts w:hint="eastAsia"/>
                    </w:rPr>
                    <w:t>0.00</w:t>
                  </w:r>
                  <w:r>
                    <w:rPr>
                      <w:color w:val="auto"/>
                      <w:lang w:val="en-US" w:eastAsia="zh-CN"/>
                      <w:szCs w:val="21"/>
                      <w:rFonts w:hint="eastAsia"/>
                    </w:rPr>
                    <w:t>07</w:t>
                  </w:r>
                </w:p>
              </w:tc>
              <w:tc>
                <w:tcPr>
                  <w:tcW w:w="582" w:type="pct"/>
                  <w:vAlign w:val="center"/>
                  <w:tcBorders>
                    <w:top w:val="single" w:color="auto" w:sz="4" w:space="0"/>
                    <w:left w:val="single" w:color="auto" w:sz="4" w:space="0"/>
                    <w:bottom w:val="single" w:color="auto" w:sz="4" w:space="0"/>
                    <w:right w:val="single" w:color="auto" w:sz="4" w:space="0"/>
                  </w:tcBorders>
                </w:tcPr>
                <w:p w14:paraId="2EAFB7D6">
                  <w:pPr>
                    <w:jc w:val="center"/>
                    <w:rPr>
                      <w:color w:val="auto"/>
                      <w:lang w:val="en-US" w:eastAsia="zh-CN"/>
                      <w:szCs w:val="21"/>
                      <w:rFonts w:eastAsia="宋体" w:hint="default"/>
                    </w:rPr>
                  </w:pPr>
                  <w:r>
                    <w:rPr>
                      <w:color w:val="auto"/>
                      <w:szCs w:val="21"/>
                      <w:rFonts w:hint="eastAsia"/>
                    </w:rPr>
                    <w:t>0.</w:t>
                  </w:r>
                  <w:r>
                    <w:rPr>
                      <w:color w:val="auto"/>
                      <w:lang w:val="en-US" w:eastAsia="zh-CN"/>
                      <w:szCs w:val="21"/>
                      <w:rFonts w:hint="eastAsia"/>
                    </w:rPr>
                    <w:t>56</w:t>
                  </w:r>
                </w:p>
              </w:tc>
              <w:tc>
                <w:tcPr>
                  <w:tcW w:w="597" w:type="pct"/>
                  <w:vMerge w:val="restart"/>
                  <w:vAlign w:val="center"/>
                  <w:tcBorders>
                    <w:top w:val="single" w:color="auto" w:sz="4" w:space="0"/>
                    <w:left w:val="single" w:color="auto" w:sz="4" w:space="0"/>
                    <w:right w:val="nil"/>
                  </w:tcBorders>
                </w:tcPr>
                <w:p w14:paraId="257D262F">
                  <w:pPr>
                    <w:jc w:val="center"/>
                    <w:rPr>
                      <w:color w:val="auto"/>
                      <w:szCs w:val="21"/>
                    </w:rPr>
                  </w:pPr>
                  <w:r>
                    <w:rPr>
                      <w:color w:val="auto"/>
                      <w:szCs w:val="21"/>
                      <w:rFonts w:hint="eastAsia"/>
                    </w:rPr>
                    <w:t>&lt;1级</w:t>
                  </w:r>
                </w:p>
              </w:tc>
              <w:tc>
                <w:tcPr>
                  <w:tcW w:w="597" w:type="pct"/>
                  <w:vMerge w:val="restart"/>
                  <w:vAlign w:val="center"/>
                  <w:tcBorders>
                    <w:top w:val="single" w:color="auto" w:sz="4" w:space="0"/>
                    <w:left w:val="single" w:color="auto" w:sz="4" w:space="0"/>
                    <w:right w:val="nil"/>
                  </w:tcBorders>
                </w:tcPr>
                <w:p w14:paraId="400B2293">
                  <w:pPr>
                    <w:jc w:val="center"/>
                    <w:rPr>
                      <w:color w:val="auto"/>
                      <w:szCs w:val="21"/>
                    </w:rPr>
                  </w:pPr>
                  <w:r>
                    <w:rPr>
                      <w:color w:val="auto"/>
                      <w:szCs w:val="21"/>
                      <w:rFonts w:hint="eastAsia"/>
                    </w:rPr>
                    <w:t>1543</w:t>
                  </w:r>
                  <w:r>
                    <w:rPr>
                      <w:color w:val="auto"/>
                      <w:szCs w:val="21"/>
                    </w:rPr>
                    <w:t>m</w:t>
                  </w:r>
                  <w:r>
                    <w:rPr>
                      <w:vertAlign w:val="superscript"/>
                      <w:color w:val="auto"/>
                      <w:szCs w:val="21"/>
                    </w:rPr>
                    <w:t>3</w:t>
                  </w:r>
                  <w:r>
                    <w:rPr>
                      <w:color w:val="auto"/>
                      <w:szCs w:val="21"/>
                    </w:rPr>
                    <w:t>/h</w:t>
                  </w:r>
                </w:p>
              </w:tc>
            </w:tr>
            <w:tr w14:paraId="69719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46" w:hRule="atLeast"/>
                <w:jc w:val="center"/>
              </w:trPr>
              <w:tc>
                <w:tcPr>
                  <w:tcW w:w="642" w:type="pct"/>
                  <w:vMerge w:val="continue"/>
                  <w:vAlign w:val="center"/>
                  <w:tcBorders>
                    <w:top w:val="single" w:color="auto" w:sz="4" w:space="0"/>
                    <w:left w:val="nil"/>
                    <w:bottom w:val="single" w:color="auto" w:sz="4" w:space="0"/>
                    <w:right w:val="single" w:color="auto" w:sz="4" w:space="0"/>
                  </w:tcBorders>
                </w:tcPr>
                <w:p w14:paraId="4372BBA5">
                  <w:pPr>
                    <w:jc w:val="center"/>
                    <w:rPr>
                      <w:color w:val="auto"/>
                      <w:szCs w:val="21"/>
                    </w:rPr>
                  </w:pPr>
                </w:p>
              </w:tc>
              <w:tc>
                <w:tcPr>
                  <w:tcW w:w="1163" w:type="pct"/>
                  <w:vAlign w:val="center"/>
                  <w:tcBorders>
                    <w:top w:val="single" w:color="auto" w:sz="4" w:space="0"/>
                    <w:left w:val="single" w:color="auto" w:sz="4" w:space="0"/>
                    <w:bottom w:val="single" w:color="auto" w:sz="4" w:space="0"/>
                    <w:right w:val="single" w:color="auto" w:sz="4" w:space="0"/>
                  </w:tcBorders>
                </w:tcPr>
                <w:p w14:paraId="4DD3F7AC">
                  <w:pPr>
                    <w:jc w:val="center"/>
                    <w:rPr>
                      <w:color w:val="auto"/>
                      <w:szCs w:val="21"/>
                    </w:rPr>
                  </w:pPr>
                  <w:r>
                    <w:rPr>
                      <w:color w:val="auto"/>
                      <w:szCs w:val="21"/>
                    </w:rPr>
                    <w:t>产生速率（kg/h）</w:t>
                  </w:r>
                </w:p>
              </w:tc>
              <w:tc>
                <w:tcPr>
                  <w:tcW w:w="747" w:type="pct"/>
                  <w:vAlign w:val="center"/>
                  <w:tcBorders>
                    <w:top w:val="single" w:color="auto" w:sz="4" w:space="0"/>
                    <w:left w:val="single" w:color="auto" w:sz="4" w:space="0"/>
                    <w:bottom w:val="single" w:color="auto" w:sz="4" w:space="0"/>
                    <w:right w:val="single" w:color="auto" w:sz="4" w:space="0"/>
                  </w:tcBorders>
                </w:tcPr>
                <w:p w14:paraId="18E118DC">
                  <w:pPr>
                    <w:jc w:val="center"/>
                    <w:rPr>
                      <w:color w:val="auto"/>
                      <w:lang w:val="en-US" w:eastAsia="zh-CN"/>
                      <w:szCs w:val="21"/>
                      <w:rFonts w:eastAsia="宋体" w:hint="default"/>
                    </w:rPr>
                  </w:pPr>
                  <w:r>
                    <w:rPr>
                      <w:color w:val="auto"/>
                      <w:szCs w:val="21"/>
                      <w:rFonts w:hint="eastAsia"/>
                    </w:rPr>
                    <w:t>0.0</w:t>
                  </w:r>
                  <w:r>
                    <w:rPr>
                      <w:color w:val="auto"/>
                      <w:lang w:val="en-US" w:eastAsia="zh-CN"/>
                      <w:szCs w:val="21"/>
                      <w:rFonts w:hint="eastAsia"/>
                    </w:rPr>
                    <w:t>19</w:t>
                  </w:r>
                </w:p>
              </w:tc>
              <w:tc>
                <w:tcPr>
                  <w:tcW w:w="664" w:type="pct"/>
                  <w:vAlign w:val="center"/>
                  <w:tcBorders>
                    <w:top w:val="single" w:color="auto" w:sz="4" w:space="0"/>
                    <w:left w:val="single" w:color="auto" w:sz="4" w:space="0"/>
                    <w:bottom w:val="single" w:color="auto" w:sz="4" w:space="0"/>
                    <w:right w:val="single" w:color="auto" w:sz="4" w:space="0"/>
                  </w:tcBorders>
                </w:tcPr>
                <w:p w14:paraId="087581AD">
                  <w:pPr>
                    <w:jc w:val="center"/>
                    <w:rPr>
                      <w:color w:val="auto"/>
                      <w:lang w:eastAsia="zh-CN"/>
                      <w:szCs w:val="21"/>
                      <w:rFonts w:eastAsia="宋体" w:hint="eastAsia"/>
                    </w:rPr>
                  </w:pPr>
                  <w:r>
                    <w:rPr>
                      <w:color w:val="auto"/>
                      <w:szCs w:val="21"/>
                      <w:rFonts w:hint="eastAsia"/>
                    </w:rPr>
                    <w:t>0.000</w:t>
                  </w:r>
                  <w:r>
                    <w:rPr>
                      <w:color w:val="auto"/>
                      <w:lang w:val="en-US" w:eastAsia="zh-CN"/>
                      <w:szCs w:val="21"/>
                      <w:rFonts w:hint="eastAsia"/>
                    </w:rPr>
                    <w:t>3</w:t>
                  </w:r>
                </w:p>
              </w:tc>
              <w:tc>
                <w:tcPr>
                  <w:tcW w:w="581" w:type="pct"/>
                  <w:vAlign w:val="center"/>
                  <w:tcBorders>
                    <w:top w:val="single" w:color="auto" w:sz="4" w:space="0"/>
                    <w:left w:val="single" w:color="auto" w:sz="4" w:space="0"/>
                    <w:bottom w:val="single" w:color="auto" w:sz="4" w:space="0"/>
                    <w:right w:val="single" w:color="auto" w:sz="4" w:space="0"/>
                  </w:tcBorders>
                </w:tcPr>
                <w:p w14:paraId="5692D8BB">
                  <w:pPr>
                    <w:jc w:val="center"/>
                    <w:rPr>
                      <w:color w:val="auto"/>
                      <w:lang w:val="en-US" w:eastAsia="zh-CN"/>
                      <w:szCs w:val="21"/>
                      <w:rFonts w:eastAsia="宋体" w:hint="default"/>
                    </w:rPr>
                  </w:pPr>
                  <w:r>
                    <w:rPr>
                      <w:color w:val="auto"/>
                      <w:szCs w:val="21"/>
                      <w:rFonts w:hint="eastAsia"/>
                    </w:rPr>
                    <w:t>0.</w:t>
                  </w:r>
                  <w:r>
                    <w:rPr>
                      <w:color w:val="auto"/>
                      <w:lang w:val="en-US" w:eastAsia="zh-CN"/>
                      <w:szCs w:val="21"/>
                      <w:rFonts w:hint="eastAsia"/>
                    </w:rPr>
                    <w:t>23</w:t>
                  </w:r>
                </w:p>
              </w:tc>
              <w:tc>
                <w:tcPr>
                  <w:tcW w:w="596" w:type="pct"/>
                  <w:vMerge w:val="continue"/>
                  <w:vAlign w:val="center"/>
                  <w:tcBorders>
                    <w:left w:val="single" w:color="auto" w:sz="4" w:space="0"/>
                    <w:right w:val="nil"/>
                  </w:tcBorders>
                </w:tcPr>
                <w:p w14:paraId="42DD7EF4">
                  <w:pPr>
                    <w:jc w:val="center"/>
                    <w:ind w:firstLine="420"/>
                    <w:rPr>
                      <w:color w:val="auto"/>
                      <w:szCs w:val="21"/>
                    </w:rPr>
                  </w:pPr>
                </w:p>
              </w:tc>
              <w:tc>
                <w:tcPr>
                  <w:tcW w:w="606" w:type="pct"/>
                  <w:vMerge w:val="continue"/>
                  <w:vAlign w:val="center"/>
                  <w:tcBorders>
                    <w:left w:val="single" w:color="auto" w:sz="4" w:space="0"/>
                    <w:right w:val="nil"/>
                  </w:tcBorders>
                </w:tcPr>
                <w:p w14:paraId="54E97473">
                  <w:pPr>
                    <w:jc w:val="center"/>
                    <w:ind w:firstLine="420"/>
                    <w:rPr>
                      <w:color w:val="auto"/>
                      <w:szCs w:val="21"/>
                    </w:rPr>
                  </w:pPr>
                </w:p>
              </w:tc>
            </w:tr>
            <w:tr w14:paraId="4291C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0" w:hRule="atLeast"/>
                <w:jc w:val="center"/>
              </w:trPr>
              <w:tc>
                <w:tcPr>
                  <w:tcW w:w="642" w:type="pct"/>
                  <w:vMerge w:val="continue"/>
                  <w:vAlign w:val="center"/>
                  <w:tcBorders>
                    <w:top w:val="single" w:color="auto" w:sz="4" w:space="0"/>
                    <w:left w:val="nil"/>
                    <w:bottom w:val="single" w:color="auto" w:sz="4" w:space="0"/>
                    <w:right w:val="single" w:color="auto" w:sz="4" w:space="0"/>
                  </w:tcBorders>
                </w:tcPr>
                <w:p w14:paraId="0C63091C">
                  <w:pPr>
                    <w:jc w:val="center"/>
                    <w:rPr>
                      <w:color w:val="auto"/>
                      <w:szCs w:val="21"/>
                    </w:rPr>
                  </w:pPr>
                </w:p>
              </w:tc>
              <w:tc>
                <w:tcPr>
                  <w:tcW w:w="1163" w:type="pct"/>
                  <w:vAlign w:val="center"/>
                  <w:tcBorders>
                    <w:top w:val="single" w:color="auto" w:sz="4" w:space="0"/>
                    <w:left w:val="single" w:color="auto" w:sz="4" w:space="0"/>
                    <w:bottom w:val="single" w:color="auto" w:sz="4" w:space="0"/>
                    <w:right w:val="single" w:color="auto" w:sz="4" w:space="0"/>
                  </w:tcBorders>
                </w:tcPr>
                <w:p w14:paraId="08C8A36F">
                  <w:pPr>
                    <w:jc w:val="center"/>
                    <w:rPr>
                      <w:color w:val="auto"/>
                      <w:szCs w:val="21"/>
                    </w:rPr>
                  </w:pPr>
                  <w:r>
                    <w:rPr>
                      <w:color w:val="auto"/>
                      <w:szCs w:val="21"/>
                    </w:rPr>
                    <w:t>产生浓度（mg/m</w:t>
                  </w:r>
                  <w:r>
                    <w:rPr>
                      <w:vertAlign w:val="superscript"/>
                      <w:color w:val="auto"/>
                      <w:szCs w:val="21"/>
                    </w:rPr>
                    <w:t>3</w:t>
                  </w:r>
                  <w:r>
                    <w:rPr>
                      <w:color w:val="auto"/>
                      <w:szCs w:val="21"/>
                    </w:rPr>
                    <w:t>）</w:t>
                  </w:r>
                </w:p>
              </w:tc>
              <w:tc>
                <w:tcPr>
                  <w:tcW w:w="747" w:type="pct"/>
                  <w:vAlign w:val="center"/>
                  <w:tcBorders>
                    <w:top w:val="single" w:color="auto" w:sz="4" w:space="0"/>
                    <w:left w:val="single" w:color="auto" w:sz="4" w:space="0"/>
                    <w:bottom w:val="single" w:color="auto" w:sz="4" w:space="0"/>
                    <w:right w:val="single" w:color="auto" w:sz="4" w:space="0"/>
                  </w:tcBorders>
                </w:tcPr>
                <w:p w14:paraId="1BD0D13B">
                  <w:pPr>
                    <w:jc w:val="center"/>
                    <w:rPr>
                      <w:color w:val="auto"/>
                      <w:lang w:eastAsia="zh-CN"/>
                      <w:szCs w:val="21"/>
                      <w:rFonts w:eastAsia="宋体" w:hint="eastAsia"/>
                    </w:rPr>
                  </w:pPr>
                  <w:r>
                    <w:rPr>
                      <w:color w:val="auto"/>
                      <w:szCs w:val="21"/>
                      <w:rFonts w:hint="eastAsia"/>
                    </w:rPr>
                    <w:t>16.</w:t>
                  </w:r>
                  <w:r>
                    <w:rPr>
                      <w:color w:val="auto"/>
                      <w:lang w:val="en-US" w:eastAsia="zh-CN"/>
                      <w:szCs w:val="21"/>
                      <w:rFonts w:hint="eastAsia"/>
                    </w:rPr>
                    <w:t>2</w:t>
                  </w:r>
                </w:p>
              </w:tc>
              <w:tc>
                <w:tcPr>
                  <w:tcW w:w="664" w:type="pct"/>
                  <w:vAlign w:val="center"/>
                  <w:tcBorders>
                    <w:top w:val="single" w:color="auto" w:sz="4" w:space="0"/>
                    <w:left w:val="single" w:color="auto" w:sz="4" w:space="0"/>
                    <w:bottom w:val="single" w:color="auto" w:sz="4" w:space="0"/>
                    <w:right w:val="single" w:color="auto" w:sz="4" w:space="0"/>
                  </w:tcBorders>
                </w:tcPr>
                <w:p w14:paraId="1C13CA58">
                  <w:pPr>
                    <w:jc w:val="center"/>
                    <w:rPr>
                      <w:color w:val="auto"/>
                      <w:lang w:eastAsia="zh-CN"/>
                      <w:szCs w:val="21"/>
                      <w:rFonts w:eastAsia="宋体" w:hint="eastAsia"/>
                    </w:rPr>
                  </w:pPr>
                  <w:r>
                    <w:rPr>
                      <w:color w:val="auto"/>
                      <w:szCs w:val="21"/>
                      <w:rFonts w:hint="eastAsia"/>
                    </w:rPr>
                    <w:t>0.2</w:t>
                  </w:r>
                  <w:r>
                    <w:rPr>
                      <w:color w:val="auto"/>
                      <w:lang w:val="en-US" w:eastAsia="zh-CN"/>
                      <w:szCs w:val="21"/>
                      <w:rFonts w:hint="eastAsia"/>
                    </w:rPr>
                    <w:t>5</w:t>
                  </w:r>
                </w:p>
              </w:tc>
              <w:tc>
                <w:tcPr>
                  <w:tcW w:w="581" w:type="pct"/>
                  <w:vAlign w:val="center"/>
                  <w:tcBorders>
                    <w:top w:val="single" w:color="auto" w:sz="4" w:space="0"/>
                    <w:left w:val="single" w:color="auto" w:sz="4" w:space="0"/>
                    <w:bottom w:val="single" w:color="auto" w:sz="4" w:space="0"/>
                    <w:right w:val="single" w:color="auto" w:sz="4" w:space="0"/>
                  </w:tcBorders>
                </w:tcPr>
                <w:p w14:paraId="02A63A5B">
                  <w:pPr>
                    <w:jc w:val="center"/>
                    <w:rPr>
                      <w:color w:val="auto"/>
                      <w:szCs w:val="21"/>
                    </w:rPr>
                  </w:pPr>
                  <w:r>
                    <w:rPr>
                      <w:color w:val="auto"/>
                      <w:szCs w:val="21"/>
                      <w:rFonts w:hint="eastAsia"/>
                    </w:rPr>
                    <w:t>200</w:t>
                  </w:r>
                </w:p>
              </w:tc>
              <w:tc>
                <w:tcPr>
                  <w:tcW w:w="596" w:type="pct"/>
                  <w:vMerge w:val="continue"/>
                  <w:vAlign w:val="center"/>
                  <w:tcBorders>
                    <w:left w:val="single" w:color="auto" w:sz="4" w:space="0"/>
                    <w:right w:val="nil"/>
                  </w:tcBorders>
                </w:tcPr>
                <w:p w14:paraId="76DE5D7C">
                  <w:pPr>
                    <w:jc w:val="center"/>
                    <w:ind w:firstLine="420"/>
                    <w:rPr>
                      <w:color w:val="auto"/>
                      <w:szCs w:val="21"/>
                    </w:rPr>
                  </w:pPr>
                </w:p>
              </w:tc>
              <w:tc>
                <w:tcPr>
                  <w:tcW w:w="606" w:type="pct"/>
                  <w:vMerge w:val="continue"/>
                  <w:vAlign w:val="center"/>
                  <w:tcBorders>
                    <w:left w:val="single" w:color="auto" w:sz="4" w:space="0"/>
                    <w:right w:val="nil"/>
                  </w:tcBorders>
                </w:tcPr>
                <w:p w14:paraId="6B80325F">
                  <w:pPr>
                    <w:jc w:val="center"/>
                    <w:ind w:firstLine="420"/>
                    <w:rPr>
                      <w:color w:val="auto"/>
                      <w:szCs w:val="21"/>
                    </w:rPr>
                  </w:pPr>
                </w:p>
              </w:tc>
            </w:tr>
            <w:tr w14:paraId="045F4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39" w:hRule="atLeast"/>
                <w:jc w:val="center"/>
              </w:trPr>
              <w:tc>
                <w:tcPr>
                  <w:tcW w:w="642" w:type="pct"/>
                  <w:vMerge w:val="continue"/>
                  <w:vAlign w:val="center"/>
                  <w:tcBorders>
                    <w:top w:val="single" w:color="auto" w:sz="4" w:space="0"/>
                    <w:left w:val="nil"/>
                    <w:bottom w:val="single" w:color="auto" w:sz="4" w:space="0"/>
                    <w:right w:val="single" w:color="auto" w:sz="4" w:space="0"/>
                  </w:tcBorders>
                </w:tcPr>
                <w:p w14:paraId="5213B8FE">
                  <w:pPr>
                    <w:jc w:val="center"/>
                    <w:rPr>
                      <w:color w:val="auto"/>
                      <w:szCs w:val="21"/>
                    </w:rPr>
                  </w:pPr>
                </w:p>
              </w:tc>
              <w:tc>
                <w:tcPr>
                  <w:tcW w:w="1163" w:type="pct"/>
                  <w:vAlign w:val="center"/>
                  <w:tcBorders>
                    <w:top w:val="single" w:color="auto" w:sz="4" w:space="0"/>
                    <w:left w:val="single" w:color="auto" w:sz="4" w:space="0"/>
                    <w:bottom w:val="single" w:color="auto" w:sz="4" w:space="0"/>
                    <w:right w:val="single" w:color="auto" w:sz="4" w:space="0"/>
                  </w:tcBorders>
                </w:tcPr>
                <w:p w14:paraId="2C213EAE">
                  <w:pPr>
                    <w:jc w:val="center"/>
                    <w:rPr>
                      <w:color w:val="auto"/>
                      <w:szCs w:val="21"/>
                    </w:rPr>
                  </w:pPr>
                  <w:r>
                    <w:rPr>
                      <w:color w:val="auto"/>
                      <w:szCs w:val="21"/>
                    </w:rPr>
                    <w:t>排放量（t）</w:t>
                  </w:r>
                </w:p>
              </w:tc>
              <w:tc>
                <w:tcPr>
                  <w:tcW w:w="747" w:type="pct"/>
                  <w:vAlign w:val="center"/>
                  <w:tcBorders>
                    <w:top w:val="single" w:color="auto" w:sz="4" w:space="0"/>
                    <w:left w:val="single" w:color="auto" w:sz="4" w:space="0"/>
                    <w:bottom w:val="single" w:color="auto" w:sz="4" w:space="0"/>
                    <w:right w:val="single" w:color="auto" w:sz="4" w:space="0"/>
                  </w:tcBorders>
                </w:tcPr>
                <w:p w14:paraId="1A7BD466">
                  <w:pPr>
                    <w:jc w:val="center"/>
                    <w:rPr>
                      <w:color w:val="auto"/>
                      <w:szCs w:val="21"/>
                    </w:rPr>
                  </w:pPr>
                  <w:r>
                    <w:rPr>
                      <w:color w:val="auto"/>
                      <w:szCs w:val="21"/>
                      <w:rFonts w:hint="eastAsia"/>
                    </w:rPr>
                    <w:t>0.0</w:t>
                  </w:r>
                  <w:r>
                    <w:rPr>
                      <w:color w:val="auto"/>
                      <w:lang w:val="en-US" w:eastAsia="zh-CN"/>
                      <w:szCs w:val="21"/>
                      <w:rFonts w:hint="eastAsia"/>
                    </w:rPr>
                    <w:t>45</w:t>
                  </w:r>
                </w:p>
              </w:tc>
              <w:tc>
                <w:tcPr>
                  <w:tcW w:w="664" w:type="pct"/>
                  <w:vAlign w:val="center"/>
                  <w:tcBorders>
                    <w:top w:val="single" w:color="auto" w:sz="4" w:space="0"/>
                    <w:left w:val="single" w:color="auto" w:sz="4" w:space="0"/>
                    <w:bottom w:val="single" w:color="auto" w:sz="4" w:space="0"/>
                    <w:right w:val="single" w:color="auto" w:sz="4" w:space="0"/>
                  </w:tcBorders>
                </w:tcPr>
                <w:p w14:paraId="707508BD">
                  <w:pPr>
                    <w:jc w:val="center"/>
                    <w:rPr>
                      <w:color w:val="auto"/>
                      <w:szCs w:val="21"/>
                    </w:rPr>
                  </w:pPr>
                  <w:r>
                    <w:rPr>
                      <w:color w:val="auto"/>
                      <w:szCs w:val="21"/>
                      <w:rFonts w:hint="eastAsia"/>
                    </w:rPr>
                    <w:t>0.00</w:t>
                  </w:r>
                  <w:r>
                    <w:rPr>
                      <w:color w:val="auto"/>
                      <w:lang w:val="en-US" w:eastAsia="zh-CN"/>
                      <w:szCs w:val="21"/>
                      <w:rFonts w:hint="eastAsia"/>
                    </w:rPr>
                    <w:t>07</w:t>
                  </w:r>
                </w:p>
              </w:tc>
              <w:tc>
                <w:tcPr>
                  <w:tcW w:w="581" w:type="pct"/>
                  <w:vAlign w:val="center"/>
                  <w:tcBorders>
                    <w:top w:val="single" w:color="auto" w:sz="4" w:space="0"/>
                    <w:left w:val="single" w:color="auto" w:sz="4" w:space="0"/>
                    <w:bottom w:val="single" w:color="auto" w:sz="4" w:space="0"/>
                    <w:right w:val="single" w:color="auto" w:sz="4" w:space="0"/>
                  </w:tcBorders>
                </w:tcPr>
                <w:p w14:paraId="5DBD892E">
                  <w:pPr>
                    <w:jc w:val="center"/>
                    <w:rPr>
                      <w:color w:val="auto"/>
                      <w:lang w:val="en-US" w:eastAsia="zh-CN"/>
                      <w:szCs w:val="21"/>
                      <w:rFonts w:eastAsia="宋体" w:hint="default"/>
                    </w:rPr>
                  </w:pPr>
                  <w:r>
                    <w:rPr>
                      <w:color w:val="auto"/>
                      <w:szCs w:val="21"/>
                      <w:rFonts w:hint="eastAsia"/>
                    </w:rPr>
                    <w:t>0.</w:t>
                  </w:r>
                  <w:r>
                    <w:rPr>
                      <w:color w:val="auto"/>
                      <w:lang w:val="en-US" w:eastAsia="zh-CN"/>
                      <w:szCs w:val="21"/>
                      <w:rFonts w:hint="eastAsia"/>
                    </w:rPr>
                    <w:t>39</w:t>
                  </w:r>
                </w:p>
              </w:tc>
              <w:tc>
                <w:tcPr>
                  <w:tcW w:w="596" w:type="pct"/>
                  <w:vMerge w:val="continue"/>
                  <w:vAlign w:val="center"/>
                  <w:tcBorders>
                    <w:left w:val="single" w:color="auto" w:sz="4" w:space="0"/>
                    <w:right w:val="nil"/>
                  </w:tcBorders>
                </w:tcPr>
                <w:p w14:paraId="00B220EF">
                  <w:pPr>
                    <w:jc w:val="center"/>
                    <w:ind w:firstLine="420"/>
                    <w:rPr>
                      <w:color w:val="auto"/>
                      <w:szCs w:val="21"/>
                    </w:rPr>
                  </w:pPr>
                </w:p>
              </w:tc>
              <w:tc>
                <w:tcPr>
                  <w:tcW w:w="606" w:type="pct"/>
                  <w:vMerge w:val="continue"/>
                  <w:vAlign w:val="center"/>
                  <w:tcBorders>
                    <w:left w:val="single" w:color="auto" w:sz="4" w:space="0"/>
                    <w:right w:val="nil"/>
                  </w:tcBorders>
                </w:tcPr>
                <w:p w14:paraId="3FE48602">
                  <w:pPr>
                    <w:jc w:val="center"/>
                    <w:ind w:firstLine="420"/>
                    <w:rPr>
                      <w:color w:val="auto"/>
                      <w:szCs w:val="21"/>
                    </w:rPr>
                  </w:pPr>
                </w:p>
              </w:tc>
            </w:tr>
            <w:tr w14:paraId="2EB72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77" w:hRule="atLeast"/>
                <w:jc w:val="center"/>
              </w:trPr>
              <w:tc>
                <w:tcPr>
                  <w:tcW w:w="642" w:type="pct"/>
                  <w:vMerge w:val="continue"/>
                  <w:vAlign w:val="center"/>
                  <w:tcBorders>
                    <w:top w:val="single" w:color="auto" w:sz="4" w:space="0"/>
                    <w:left w:val="nil"/>
                    <w:bottom w:val="single" w:color="auto" w:sz="4" w:space="0"/>
                    <w:right w:val="single" w:color="auto" w:sz="4" w:space="0"/>
                  </w:tcBorders>
                </w:tcPr>
                <w:p w14:paraId="0E365A86">
                  <w:pPr>
                    <w:jc w:val="center"/>
                    <w:rPr>
                      <w:color w:val="auto"/>
                      <w:szCs w:val="21"/>
                    </w:rPr>
                  </w:pPr>
                </w:p>
              </w:tc>
              <w:tc>
                <w:tcPr>
                  <w:tcW w:w="1163" w:type="pct"/>
                  <w:vAlign w:val="center"/>
                  <w:tcBorders>
                    <w:top w:val="single" w:color="auto" w:sz="4" w:space="0"/>
                    <w:left w:val="single" w:color="auto" w:sz="4" w:space="0"/>
                    <w:bottom w:val="single" w:color="auto" w:sz="4" w:space="0"/>
                    <w:right w:val="single" w:color="auto" w:sz="4" w:space="0"/>
                  </w:tcBorders>
                </w:tcPr>
                <w:p w14:paraId="4141CDC0">
                  <w:pPr>
                    <w:jc w:val="center"/>
                    <w:rPr>
                      <w:color w:val="auto"/>
                      <w:szCs w:val="21"/>
                    </w:rPr>
                  </w:pPr>
                  <w:r>
                    <w:rPr>
                      <w:color w:val="auto"/>
                      <w:szCs w:val="21"/>
                      <w:rFonts w:hint="eastAsia"/>
                    </w:rPr>
                    <w:t>排放</w:t>
                  </w:r>
                  <w:r>
                    <w:rPr>
                      <w:color w:val="auto"/>
                      <w:szCs w:val="21"/>
                    </w:rPr>
                    <w:t>速率（kg/h）</w:t>
                  </w:r>
                </w:p>
              </w:tc>
              <w:tc>
                <w:tcPr>
                  <w:tcW w:w="747" w:type="pct"/>
                  <w:vAlign w:val="center"/>
                  <w:tcBorders>
                    <w:top w:val="single" w:color="auto" w:sz="4" w:space="0"/>
                    <w:left w:val="single" w:color="auto" w:sz="4" w:space="0"/>
                    <w:bottom w:val="single" w:color="auto" w:sz="4" w:space="0"/>
                    <w:right w:val="single" w:color="auto" w:sz="4" w:space="0"/>
                  </w:tcBorders>
                </w:tcPr>
                <w:p w14:paraId="3C3C2FA3">
                  <w:pPr>
                    <w:jc w:val="center"/>
                    <w:rPr>
                      <w:color w:val="auto"/>
                      <w:szCs w:val="21"/>
                    </w:rPr>
                  </w:pPr>
                  <w:r>
                    <w:rPr>
                      <w:color w:val="auto"/>
                      <w:szCs w:val="21"/>
                      <w:rFonts w:hint="eastAsia"/>
                    </w:rPr>
                    <w:t>0.0</w:t>
                  </w:r>
                  <w:r>
                    <w:rPr>
                      <w:color w:val="auto"/>
                      <w:lang w:val="en-US" w:eastAsia="zh-CN"/>
                      <w:szCs w:val="21"/>
                      <w:rFonts w:hint="eastAsia"/>
                    </w:rPr>
                    <w:t>19</w:t>
                  </w:r>
                </w:p>
              </w:tc>
              <w:tc>
                <w:tcPr>
                  <w:tcW w:w="664" w:type="pct"/>
                  <w:vAlign w:val="center"/>
                  <w:tcBorders>
                    <w:top w:val="single" w:color="auto" w:sz="4" w:space="0"/>
                    <w:left w:val="single" w:color="auto" w:sz="4" w:space="0"/>
                    <w:bottom w:val="single" w:color="auto" w:sz="4" w:space="0"/>
                    <w:right w:val="single" w:color="auto" w:sz="4" w:space="0"/>
                  </w:tcBorders>
                </w:tcPr>
                <w:p w14:paraId="54BFCC27">
                  <w:pPr>
                    <w:jc w:val="center"/>
                    <w:rPr>
                      <w:color w:val="auto"/>
                      <w:szCs w:val="21"/>
                    </w:rPr>
                  </w:pPr>
                  <w:r>
                    <w:rPr>
                      <w:color w:val="auto"/>
                      <w:szCs w:val="21"/>
                      <w:rFonts w:hint="eastAsia"/>
                    </w:rPr>
                    <w:t>0.000</w:t>
                  </w:r>
                  <w:r>
                    <w:rPr>
                      <w:color w:val="auto"/>
                      <w:lang w:val="en-US" w:eastAsia="zh-CN"/>
                      <w:szCs w:val="21"/>
                      <w:rFonts w:hint="eastAsia"/>
                    </w:rPr>
                    <w:t>3</w:t>
                  </w:r>
                </w:p>
              </w:tc>
              <w:tc>
                <w:tcPr>
                  <w:tcW w:w="581" w:type="pct"/>
                  <w:vAlign w:val="center"/>
                  <w:tcBorders>
                    <w:top w:val="single" w:color="auto" w:sz="4" w:space="0"/>
                    <w:left w:val="single" w:color="auto" w:sz="4" w:space="0"/>
                    <w:bottom w:val="single" w:color="auto" w:sz="4" w:space="0"/>
                    <w:right w:val="single" w:color="auto" w:sz="4" w:space="0"/>
                  </w:tcBorders>
                </w:tcPr>
                <w:p w14:paraId="08A8D091">
                  <w:pPr>
                    <w:jc w:val="center"/>
                    <w:rPr>
                      <w:color w:val="auto"/>
                      <w:lang w:val="en-US" w:eastAsia="zh-CN"/>
                      <w:szCs w:val="21"/>
                      <w:rFonts w:eastAsia="宋体" w:hint="default"/>
                    </w:rPr>
                  </w:pPr>
                  <w:r>
                    <w:rPr>
                      <w:color w:val="auto"/>
                      <w:szCs w:val="21"/>
                      <w:rFonts w:hint="eastAsia"/>
                    </w:rPr>
                    <w:t>0.</w:t>
                  </w:r>
                  <w:r>
                    <w:rPr>
                      <w:color w:val="auto"/>
                      <w:lang w:val="en-US" w:eastAsia="zh-CN"/>
                      <w:szCs w:val="21"/>
                      <w:rFonts w:hint="eastAsia"/>
                    </w:rPr>
                    <w:t>16</w:t>
                  </w:r>
                </w:p>
              </w:tc>
              <w:tc>
                <w:tcPr>
                  <w:tcW w:w="596" w:type="pct"/>
                  <w:vMerge w:val="continue"/>
                  <w:vAlign w:val="center"/>
                  <w:tcBorders>
                    <w:left w:val="single" w:color="auto" w:sz="4" w:space="0"/>
                    <w:right w:val="nil"/>
                  </w:tcBorders>
                </w:tcPr>
                <w:p w14:paraId="01760233">
                  <w:pPr>
                    <w:jc w:val="center"/>
                    <w:ind w:firstLine="420"/>
                    <w:rPr>
                      <w:color w:val="auto"/>
                      <w:szCs w:val="21"/>
                    </w:rPr>
                  </w:pPr>
                </w:p>
              </w:tc>
              <w:tc>
                <w:tcPr>
                  <w:tcW w:w="606" w:type="pct"/>
                  <w:vMerge w:val="continue"/>
                  <w:vAlign w:val="center"/>
                  <w:tcBorders>
                    <w:left w:val="single" w:color="auto" w:sz="4" w:space="0"/>
                    <w:right w:val="nil"/>
                  </w:tcBorders>
                </w:tcPr>
                <w:p w14:paraId="03EFDF4B">
                  <w:pPr>
                    <w:jc w:val="center"/>
                    <w:ind w:firstLine="420"/>
                    <w:rPr>
                      <w:color w:val="auto"/>
                      <w:szCs w:val="21"/>
                    </w:rPr>
                  </w:pPr>
                </w:p>
              </w:tc>
            </w:tr>
            <w:tr w14:paraId="31A5B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0" w:hRule="atLeast"/>
                <w:jc w:val="center"/>
              </w:trPr>
              <w:tc>
                <w:tcPr>
                  <w:tcW w:w="642" w:type="pct"/>
                  <w:vMerge w:val="continue"/>
                  <w:vAlign w:val="center"/>
                  <w:tcBorders>
                    <w:top w:val="single" w:color="auto" w:sz="4" w:space="0"/>
                    <w:left w:val="nil"/>
                    <w:bottom w:val="single" w:color="auto" w:sz="4" w:space="0"/>
                    <w:right w:val="single" w:color="auto" w:sz="4" w:space="0"/>
                  </w:tcBorders>
                </w:tcPr>
                <w:p w14:paraId="2A5C669D">
                  <w:pPr>
                    <w:jc w:val="center"/>
                    <w:rPr>
                      <w:color w:val="auto"/>
                      <w:szCs w:val="21"/>
                    </w:rPr>
                  </w:pPr>
                </w:p>
              </w:tc>
              <w:tc>
                <w:tcPr>
                  <w:tcW w:w="1163" w:type="pct"/>
                  <w:vAlign w:val="center"/>
                  <w:tcBorders>
                    <w:top w:val="single" w:color="auto" w:sz="4" w:space="0"/>
                    <w:left w:val="single" w:color="auto" w:sz="4" w:space="0"/>
                    <w:bottom w:val="single" w:color="auto" w:sz="4" w:space="0"/>
                    <w:right w:val="single" w:color="auto" w:sz="4" w:space="0"/>
                  </w:tcBorders>
                </w:tcPr>
                <w:p w14:paraId="71AA9826">
                  <w:pPr>
                    <w:jc w:val="center"/>
                    <w:rPr>
                      <w:color w:val="auto"/>
                      <w:szCs w:val="21"/>
                    </w:rPr>
                  </w:pPr>
                  <w:r>
                    <w:rPr>
                      <w:color w:val="auto"/>
                      <w:szCs w:val="21"/>
                    </w:rPr>
                    <w:t>排放浓度（mg/m</w:t>
                  </w:r>
                  <w:r>
                    <w:rPr>
                      <w:vertAlign w:val="superscript"/>
                      <w:color w:val="auto"/>
                      <w:szCs w:val="21"/>
                    </w:rPr>
                    <w:t>3</w:t>
                  </w:r>
                  <w:r>
                    <w:rPr>
                      <w:color w:val="auto"/>
                      <w:szCs w:val="21"/>
                    </w:rPr>
                    <w:t>）</w:t>
                  </w:r>
                </w:p>
              </w:tc>
              <w:tc>
                <w:tcPr>
                  <w:tcW w:w="747" w:type="pct"/>
                  <w:vAlign w:val="center"/>
                  <w:tcBorders>
                    <w:top w:val="single" w:color="auto" w:sz="4" w:space="0"/>
                    <w:left w:val="single" w:color="auto" w:sz="4" w:space="0"/>
                    <w:bottom w:val="single" w:color="auto" w:sz="4" w:space="0"/>
                    <w:right w:val="single" w:color="auto" w:sz="4" w:space="0"/>
                  </w:tcBorders>
                </w:tcPr>
                <w:p w14:paraId="1AB58627">
                  <w:pPr>
                    <w:jc w:val="center"/>
                    <w:rPr>
                      <w:color w:val="auto"/>
                      <w:szCs w:val="21"/>
                    </w:rPr>
                  </w:pPr>
                  <w:r>
                    <w:rPr>
                      <w:color w:val="auto"/>
                      <w:szCs w:val="21"/>
                      <w:rFonts w:hint="eastAsia"/>
                    </w:rPr>
                    <w:t>16.</w:t>
                  </w:r>
                  <w:r>
                    <w:rPr>
                      <w:color w:val="auto"/>
                      <w:lang w:val="en-US" w:eastAsia="zh-CN"/>
                      <w:szCs w:val="21"/>
                      <w:rFonts w:hint="eastAsia"/>
                    </w:rPr>
                    <w:t>2</w:t>
                  </w:r>
                </w:p>
              </w:tc>
              <w:tc>
                <w:tcPr>
                  <w:tcW w:w="664" w:type="pct"/>
                  <w:vAlign w:val="center"/>
                  <w:tcBorders>
                    <w:top w:val="single" w:color="auto" w:sz="4" w:space="0"/>
                    <w:left w:val="single" w:color="auto" w:sz="4" w:space="0"/>
                    <w:bottom w:val="single" w:color="auto" w:sz="4" w:space="0"/>
                    <w:right w:val="single" w:color="auto" w:sz="4" w:space="0"/>
                  </w:tcBorders>
                </w:tcPr>
                <w:p w14:paraId="76C635E4">
                  <w:pPr>
                    <w:jc w:val="center"/>
                    <w:rPr>
                      <w:color w:val="auto"/>
                      <w:szCs w:val="21"/>
                    </w:rPr>
                  </w:pPr>
                  <w:r>
                    <w:rPr>
                      <w:color w:val="auto"/>
                      <w:szCs w:val="21"/>
                      <w:rFonts w:hint="eastAsia"/>
                    </w:rPr>
                    <w:t>0.2</w:t>
                  </w:r>
                  <w:r>
                    <w:rPr>
                      <w:color w:val="auto"/>
                      <w:lang w:val="en-US" w:eastAsia="zh-CN"/>
                      <w:szCs w:val="21"/>
                      <w:rFonts w:hint="eastAsia"/>
                    </w:rPr>
                    <w:t>5</w:t>
                  </w:r>
                </w:p>
              </w:tc>
              <w:tc>
                <w:tcPr>
                  <w:tcW w:w="581" w:type="pct"/>
                  <w:vAlign w:val="center"/>
                  <w:tcBorders>
                    <w:top w:val="single" w:color="auto" w:sz="4" w:space="0"/>
                    <w:left w:val="single" w:color="auto" w:sz="4" w:space="0"/>
                    <w:bottom w:val="single" w:color="auto" w:sz="4" w:space="0"/>
                    <w:right w:val="single" w:color="auto" w:sz="4" w:space="0"/>
                  </w:tcBorders>
                </w:tcPr>
                <w:p w14:paraId="30125FBC">
                  <w:pPr>
                    <w:jc w:val="center"/>
                    <w:rPr>
                      <w:color w:val="auto"/>
                      <w:szCs w:val="21"/>
                    </w:rPr>
                  </w:pPr>
                  <w:r>
                    <w:rPr>
                      <w:color w:val="auto"/>
                      <w:szCs w:val="21"/>
                      <w:rFonts w:hint="eastAsia"/>
                    </w:rPr>
                    <w:t>139.3</w:t>
                  </w:r>
                </w:p>
              </w:tc>
              <w:tc>
                <w:tcPr>
                  <w:tcW w:w="596" w:type="pct"/>
                  <w:vMerge w:val="continue"/>
                  <w:vAlign w:val="center"/>
                  <w:tcBorders>
                    <w:left w:val="single" w:color="auto" w:sz="4" w:space="0"/>
                    <w:right w:val="nil"/>
                  </w:tcBorders>
                </w:tcPr>
                <w:p w14:paraId="77D84D67">
                  <w:pPr>
                    <w:jc w:val="center"/>
                    <w:ind w:firstLine="420"/>
                    <w:rPr>
                      <w:color w:val="auto"/>
                      <w:szCs w:val="21"/>
                    </w:rPr>
                  </w:pPr>
                </w:p>
              </w:tc>
              <w:tc>
                <w:tcPr>
                  <w:tcW w:w="606" w:type="pct"/>
                  <w:vMerge w:val="continue"/>
                  <w:vAlign w:val="center"/>
                  <w:tcBorders>
                    <w:left w:val="single" w:color="auto" w:sz="4" w:space="0"/>
                    <w:right w:val="nil"/>
                  </w:tcBorders>
                </w:tcPr>
                <w:p w14:paraId="51E7DCFE">
                  <w:pPr>
                    <w:jc w:val="center"/>
                    <w:ind w:firstLine="420"/>
                    <w:rPr>
                      <w:color w:val="auto"/>
                      <w:szCs w:val="21"/>
                    </w:rPr>
                  </w:pPr>
                </w:p>
              </w:tc>
            </w:tr>
            <w:tr w14:paraId="0A0C3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00" w:hRule="atLeast"/>
                <w:jc w:val="center"/>
              </w:trPr>
              <w:tc>
                <w:tcPr>
                  <w:tcW w:w="1806" w:type="pct"/>
                  <w:gridSpan w:val="2"/>
                  <w:vAlign w:val="center"/>
                  <w:tcBorders>
                    <w:top w:val="single" w:color="auto" w:sz="4" w:space="0"/>
                    <w:left w:val="nil"/>
                    <w:bottom w:val="single" w:color="auto" w:sz="12" w:space="0"/>
                    <w:right w:val="single" w:color="auto" w:sz="4" w:space="0"/>
                  </w:tcBorders>
                </w:tcPr>
                <w:p w14:paraId="6B1E2341">
                  <w:pPr>
                    <w:jc w:val="center"/>
                    <w:rPr>
                      <w:color w:val="auto"/>
                      <w:szCs w:val="21"/>
                    </w:rPr>
                  </w:pPr>
                  <w:r>
                    <w:rPr>
                      <w:color w:val="auto"/>
                      <w:szCs w:val="21"/>
                    </w:rPr>
                    <w:t>排放标准（mg/m</w:t>
                  </w:r>
                  <w:r>
                    <w:rPr>
                      <w:vertAlign w:val="superscript"/>
                      <w:color w:val="auto"/>
                      <w:szCs w:val="21"/>
                    </w:rPr>
                    <w:t>3</w:t>
                  </w:r>
                  <w:r>
                    <w:rPr>
                      <w:color w:val="auto"/>
                      <w:szCs w:val="21"/>
                    </w:rPr>
                    <w:t>）</w:t>
                  </w:r>
                </w:p>
              </w:tc>
              <w:tc>
                <w:tcPr>
                  <w:tcW w:w="747" w:type="pct"/>
                  <w:vAlign w:val="center"/>
                  <w:tcBorders>
                    <w:top w:val="single" w:color="auto" w:sz="4" w:space="0"/>
                    <w:left w:val="single" w:color="auto" w:sz="4" w:space="0"/>
                    <w:bottom w:val="single" w:color="auto" w:sz="12" w:space="0"/>
                    <w:right w:val="single" w:color="auto" w:sz="4" w:space="0"/>
                  </w:tcBorders>
                </w:tcPr>
                <w:p w14:paraId="58DA0702">
                  <w:pPr>
                    <w:jc w:val="center"/>
                    <w:rPr>
                      <w:color w:val="auto"/>
                      <w:szCs w:val="21"/>
                    </w:rPr>
                  </w:pPr>
                  <w:r>
                    <w:rPr>
                      <w:color w:val="auto"/>
                      <w:szCs w:val="21"/>
                      <w:rFonts w:hint="eastAsia"/>
                    </w:rPr>
                    <w:t>20</w:t>
                  </w:r>
                </w:p>
              </w:tc>
              <w:tc>
                <w:tcPr>
                  <w:tcW w:w="664" w:type="pct"/>
                  <w:vAlign w:val="center"/>
                  <w:tcBorders>
                    <w:top w:val="single" w:color="auto" w:sz="4" w:space="0"/>
                    <w:left w:val="single" w:color="auto" w:sz="4" w:space="0"/>
                    <w:bottom w:val="single" w:color="auto" w:sz="12" w:space="0"/>
                    <w:right w:val="single" w:color="auto" w:sz="4" w:space="0"/>
                  </w:tcBorders>
                </w:tcPr>
                <w:p w14:paraId="58E08D1D">
                  <w:pPr>
                    <w:jc w:val="center"/>
                    <w:rPr>
                      <w:color w:val="auto"/>
                      <w:szCs w:val="21"/>
                    </w:rPr>
                  </w:pPr>
                  <w:r>
                    <w:rPr>
                      <w:color w:val="auto"/>
                      <w:szCs w:val="21"/>
                      <w:rFonts w:hint="eastAsia"/>
                    </w:rPr>
                    <w:t>50</w:t>
                  </w:r>
                </w:p>
              </w:tc>
              <w:tc>
                <w:tcPr>
                  <w:tcW w:w="581" w:type="pct"/>
                  <w:vAlign w:val="center"/>
                  <w:tcBorders>
                    <w:top w:val="single" w:color="auto" w:sz="4" w:space="0"/>
                    <w:left w:val="single" w:color="auto" w:sz="4" w:space="0"/>
                    <w:bottom w:val="single" w:color="auto" w:sz="12" w:space="0"/>
                    <w:right w:val="single" w:color="auto" w:sz="4" w:space="0"/>
                  </w:tcBorders>
                </w:tcPr>
                <w:p w14:paraId="774619ED">
                  <w:pPr>
                    <w:jc w:val="center"/>
                    <w:rPr>
                      <w:color w:val="auto"/>
                      <w:szCs w:val="21"/>
                    </w:rPr>
                  </w:pPr>
                  <w:r>
                    <w:rPr>
                      <w:color w:val="auto"/>
                      <w:szCs w:val="21"/>
                      <w:rFonts w:hint="eastAsia"/>
                    </w:rPr>
                    <w:t>20</w:t>
                  </w:r>
                  <w:r>
                    <w:rPr>
                      <w:color w:val="auto"/>
                      <w:szCs w:val="21"/>
                    </w:rPr>
                    <w:t>0</w:t>
                  </w:r>
                </w:p>
              </w:tc>
              <w:tc>
                <w:tcPr>
                  <w:tcW w:w="596" w:type="pct"/>
                  <w:vAlign w:val="center"/>
                  <w:tcBorders>
                    <w:left w:val="single" w:color="auto" w:sz="4" w:space="0"/>
                    <w:bottom w:val="single" w:color="auto" w:sz="12" w:space="0"/>
                    <w:right w:val="nil"/>
                  </w:tcBorders>
                </w:tcPr>
                <w:p w14:paraId="3BB7B2FF">
                  <w:pPr>
                    <w:jc w:val="center"/>
                    <w:rPr>
                      <w:color w:val="auto"/>
                      <w:szCs w:val="21"/>
                    </w:rPr>
                  </w:pPr>
                  <w:r>
                    <w:rPr>
                      <w:color w:val="auto"/>
                      <w:szCs w:val="21"/>
                      <w:rFonts w:hint="eastAsia"/>
                    </w:rPr>
                    <w:t>&lt;1级</w:t>
                  </w:r>
                </w:p>
              </w:tc>
              <w:tc>
                <w:tcPr>
                  <w:tcW w:w="606" w:type="pct"/>
                  <w:vMerge w:val="continue"/>
                  <w:vAlign w:val="center"/>
                  <w:tcBorders>
                    <w:left w:val="single" w:color="auto" w:sz="4" w:space="0"/>
                    <w:bottom w:val="single" w:color="auto" w:sz="12" w:space="0"/>
                    <w:right w:val="nil"/>
                  </w:tcBorders>
                </w:tcPr>
                <w:p w14:paraId="0E7AFAC1">
                  <w:pPr>
                    <w:jc w:val="center"/>
                    <w:rPr>
                      <w:color w:val="auto"/>
                      <w:szCs w:val="21"/>
                    </w:rPr>
                  </w:pPr>
                </w:p>
              </w:tc>
            </w:tr>
          </w:tbl>
          <w:p w14:paraId="4B661F57">
            <w:pPr>
              <w:contextualSpacing/>
              <w:spacing w:line="360" w:lineRule="auto"/>
              <w:ind w:firstLine="480" w:firstLineChars="200"/>
              <w:rPr>
                <w:color w:val="auto"/>
                <w:sz w:val="24"/>
                <w:rFonts w:hAnsi="宋体"/>
              </w:rPr>
            </w:pPr>
            <w:r>
              <w:rPr>
                <w:color w:val="auto"/>
                <w:sz w:val="24"/>
                <w:rFonts w:hAnsi="宋体" w:hint="eastAsia"/>
              </w:rPr>
              <w:t>（4）</w:t>
            </w:r>
            <w:r>
              <w:rPr>
                <w:color w:val="auto"/>
                <w:sz w:val="24"/>
                <w:rFonts w:hAnsi="宋体"/>
              </w:rPr>
              <w:t>沥青烟气</w:t>
            </w:r>
          </w:p>
          <w:p w14:paraId="7752E52B">
            <w:pPr>
              <w:contextualSpacing/>
              <w:spacing w:line="360" w:lineRule="auto"/>
              <w:ind w:firstLine="480" w:firstLineChars="200"/>
              <w:rPr>
                <w:color w:val="auto"/>
                <w:sz w:val="24"/>
                <w:rFonts w:hAnsi="宋体"/>
              </w:rPr>
            </w:pPr>
            <w:r>
              <w:rPr>
                <w:color w:val="auto"/>
                <w:sz w:val="24"/>
                <w:rFonts w:hAnsi="宋体"/>
              </w:rPr>
              <w:t>沥青烟气主要来源于搅拌机卸料的废气和沥青罐</w:t>
            </w:r>
            <w:r>
              <w:rPr>
                <w:color w:val="auto"/>
                <w:sz w:val="24"/>
                <w:rFonts w:hAnsi="宋体" w:hint="eastAsia"/>
              </w:rPr>
              <w:t>呼吸废气</w:t>
            </w:r>
            <w:r>
              <w:rPr>
                <w:color w:val="auto"/>
                <w:sz w:val="24"/>
                <w:rFonts w:hAnsi="宋体"/>
              </w:rPr>
              <w:t>。</w:t>
            </w:r>
          </w:p>
          <w:p w14:paraId="7C874D0D">
            <w:pPr>
              <w:contextualSpacing/>
              <w:spacing w:line="360" w:lineRule="auto"/>
              <w:ind w:firstLine="480" w:firstLineChars="200"/>
              <w:rPr>
                <w:color w:val="auto"/>
                <w:sz w:val="24"/>
              </w:rPr>
            </w:pPr>
            <w:r>
              <w:rPr>
                <w:color w:val="auto"/>
                <w:sz w:val="24"/>
                <w:rFonts w:hAnsi="宋体" w:hint="eastAsia"/>
              </w:rPr>
              <w:t>沥青在沥青罐加</w:t>
            </w:r>
            <w:r>
              <w:rPr>
                <w:color w:val="auto"/>
                <w:sz w:val="24"/>
                <w:rFonts w:hint="eastAsia"/>
              </w:rPr>
              <w:t>热和搅拌过程中均会产生沥青烟和苯并</w:t>
            </w:r>
            <w:r>
              <w:rPr>
                <w:color w:val="auto"/>
                <w:sz w:val="24"/>
              </w:rPr>
              <w:t>[a]</w:t>
            </w:r>
            <w:r>
              <w:rPr>
                <w:color w:val="auto"/>
                <w:sz w:val="24"/>
                <w:rFonts w:hint="eastAsia"/>
              </w:rPr>
              <w:t>芘，</w:t>
            </w:r>
            <w:r>
              <w:rPr>
                <w:color w:val="auto"/>
                <w:sz w:val="24"/>
              </w:rPr>
              <w:t>本项目采取分散收集统一处理的方式，</w:t>
            </w:r>
            <w:r>
              <w:rPr>
                <w:color w:val="auto"/>
                <w:sz w:val="24"/>
                <w:rFonts w:hint="eastAsia"/>
              </w:rPr>
              <w:t>收集效率为90%，</w:t>
            </w:r>
            <w:r>
              <w:rPr>
                <w:color w:val="auto"/>
                <w:sz w:val="24"/>
              </w:rPr>
              <w:t>经一套</w:t>
            </w:r>
            <w:r>
              <w:rPr>
                <w:color w:val="auto"/>
                <w:sz w:val="24"/>
                <w:rFonts w:hint="eastAsia"/>
              </w:rPr>
              <w:t>气浮旋流塔+三维一体化废气处理设备（由电离子+光催化+高</w:t>
            </w:r>
            <w:r>
              <w:rPr>
                <w:color w:val="auto"/>
                <w:sz w:val="24"/>
                <w:bCs/>
                <w:rFonts w:hint="eastAsia"/>
              </w:rPr>
              <w:t>碘值碳吸附组成）</w:t>
            </w:r>
            <w:r>
              <w:rPr>
                <w:color w:val="auto"/>
                <w:sz w:val="24"/>
              </w:rPr>
              <w:t>处理，处理效率</w:t>
            </w:r>
            <w:r>
              <w:rPr>
                <w:color w:val="auto"/>
                <w:sz w:val="24"/>
                <w:rFonts w:hint="eastAsia"/>
              </w:rPr>
              <w:t>可达95</w:t>
            </w:r>
            <w:r>
              <w:rPr>
                <w:color w:val="auto"/>
                <w:sz w:val="24"/>
              </w:rPr>
              <w:t>%，处理后经15m高排气筒（</w:t>
            </w:r>
            <w:r>
              <w:rPr>
                <w:color w:val="auto"/>
                <w:sz w:val="24"/>
                <w:rFonts w:hint="eastAsia"/>
              </w:rPr>
              <w:t>DA003</w:t>
            </w:r>
            <w:r>
              <w:rPr>
                <w:color w:val="auto"/>
                <w:sz w:val="24"/>
              </w:rPr>
              <w:t>）排放</w:t>
            </w:r>
            <w:r>
              <w:rPr>
                <w:color w:val="auto"/>
                <w:sz w:val="24"/>
                <w:rFonts w:hint="eastAsia"/>
              </w:rPr>
              <w:t>。</w:t>
            </w:r>
          </w:p>
          <w:p w14:paraId="35F1F0C1">
            <w:pPr>
              <w:pStyle w:val="26"/>
              <w:spacing w:after="0" w:line="360" w:lineRule="auto"/>
              <w:ind w:firstLine="480" w:left="0" w:leftChars="0"/>
              <w:rPr>
                <w:color w:val="auto"/>
                <w:sz w:val="24"/>
              </w:rPr>
            </w:pPr>
            <w:r>
              <w:rPr>
                <w:color w:val="auto"/>
                <w:sz w:val="24"/>
                <w:rFonts w:hint="eastAsia"/>
              </w:rPr>
              <w:t>污染物产生量</w:t>
            </w:r>
            <w:r>
              <w:rPr>
                <w:color w:val="auto"/>
                <w:sz w:val="24"/>
              </w:rPr>
              <w:t>参考研究论文《沥青烟产生机理研究》（期刊《石油沥青》第29卷第5期，2015年10月）中数据，沥青烟在沥青加热、搅拌过程中的产生量约为250mg/kg</w:t>
            </w:r>
            <w:r>
              <w:rPr>
                <w:color w:val="auto"/>
                <w:sz w:val="24"/>
                <w:rFonts w:hint="eastAsia"/>
              </w:rPr>
              <w:t>，</w:t>
            </w:r>
            <w:r>
              <w:rPr>
                <w:color w:val="auto"/>
                <w:sz w:val="24"/>
              </w:rPr>
              <w:t>本项目沥青使用量为</w:t>
            </w:r>
            <w:r>
              <w:rPr>
                <w:color w:val="auto"/>
                <w:sz w:val="24"/>
                <w:rFonts w:hint="eastAsia"/>
              </w:rPr>
              <w:t>1</w:t>
            </w:r>
            <w:r>
              <w:rPr>
                <w:color w:val="auto"/>
                <w:sz w:val="24"/>
                <w:lang w:val="en-US" w:eastAsia="zh-CN"/>
                <w:rFonts w:hint="eastAsia"/>
              </w:rPr>
              <w:t>3</w:t>
            </w:r>
            <w:r>
              <w:rPr>
                <w:color w:val="auto"/>
                <w:sz w:val="24"/>
              </w:rPr>
              <w:t>000t/a</w:t>
            </w:r>
            <w:r>
              <w:rPr>
                <w:color w:val="auto"/>
                <w:sz w:val="24"/>
              </w:rPr>
              <w:t>，</w:t>
            </w:r>
            <w:r>
              <w:rPr>
                <w:color w:val="auto"/>
                <w:sz w:val="24"/>
                <w:rFonts w:ascii="宋体" w:hAnsi="宋体" w:cs="宋体" w:hint="eastAsia"/>
              </w:rPr>
              <w:t>则沥青烟产生量为</w:t>
            </w:r>
            <w:r>
              <w:rPr>
                <w:color w:val="auto"/>
                <w:sz w:val="24"/>
                <w:lang w:val="en-US" w:eastAsia="zh-CN"/>
                <w:rFonts w:hint="eastAsia"/>
              </w:rPr>
              <w:t>3.25</w:t>
            </w:r>
            <w:r>
              <w:rPr>
                <w:color w:val="auto"/>
                <w:sz w:val="24"/>
              </w:rPr>
              <w:t>t/a</w:t>
            </w:r>
            <w:r>
              <w:rPr>
                <w:color w:val="auto"/>
                <w:sz w:val="24"/>
                <w:rFonts w:ascii="宋体" w:hAnsi="宋体" w:cs="宋体" w:hint="eastAsia"/>
              </w:rPr>
              <w:t>，根据《工业生产中有害物质手册》（化学工业出版社）中提供数据，沥青烟中苯并</w:t>
            </w:r>
            <w:r>
              <w:rPr>
                <w:color w:val="auto"/>
                <w:sz w:val="24"/>
              </w:rPr>
              <w:t>[a]</w:t>
            </w:r>
            <w:r>
              <w:rPr>
                <w:color w:val="auto"/>
                <w:sz w:val="24"/>
                <w:rFonts w:ascii="宋体" w:hAnsi="宋体" w:cs="宋体" w:hint="eastAsia"/>
              </w:rPr>
              <w:t>芘含量约</w:t>
            </w:r>
            <w:r>
              <w:rPr>
                <w:color w:val="auto"/>
                <w:sz w:val="24"/>
              </w:rPr>
              <w:t>0.01~0.02‰，本次评价取最大值0.02‰，</w:t>
            </w:r>
            <w:r>
              <w:rPr>
                <w:color w:val="auto"/>
                <w:sz w:val="24"/>
                <w:rFonts w:ascii="宋体" w:hAnsi="宋体" w:cs="宋体" w:hint="eastAsia"/>
              </w:rPr>
              <w:t>则苯并</w:t>
            </w:r>
            <w:r>
              <w:rPr>
                <w:color w:val="auto"/>
                <w:sz w:val="24"/>
              </w:rPr>
              <w:t>[a]</w:t>
            </w:r>
            <w:r>
              <w:rPr>
                <w:color w:val="auto"/>
                <w:sz w:val="24"/>
                <w:rFonts w:ascii="宋体" w:hAnsi="宋体" w:cs="宋体" w:hint="eastAsia"/>
              </w:rPr>
              <w:t>芘产生量为</w:t>
            </w:r>
            <w:r>
              <w:rPr>
                <w:color w:val="auto"/>
                <w:sz w:val="24"/>
              </w:rPr>
              <w:t>0.000</w:t>
            </w:r>
            <w:r>
              <w:rPr>
                <w:color w:val="auto"/>
                <w:sz w:val="24"/>
                <w:lang w:val="en-US" w:eastAsia="zh-CN"/>
                <w:rFonts w:hint="eastAsia"/>
              </w:rPr>
              <w:t>6</w:t>
            </w:r>
            <w:r>
              <w:rPr>
                <w:color w:val="auto"/>
                <w:sz w:val="24"/>
                <w:rFonts w:hint="eastAsia"/>
              </w:rPr>
              <w:t>5</w:t>
            </w:r>
            <w:r>
              <w:rPr>
                <w:color w:val="auto"/>
                <w:sz w:val="24"/>
              </w:rPr>
              <w:t>t/a</w:t>
            </w:r>
            <w:r>
              <w:rPr>
                <w:color w:val="auto"/>
                <w:sz w:val="24"/>
                <w:rFonts w:ascii="宋体" w:hAnsi="宋体" w:cs="宋体" w:hint="eastAsia"/>
              </w:rPr>
              <w:t>。</w:t>
            </w:r>
            <w:r>
              <w:rPr>
                <w:color w:val="auto"/>
                <w:sz w:val="24"/>
              </w:rPr>
              <w:t>根据《空气污染物排放和控制手册》，沥青拌合站中挥发性有机废气（以非甲烷总烃计算）产生量按的14g/t（产品）计算，</w:t>
            </w:r>
            <w:r>
              <w:rPr>
                <w:color w:val="auto"/>
                <w:sz w:val="24"/>
                <w:rFonts w:ascii="宋体" w:hAnsi="宋体" w:cs="宋体" w:hint="eastAsia"/>
              </w:rPr>
              <w:t>则</w:t>
            </w:r>
            <w:r>
              <w:rPr>
                <w:color w:val="auto"/>
                <w:sz w:val="24"/>
              </w:rPr>
              <w:t>非甲烷总烃</w:t>
            </w:r>
            <w:r>
              <w:rPr>
                <w:color w:val="auto"/>
                <w:sz w:val="24"/>
                <w:rFonts w:ascii="宋体" w:hAnsi="宋体" w:cs="宋体" w:hint="eastAsia"/>
              </w:rPr>
              <w:t>产生量为</w:t>
            </w:r>
            <w:r>
              <w:rPr>
                <w:color w:val="auto"/>
                <w:sz w:val="24"/>
              </w:rPr>
              <w:t>0.</w:t>
            </w:r>
            <w:r>
              <w:rPr>
                <w:color w:val="auto"/>
                <w:sz w:val="24"/>
                <w:rFonts w:hint="eastAsia"/>
              </w:rPr>
              <w:t>1</w:t>
            </w:r>
            <w:r>
              <w:rPr>
                <w:color w:val="auto"/>
                <w:sz w:val="24"/>
                <w:lang w:val="en-US" w:eastAsia="zh-CN"/>
                <w:rFonts w:hint="eastAsia"/>
              </w:rPr>
              <w:t>82</w:t>
            </w:r>
            <w:r>
              <w:rPr>
                <w:color w:val="auto"/>
                <w:sz w:val="24"/>
              </w:rPr>
              <w:t>t/a</w:t>
            </w:r>
            <w:r>
              <w:rPr>
                <w:color w:val="auto"/>
                <w:sz w:val="24"/>
                <w:rFonts w:ascii="宋体" w:hAnsi="宋体" w:cs="宋体" w:hint="eastAsia"/>
              </w:rPr>
              <w:t>。</w:t>
            </w:r>
          </w:p>
          <w:p w14:paraId="24E45EF2">
            <w:pPr>
              <w:pStyle w:val="26"/>
              <w:spacing w:after="0" w:line="360" w:lineRule="auto"/>
              <w:ind w:firstLine="480" w:left="0" w:leftChars="0"/>
              <w:rPr>
                <w:color w:val="auto"/>
                <w:sz w:val="24"/>
              </w:rPr>
            </w:pPr>
            <w:r>
              <w:rPr>
                <w:color w:val="auto"/>
                <w:sz w:val="24"/>
              </w:rPr>
              <w:t>本项目搅拌器为密闭设备，不排放沥青烟，成品沥青混凝土在卸料时会产生一定量的沥青烟，卸料口设置在拌合楼底部，搅拌机出料口处进行局部封闭，通过负压收集系统集中收集（收集效率</w:t>
            </w:r>
            <w:r>
              <w:rPr>
                <w:color w:val="auto"/>
                <w:sz w:val="24"/>
                <w:rFonts w:hint="eastAsia"/>
              </w:rPr>
              <w:t>可达95</w:t>
            </w:r>
            <w:r>
              <w:rPr>
                <w:color w:val="auto"/>
                <w:sz w:val="24"/>
              </w:rPr>
              <w:t>%，环保设施的最大总风量为</w:t>
            </w:r>
            <w:r>
              <w:rPr>
                <w:color w:val="auto"/>
                <w:sz w:val="24"/>
                <w:rFonts w:hint="eastAsia"/>
              </w:rPr>
              <w:t>4</w:t>
            </w:r>
            <w:r>
              <w:rPr>
                <w:color w:val="auto"/>
                <w:sz w:val="24"/>
              </w:rPr>
              <w:t>0000m</w:t>
            </w:r>
            <w:r>
              <w:rPr>
                <w:vertAlign w:val="superscript"/>
                <w:color w:val="auto"/>
                <w:sz w:val="24"/>
              </w:rPr>
              <w:t>3</w:t>
            </w:r>
            <w:r>
              <w:rPr>
                <w:color w:val="auto"/>
                <w:sz w:val="24"/>
              </w:rPr>
              <w:t>/h），采用集气装置收集后与沥青罐呼吸废气密闭收集后经一套</w:t>
            </w:r>
            <w:r>
              <w:rPr>
                <w:color w:val="auto"/>
                <w:sz w:val="24"/>
                <w:bCs/>
                <w:rFonts w:hint="eastAsia"/>
              </w:rPr>
              <w:t>气浮旋流塔+三维一体化废气处理设备（由电离子+光催化+高碘值碳吸附组成）</w:t>
            </w:r>
            <w:r>
              <w:rPr>
                <w:color w:val="auto"/>
                <w:sz w:val="24"/>
              </w:rPr>
              <w:t>处理，处理效率达</w:t>
            </w:r>
            <w:r>
              <w:rPr>
                <w:color w:val="auto"/>
                <w:sz w:val="24"/>
                <w:rFonts w:hint="eastAsia"/>
              </w:rPr>
              <w:t>95</w:t>
            </w:r>
            <w:r>
              <w:rPr>
                <w:color w:val="auto"/>
                <w:sz w:val="24"/>
              </w:rPr>
              <w:t>%，由一根15m高排气筒（DA00</w:t>
            </w:r>
            <w:r>
              <w:rPr>
                <w:color w:val="auto"/>
                <w:sz w:val="24"/>
                <w:rFonts w:hint="eastAsia"/>
              </w:rPr>
              <w:t>3</w:t>
            </w:r>
            <w:r>
              <w:rPr>
                <w:color w:val="auto"/>
                <w:sz w:val="24"/>
              </w:rPr>
              <w:t>）排放</w:t>
            </w:r>
            <w:r>
              <w:rPr>
                <w:color w:val="auto"/>
                <w:sz w:val="24"/>
                <w:rFonts w:hint="eastAsia"/>
              </w:rPr>
              <w:t>，</w:t>
            </w:r>
            <w:r>
              <w:rPr>
                <w:color w:val="auto"/>
                <w:sz w:val="24"/>
              </w:rPr>
              <w:t>则有组织沥青烟产生量为</w:t>
            </w:r>
            <w:r>
              <w:rPr>
                <w:color w:val="auto"/>
                <w:sz w:val="24"/>
                <w:lang w:val="en-US" w:eastAsia="zh-CN"/>
                <w:rFonts w:hint="eastAsia"/>
              </w:rPr>
              <w:t>3.0875</w:t>
            </w:r>
            <w:r>
              <w:rPr>
                <w:color w:val="auto"/>
                <w:sz w:val="24"/>
              </w:rPr>
              <w:t>t/a，产生速率为</w:t>
            </w:r>
            <w:r>
              <w:rPr>
                <w:color w:val="auto"/>
                <w:sz w:val="24"/>
                <w:lang w:val="en-US" w:eastAsia="zh-CN"/>
                <w:rFonts w:hint="eastAsia"/>
              </w:rPr>
              <w:t>1.286</w:t>
            </w:r>
            <w:r>
              <w:rPr>
                <w:color w:val="auto"/>
                <w:sz w:val="24"/>
              </w:rPr>
              <w:t>kg/h，产生浓度为</w:t>
            </w:r>
            <w:r>
              <w:rPr>
                <w:color w:val="auto"/>
                <w:sz w:val="24"/>
                <w:lang w:val="en-US" w:eastAsia="zh-CN"/>
                <w:rFonts w:hint="eastAsia"/>
              </w:rPr>
              <w:t>3</w:t>
            </w:r>
            <w:r>
              <w:rPr>
                <w:color w:val="auto"/>
                <w:sz w:val="24"/>
                <w:rFonts w:hint="eastAsia"/>
              </w:rPr>
              <w:t>2</w:t>
            </w:r>
            <w:r>
              <w:rPr>
                <w:color w:val="auto"/>
                <w:sz w:val="24"/>
                <w:lang w:val="en-US" w:eastAsia="zh-CN"/>
                <w:rFonts w:hint="eastAsia"/>
              </w:rPr>
              <w:t>.1</w:t>
            </w:r>
            <w:r>
              <w:rPr>
                <w:color w:val="auto"/>
                <w:sz w:val="24"/>
              </w:rPr>
              <w:t>mg/m</w:t>
            </w:r>
            <w:r>
              <w:rPr>
                <w:vertAlign w:val="superscript"/>
                <w:color w:val="auto"/>
                <w:sz w:val="24"/>
              </w:rPr>
              <w:t>3</w:t>
            </w:r>
            <w:r>
              <w:rPr>
                <w:color w:val="auto"/>
                <w:sz w:val="24"/>
                <w:lang w:eastAsia="zh-CN"/>
                <w:rFonts w:hint="eastAsia"/>
              </w:rPr>
              <w:t>；</w:t>
            </w:r>
            <w:r>
              <w:rPr>
                <w:color w:val="auto"/>
                <w:sz w:val="24"/>
                <w:rFonts w:ascii="宋体" w:hAnsi="宋体" w:cs="宋体" w:hint="eastAsia"/>
              </w:rPr>
              <w:t>苯并</w:t>
            </w:r>
            <w:r>
              <w:rPr>
                <w:color w:val="auto"/>
                <w:sz w:val="24"/>
              </w:rPr>
              <w:t>[a]</w:t>
            </w:r>
            <w:r>
              <w:rPr>
                <w:color w:val="auto"/>
                <w:sz w:val="24"/>
                <w:rFonts w:ascii="宋体" w:hAnsi="宋体" w:cs="宋体" w:hint="eastAsia"/>
              </w:rPr>
              <w:t>芘产生量为</w:t>
            </w:r>
            <w:r>
              <w:rPr>
                <w:color w:val="auto"/>
                <w:sz w:val="24"/>
                <w:lang w:val="en-US" w:eastAsia="zh-CN"/>
                <w:rFonts w:hint="eastAsia"/>
              </w:rPr>
              <w:t>6.18</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rFonts w:hint="eastAsia"/>
              </w:rPr>
              <w:t>4</w:t>
            </w:r>
            <w:r>
              <w:rPr>
                <w:color w:val="auto"/>
                <w:sz w:val="24"/>
              </w:rPr>
              <w:t>t/a</w:t>
            </w:r>
            <w:r>
              <w:rPr>
                <w:color w:val="auto"/>
                <w:sz w:val="24"/>
                <w:rFonts w:ascii="宋体" w:hAnsi="宋体" w:cs="宋体" w:hint="eastAsia"/>
              </w:rPr>
              <w:t>，产生速率为</w:t>
            </w:r>
            <w:r>
              <w:rPr>
                <w:color w:val="auto"/>
                <w:sz w:val="24"/>
                <w:lang w:val="en-US" w:eastAsia="zh-CN"/>
                <w:rFonts w:hint="eastAsia"/>
              </w:rPr>
              <w:t>2.57</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rFonts w:hint="eastAsia"/>
              </w:rPr>
              <w:t>4</w:t>
            </w:r>
            <w:r>
              <w:rPr>
                <w:color w:val="auto"/>
                <w:sz w:val="24"/>
              </w:rPr>
              <w:t>kg/h</w:t>
            </w:r>
            <w:r>
              <w:rPr>
                <w:color w:val="auto"/>
                <w:sz w:val="24"/>
                <w:rFonts w:ascii="宋体" w:hAnsi="宋体" w:cs="宋体" w:hint="eastAsia"/>
              </w:rPr>
              <w:t>，产生浓度</w:t>
            </w:r>
            <w:r>
              <w:rPr>
                <w:color w:val="auto"/>
                <w:sz w:val="24"/>
                <w:rFonts w:ascii="宋体" w:hAnsi="宋体" w:cs="宋体" w:hint="eastAsia"/>
              </w:rPr>
              <w:t>为</w:t>
            </w:r>
            <w:r>
              <w:rPr>
                <w:color w:val="auto"/>
                <w:sz w:val="24"/>
                <w:rFonts w:hint="eastAsia"/>
              </w:rPr>
              <w:t>0.00</w:t>
            </w:r>
            <w:r>
              <w:rPr>
                <w:color w:val="auto"/>
                <w:sz w:val="24"/>
                <w:lang w:val="en-US" w:eastAsia="zh-CN"/>
                <w:rFonts w:hint="eastAsia"/>
              </w:rPr>
              <w:t>64</w:t>
            </w:r>
            <w:r>
              <w:rPr>
                <w:color w:val="auto"/>
                <w:sz w:val="24"/>
              </w:rPr>
              <w:t>mg/m</w:t>
            </w:r>
            <w:r>
              <w:rPr>
                <w:vertAlign w:val="superscript"/>
                <w:color w:val="auto"/>
                <w:sz w:val="24"/>
              </w:rPr>
              <w:t>3</w:t>
            </w:r>
            <w:r>
              <w:rPr>
                <w:vertAlign w:val="baseline"/>
                <w:color w:val="auto"/>
                <w:sz w:val="24"/>
                <w:lang w:eastAsia="zh-CN"/>
                <w:rFonts w:hint="eastAsia"/>
              </w:rPr>
              <w:t>；</w:t>
            </w:r>
            <w:r>
              <w:rPr>
                <w:color w:val="auto"/>
                <w:sz w:val="24"/>
              </w:rPr>
              <w:t>非甲烷总烃</w:t>
            </w:r>
            <w:r>
              <w:rPr>
                <w:color w:val="auto"/>
                <w:sz w:val="24"/>
                <w:rFonts w:hint="eastAsia"/>
              </w:rPr>
              <w:t>产生</w:t>
            </w:r>
            <w:r>
              <w:rPr>
                <w:color w:val="auto"/>
                <w:sz w:val="24"/>
              </w:rPr>
              <w:t>量为</w:t>
            </w:r>
            <w:r>
              <w:rPr>
                <w:color w:val="auto"/>
                <w:sz w:val="24"/>
              </w:rPr>
              <w:t>0.</w:t>
            </w:r>
            <w:r>
              <w:rPr>
                <w:color w:val="auto"/>
                <w:sz w:val="24"/>
                <w:rFonts w:hint="eastAsia"/>
              </w:rPr>
              <w:t>1</w:t>
            </w:r>
            <w:r>
              <w:rPr>
                <w:color w:val="auto"/>
                <w:sz w:val="24"/>
                <w:lang w:val="en-US" w:eastAsia="zh-CN"/>
                <w:rFonts w:hint="eastAsia"/>
              </w:rPr>
              <w:t>73</w:t>
            </w:r>
            <w:r>
              <w:rPr>
                <w:color w:val="auto"/>
                <w:sz w:val="24"/>
              </w:rPr>
              <w:t>t/a，则产生速率为</w:t>
            </w:r>
            <w:r>
              <w:rPr>
                <w:color w:val="auto"/>
                <w:sz w:val="24"/>
              </w:rPr>
              <w:t>0.</w:t>
            </w:r>
            <w:r>
              <w:rPr>
                <w:color w:val="auto"/>
                <w:sz w:val="24"/>
                <w:rFonts w:hint="eastAsia"/>
              </w:rPr>
              <w:t>0</w:t>
            </w:r>
            <w:r>
              <w:rPr>
                <w:color w:val="auto"/>
                <w:sz w:val="24"/>
                <w:lang w:val="en-US" w:eastAsia="zh-CN"/>
                <w:rFonts w:hint="eastAsia"/>
              </w:rPr>
              <w:t>72</w:t>
            </w:r>
            <w:r>
              <w:rPr>
                <w:color w:val="auto"/>
                <w:sz w:val="24"/>
              </w:rPr>
              <w:t>kg/h，产生浓度</w:t>
            </w:r>
            <w:r>
              <w:rPr>
                <w:color w:val="auto"/>
                <w:sz w:val="24"/>
                <w:rFonts w:hint="eastAsia"/>
              </w:rPr>
              <w:t>1.</w:t>
            </w:r>
            <w:r>
              <w:rPr>
                <w:color w:val="auto"/>
                <w:sz w:val="24"/>
                <w:lang w:val="en-US" w:eastAsia="zh-CN"/>
                <w:rFonts w:hint="eastAsia"/>
              </w:rPr>
              <w:t>8</w:t>
            </w:r>
            <w:r>
              <w:rPr>
                <w:color w:val="auto"/>
                <w:sz w:val="24"/>
              </w:rPr>
              <w:t>mg/m</w:t>
            </w:r>
            <w:r>
              <w:rPr>
                <w:vertAlign w:val="superscript"/>
                <w:color w:val="auto"/>
                <w:sz w:val="24"/>
              </w:rPr>
              <w:t>3</w:t>
            </w:r>
            <w:r>
              <w:rPr>
                <w:color w:val="auto"/>
                <w:sz w:val="24"/>
              </w:rPr>
              <w:t>。</w:t>
            </w:r>
            <w:r>
              <w:rPr>
                <w:color w:val="auto"/>
                <w:sz w:val="24"/>
                <w:rFonts w:ascii="宋体" w:hAnsi="宋体" w:cs="宋体" w:hint="eastAsia"/>
              </w:rPr>
              <w:t>经处理后，</w:t>
            </w:r>
            <w:r>
              <w:rPr>
                <w:color w:val="auto"/>
                <w:sz w:val="24"/>
              </w:rPr>
              <w:t>有组织沥青烟</w:t>
            </w:r>
            <w:r>
              <w:rPr>
                <w:color w:val="auto"/>
                <w:sz w:val="24"/>
                <w:rFonts w:hint="eastAsia"/>
              </w:rPr>
              <w:t>排放</w:t>
            </w:r>
            <w:r>
              <w:rPr>
                <w:color w:val="auto"/>
                <w:sz w:val="24"/>
              </w:rPr>
              <w:t>量为</w:t>
            </w:r>
            <w:r>
              <w:rPr>
                <w:color w:val="auto"/>
                <w:sz w:val="24"/>
                <w:lang w:val="en-US" w:eastAsia="zh-CN"/>
                <w:rFonts w:hint="eastAsia"/>
              </w:rPr>
              <w:t>0.154</w:t>
            </w:r>
            <w:r>
              <w:rPr>
                <w:color w:val="auto"/>
                <w:sz w:val="24"/>
              </w:rPr>
              <w:t>t/a</w:t>
            </w:r>
            <w:r>
              <w:rPr>
                <w:color w:val="auto"/>
                <w:sz w:val="24"/>
              </w:rPr>
              <w:t>，</w:t>
            </w:r>
            <w:r>
              <w:rPr>
                <w:color w:val="auto"/>
                <w:sz w:val="24"/>
                <w:rFonts w:hint="eastAsia"/>
              </w:rPr>
              <w:t>排放</w:t>
            </w:r>
            <w:r>
              <w:rPr>
                <w:color w:val="auto"/>
                <w:sz w:val="24"/>
              </w:rPr>
              <w:t>速率为</w:t>
            </w:r>
            <w:r>
              <w:rPr>
                <w:color w:val="auto"/>
                <w:sz w:val="24"/>
                <w:rFonts w:hint="eastAsia"/>
              </w:rPr>
              <w:t>0.0</w:t>
            </w:r>
            <w:r>
              <w:rPr>
                <w:color w:val="auto"/>
                <w:sz w:val="24"/>
                <w:lang w:val="en-US" w:eastAsia="zh-CN"/>
                <w:rFonts w:hint="eastAsia"/>
              </w:rPr>
              <w:t>6</w:t>
            </w:r>
            <w:r>
              <w:rPr>
                <w:color w:val="auto"/>
                <w:sz w:val="24"/>
                <w:rFonts w:hint="eastAsia"/>
              </w:rPr>
              <w:t>4</w:t>
            </w:r>
            <w:r>
              <w:rPr>
                <w:color w:val="auto"/>
                <w:sz w:val="24"/>
              </w:rPr>
              <w:t>kg/h，</w:t>
            </w:r>
            <w:r>
              <w:rPr>
                <w:color w:val="auto"/>
                <w:sz w:val="24"/>
                <w:rFonts w:hint="eastAsia"/>
              </w:rPr>
              <w:t>排放</w:t>
            </w:r>
            <w:r>
              <w:rPr>
                <w:color w:val="auto"/>
                <w:sz w:val="24"/>
              </w:rPr>
              <w:t>浓度为</w:t>
            </w:r>
            <w:r>
              <w:rPr>
                <w:color w:val="auto"/>
                <w:sz w:val="24"/>
                <w:rFonts w:hint="eastAsia"/>
              </w:rPr>
              <w:t>1.</w:t>
            </w:r>
            <w:r>
              <w:rPr>
                <w:color w:val="auto"/>
                <w:sz w:val="24"/>
                <w:lang w:val="en-US" w:eastAsia="zh-CN"/>
                <w:rFonts w:hint="eastAsia"/>
              </w:rPr>
              <w:t>6</w:t>
            </w:r>
            <w:r>
              <w:rPr>
                <w:color w:val="auto"/>
                <w:sz w:val="24"/>
              </w:rPr>
              <w:t>mg/m</w:t>
            </w:r>
            <w:r>
              <w:rPr>
                <w:vertAlign w:val="superscript"/>
                <w:color w:val="auto"/>
                <w:sz w:val="24"/>
              </w:rPr>
              <w:t>3</w:t>
            </w:r>
            <w:r>
              <w:rPr>
                <w:color w:val="auto"/>
                <w:sz w:val="24"/>
                <w:rFonts w:hint="eastAsia"/>
              </w:rPr>
              <w:t>，</w:t>
            </w:r>
            <w:r>
              <w:rPr>
                <w:color w:val="auto"/>
                <w:sz w:val="24"/>
                <w:rFonts w:ascii="宋体" w:hAnsi="宋体" w:cs="宋体" w:hint="eastAsia"/>
              </w:rPr>
              <w:t>苯并</w:t>
            </w:r>
            <w:r>
              <w:rPr>
                <w:color w:val="auto"/>
                <w:sz w:val="24"/>
              </w:rPr>
              <w:t>[a]</w:t>
            </w:r>
            <w:r>
              <w:rPr>
                <w:color w:val="auto"/>
                <w:sz w:val="24"/>
                <w:rFonts w:ascii="宋体" w:hAnsi="宋体" w:cs="宋体" w:hint="eastAsia"/>
              </w:rPr>
              <w:t>芘排放量为</w:t>
            </w:r>
            <w:r>
              <w:rPr>
                <w:color w:val="auto"/>
                <w:sz w:val="24"/>
                <w:lang w:val="en-US" w:eastAsia="zh-CN"/>
                <w:rFonts w:hint="eastAsia"/>
              </w:rPr>
              <w:t>3.09</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rFonts w:hint="eastAsia"/>
              </w:rPr>
              <w:t>5</w:t>
            </w:r>
            <w:r>
              <w:rPr>
                <w:color w:val="auto"/>
                <w:sz w:val="24"/>
              </w:rPr>
              <w:t>t/a</w:t>
            </w:r>
            <w:r>
              <w:rPr>
                <w:color w:val="auto"/>
                <w:sz w:val="24"/>
                <w:rFonts w:ascii="宋体" w:hAnsi="宋体" w:cs="宋体" w:hint="eastAsia"/>
              </w:rPr>
              <w:t>，排放速率为</w:t>
            </w:r>
            <w:r>
              <w:rPr>
                <w:color w:val="auto"/>
                <w:sz w:val="24"/>
                <w:lang w:val="en-US" w:eastAsia="zh-CN"/>
                <w:rFonts w:hint="eastAsia"/>
              </w:rPr>
              <w:t>1.28</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lang w:val="en-US" w:eastAsia="zh-CN"/>
                <w:rFonts w:hint="eastAsia"/>
              </w:rPr>
              <w:t>5</w:t>
            </w:r>
            <w:r>
              <w:rPr>
                <w:color w:val="auto"/>
                <w:sz w:val="24"/>
              </w:rPr>
              <w:t>kg/h</w:t>
            </w:r>
            <w:r>
              <w:rPr>
                <w:color w:val="auto"/>
                <w:sz w:val="24"/>
                <w:rFonts w:ascii="宋体" w:hAnsi="宋体" w:cs="宋体" w:hint="eastAsia"/>
              </w:rPr>
              <w:t>，排放浓度为</w:t>
            </w:r>
            <w:r>
              <w:rPr>
                <w:color w:val="auto"/>
                <w:sz w:val="24"/>
                <w:rFonts w:hint="eastAsia"/>
              </w:rPr>
              <w:t>0.000</w:t>
            </w:r>
            <w:r>
              <w:rPr>
                <w:color w:val="auto"/>
                <w:sz w:val="24"/>
                <w:lang w:val="en-US" w:eastAsia="zh-CN"/>
                <w:rFonts w:hint="eastAsia"/>
              </w:rPr>
              <w:t>32</w:t>
            </w:r>
            <w:r>
              <w:rPr>
                <w:color w:val="auto"/>
                <w:sz w:val="24"/>
              </w:rPr>
              <w:t>mg/m</w:t>
            </w:r>
            <w:r>
              <w:rPr>
                <w:vertAlign w:val="superscript"/>
                <w:color w:val="auto"/>
                <w:sz w:val="24"/>
              </w:rPr>
              <w:t>3</w:t>
            </w:r>
            <w:r>
              <w:rPr>
                <w:color w:val="auto"/>
                <w:sz w:val="24"/>
              </w:rPr>
              <w:t>；非甲烷总烃</w:t>
            </w:r>
            <w:r>
              <w:rPr>
                <w:color w:val="auto"/>
                <w:sz w:val="24"/>
                <w:rFonts w:ascii="宋体" w:hAnsi="宋体" w:cs="宋体" w:hint="eastAsia"/>
              </w:rPr>
              <w:t>排放量为</w:t>
            </w:r>
            <w:r>
              <w:rPr>
                <w:color w:val="auto"/>
                <w:sz w:val="24"/>
                <w:rFonts w:hint="eastAsia"/>
              </w:rPr>
              <w:t>0.00</w:t>
            </w:r>
            <w:r>
              <w:rPr>
                <w:color w:val="auto"/>
                <w:sz w:val="24"/>
                <w:lang w:val="en-US" w:eastAsia="zh-CN"/>
                <w:rFonts w:hint="eastAsia"/>
              </w:rPr>
              <w:t>8</w:t>
            </w:r>
            <w:r>
              <w:rPr>
                <w:color w:val="auto"/>
                <w:sz w:val="24"/>
                <w:rFonts w:hint="eastAsia"/>
              </w:rPr>
              <w:t>7</w:t>
            </w:r>
            <w:r>
              <w:rPr>
                <w:color w:val="auto"/>
                <w:sz w:val="24"/>
              </w:rPr>
              <w:t>t/a</w:t>
            </w:r>
            <w:r>
              <w:rPr>
                <w:color w:val="auto"/>
                <w:sz w:val="24"/>
                <w:rFonts w:ascii="宋体" w:hAnsi="宋体" w:cs="宋体" w:hint="eastAsia"/>
              </w:rPr>
              <w:t>，排放速率为</w:t>
            </w:r>
            <w:r>
              <w:rPr>
                <w:color w:val="auto"/>
                <w:sz w:val="24"/>
                <w:rFonts w:hint="eastAsia"/>
              </w:rPr>
              <w:t>0.003</w:t>
            </w:r>
            <w:r>
              <w:rPr>
                <w:color w:val="auto"/>
                <w:sz w:val="24"/>
                <w:lang w:val="en-US" w:eastAsia="zh-CN"/>
                <w:rFonts w:hint="eastAsia"/>
              </w:rPr>
              <w:t>6</w:t>
            </w:r>
            <w:r>
              <w:rPr>
                <w:color w:val="auto"/>
                <w:sz w:val="24"/>
              </w:rPr>
              <w:t>kg/h</w:t>
            </w:r>
            <w:r>
              <w:rPr>
                <w:color w:val="auto"/>
                <w:sz w:val="24"/>
                <w:rFonts w:ascii="宋体" w:hAnsi="宋体" w:cs="宋体" w:hint="eastAsia"/>
              </w:rPr>
              <w:t>，排放浓度为</w:t>
            </w:r>
            <w:r>
              <w:rPr>
                <w:color w:val="auto"/>
                <w:sz w:val="24"/>
                <w:rFonts w:hint="eastAsia"/>
              </w:rPr>
              <w:t>0.0</w:t>
            </w:r>
            <w:r>
              <w:rPr>
                <w:color w:val="auto"/>
                <w:sz w:val="24"/>
                <w:lang w:val="en-US" w:eastAsia="zh-CN"/>
                <w:rFonts w:hint="eastAsia"/>
              </w:rPr>
              <w:t>9</w:t>
            </w:r>
            <w:r>
              <w:rPr>
                <w:color w:val="auto"/>
                <w:sz w:val="24"/>
              </w:rPr>
              <w:t>mg/m</w:t>
            </w:r>
            <w:r>
              <w:rPr>
                <w:vertAlign w:val="superscript"/>
                <w:color w:val="auto"/>
                <w:sz w:val="24"/>
              </w:rPr>
              <w:t>3</w:t>
            </w:r>
            <w:r>
              <w:rPr>
                <w:color w:val="auto"/>
                <w:sz w:val="24"/>
                <w:rFonts w:ascii="宋体" w:hAnsi="宋体" w:cs="宋体" w:hint="eastAsia"/>
              </w:rPr>
              <w:t>。</w:t>
            </w:r>
          </w:p>
          <w:p w14:paraId="2586C3A9">
            <w:pPr>
              <w:pStyle w:val="26"/>
              <w:spacing w:line="360" w:lineRule="auto"/>
              <w:ind w:firstLine="480" w:left="0" w:leftChars="0"/>
              <w:rPr>
                <w:color w:val="auto"/>
                <w:sz w:val="24"/>
              </w:rPr>
            </w:pPr>
            <w:r>
              <w:rPr>
                <w:color w:val="auto"/>
                <w:sz w:val="24"/>
                <w:rFonts w:ascii="宋体" w:hAnsi="宋体" w:cs="宋体" w:hint="eastAsia"/>
              </w:rPr>
              <w:t>无组织沥青烟排放量为</w:t>
            </w:r>
            <w:r>
              <w:rPr>
                <w:color w:val="auto"/>
                <w:sz w:val="24"/>
              </w:rPr>
              <w:t>0.</w:t>
            </w:r>
            <w:r>
              <w:rPr>
                <w:color w:val="auto"/>
                <w:sz w:val="24"/>
                <w:rFonts w:hint="eastAsia"/>
              </w:rPr>
              <w:t>1</w:t>
            </w:r>
            <w:r>
              <w:rPr>
                <w:color w:val="auto"/>
                <w:sz w:val="24"/>
                <w:lang w:val="en-US" w:eastAsia="zh-CN"/>
                <w:rFonts w:hint="eastAsia"/>
              </w:rPr>
              <w:t>6</w:t>
            </w:r>
            <w:r>
              <w:rPr>
                <w:color w:val="auto"/>
                <w:sz w:val="24"/>
                <w:rFonts w:hint="eastAsia"/>
              </w:rPr>
              <w:t>25</w:t>
            </w:r>
            <w:r>
              <w:rPr>
                <w:color w:val="auto"/>
                <w:sz w:val="24"/>
              </w:rPr>
              <w:t>t/a</w:t>
            </w:r>
            <w:r>
              <w:rPr>
                <w:color w:val="auto"/>
                <w:sz w:val="24"/>
                <w:rFonts w:hint="eastAsia"/>
              </w:rPr>
              <w:t>，</w:t>
            </w:r>
            <w:r>
              <w:rPr>
                <w:color w:val="auto"/>
                <w:sz w:val="24"/>
                <w:rFonts w:ascii="宋体" w:hAnsi="宋体" w:cs="宋体" w:hint="eastAsia"/>
              </w:rPr>
              <w:t>排放速率为</w:t>
            </w:r>
            <w:r>
              <w:rPr>
                <w:color w:val="auto"/>
                <w:sz w:val="24"/>
              </w:rPr>
              <w:t>0.0</w:t>
            </w:r>
            <w:r>
              <w:rPr>
                <w:color w:val="auto"/>
                <w:sz w:val="24"/>
                <w:lang w:val="en-US" w:eastAsia="zh-CN"/>
                <w:rFonts w:hint="eastAsia"/>
              </w:rPr>
              <w:t>68</w:t>
            </w:r>
            <w:r>
              <w:rPr>
                <w:color w:val="auto"/>
                <w:sz w:val="24"/>
              </w:rPr>
              <w:t>kg/h</w:t>
            </w:r>
            <w:r>
              <w:rPr>
                <w:color w:val="auto"/>
                <w:sz w:val="24"/>
                <w:rFonts w:hint="eastAsia"/>
              </w:rPr>
              <w:t>，</w:t>
            </w:r>
            <w:r>
              <w:rPr>
                <w:color w:val="auto"/>
                <w:sz w:val="24"/>
                <w:rFonts w:ascii="宋体" w:hAnsi="宋体" w:cs="宋体" w:hint="eastAsia"/>
              </w:rPr>
              <w:t>苯并</w:t>
            </w:r>
            <w:r>
              <w:rPr>
                <w:color w:val="auto"/>
                <w:sz w:val="24"/>
              </w:rPr>
              <w:t>[a]</w:t>
            </w:r>
            <w:r>
              <w:rPr>
                <w:color w:val="auto"/>
                <w:sz w:val="24"/>
                <w:rFonts w:ascii="宋体" w:hAnsi="宋体" w:cs="宋体" w:hint="eastAsia"/>
              </w:rPr>
              <w:t>芘排放量为</w:t>
            </w:r>
            <w:r>
              <w:rPr>
                <w:color w:val="auto"/>
                <w:sz w:val="24"/>
                <w:lang w:val="en-US" w:eastAsia="zh-CN"/>
                <w:rFonts w:hint="eastAsia"/>
              </w:rPr>
              <w:t>3</w:t>
            </w:r>
            <w:r>
              <w:rPr>
                <w:color w:val="auto"/>
                <w:sz w:val="24"/>
                <w:rFonts w:hint="eastAsia"/>
              </w:rPr>
              <w:t>.25</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rFonts w:hint="eastAsia"/>
              </w:rPr>
              <w:t>5</w:t>
            </w:r>
            <w:r>
              <w:rPr>
                <w:color w:val="auto"/>
                <w:sz w:val="24"/>
              </w:rPr>
              <w:t>t/a</w:t>
            </w:r>
            <w:r>
              <w:rPr>
                <w:color w:val="auto"/>
                <w:sz w:val="24"/>
                <w:rFonts w:ascii="宋体" w:hAnsi="宋体" w:cs="宋体" w:hint="eastAsia"/>
              </w:rPr>
              <w:t>，排放速率为</w:t>
            </w:r>
            <w:r>
              <w:rPr>
                <w:color w:val="auto"/>
                <w:sz w:val="24"/>
                <w:lang w:val="en-US" w:eastAsia="zh-CN"/>
                <w:rFonts w:hint="eastAsia"/>
              </w:rPr>
              <w:t>1.35</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lang w:val="en-US" w:eastAsia="zh-CN"/>
                <w:rFonts w:hint="eastAsia"/>
              </w:rPr>
              <w:t>5</w:t>
            </w:r>
            <w:r>
              <w:rPr>
                <w:color w:val="auto"/>
                <w:sz w:val="24"/>
              </w:rPr>
              <w:t>kg/h；非甲烷总烃</w:t>
            </w:r>
            <w:r>
              <w:rPr>
                <w:color w:val="auto"/>
                <w:sz w:val="24"/>
                <w:rFonts w:ascii="宋体" w:hAnsi="宋体" w:cs="宋体" w:hint="eastAsia"/>
              </w:rPr>
              <w:t>排放量为</w:t>
            </w:r>
            <w:r>
              <w:rPr>
                <w:color w:val="auto"/>
                <w:sz w:val="24"/>
                <w:rFonts w:hint="eastAsia"/>
              </w:rPr>
              <w:t>0.00</w:t>
            </w:r>
            <w:r>
              <w:rPr>
                <w:color w:val="auto"/>
                <w:sz w:val="24"/>
                <w:lang w:val="en-US" w:eastAsia="zh-CN"/>
                <w:rFonts w:hint="eastAsia"/>
              </w:rPr>
              <w:t>9</w:t>
            </w:r>
            <w:r>
              <w:rPr>
                <w:color w:val="auto"/>
                <w:sz w:val="24"/>
              </w:rPr>
              <w:t>t/a</w:t>
            </w:r>
            <w:r>
              <w:rPr>
                <w:color w:val="auto"/>
                <w:sz w:val="24"/>
                <w:rFonts w:ascii="宋体" w:hAnsi="宋体" w:cs="宋体" w:hint="eastAsia"/>
              </w:rPr>
              <w:t>，排放速率为</w:t>
            </w:r>
            <w:r>
              <w:rPr>
                <w:color w:val="auto"/>
                <w:sz w:val="24"/>
                <w:rFonts w:hint="eastAsia"/>
              </w:rPr>
              <w:t>0.00</w:t>
            </w:r>
            <w:r>
              <w:rPr>
                <w:color w:val="auto"/>
                <w:sz w:val="24"/>
                <w:lang w:val="en-US" w:eastAsia="zh-CN"/>
                <w:rFonts w:hint="eastAsia"/>
              </w:rPr>
              <w:t>38</w:t>
            </w:r>
            <w:r>
              <w:rPr>
                <w:color w:val="auto"/>
                <w:sz w:val="24"/>
              </w:rPr>
              <w:t>kg/h</w:t>
            </w:r>
            <w:r>
              <w:rPr>
                <w:color w:val="auto"/>
                <w:sz w:val="24"/>
                <w:rFonts w:hint="eastAsia"/>
              </w:rPr>
              <w:t>。</w:t>
            </w:r>
          </w:p>
          <w:p w14:paraId="42A20923">
            <w:pPr>
              <w:contextualSpacing/>
              <w:spacing w:line="360" w:lineRule="auto"/>
              <w:ind w:firstLine="480" w:firstLineChars="200"/>
              <w:rPr>
                <w:color w:val="auto"/>
                <w:sz w:val="24"/>
              </w:rPr>
            </w:pPr>
            <w:r>
              <w:rPr>
                <w:color w:val="auto"/>
                <w:sz w:val="24"/>
                <w:rFonts w:hint="eastAsia"/>
              </w:rPr>
              <w:t>（5）</w:t>
            </w:r>
            <w:r>
              <w:rPr>
                <w:color w:val="auto"/>
                <w:sz w:val="24"/>
                <w:rFonts w:hAnsi="宋体"/>
              </w:rPr>
              <w:t>矿粉筒仓</w:t>
            </w:r>
            <w:r>
              <w:rPr>
                <w:color w:val="auto"/>
                <w:sz w:val="24"/>
                <w:rFonts w:hAnsi="宋体" w:hint="eastAsia"/>
              </w:rPr>
              <w:t>装卸</w:t>
            </w:r>
            <w:r>
              <w:rPr>
                <w:color w:val="auto"/>
                <w:sz w:val="24"/>
                <w:rFonts w:hAnsi="宋体"/>
              </w:rPr>
              <w:t>粉尘</w:t>
            </w:r>
            <w:r>
              <w:rPr>
                <w:color w:val="auto"/>
                <w:sz w:val="24"/>
                <w:rFonts w:hAnsi="宋体" w:hint="eastAsia"/>
              </w:rPr>
              <w:t xml:space="preserve">                                                                                                                                                                                                                                                                                                                                                                          </w:t>
            </w:r>
          </w:p>
          <w:p w14:paraId="7A40BB8D">
            <w:pPr>
              <w:contextualSpacing/>
              <w:spacing w:line="360" w:lineRule="auto"/>
              <w:ind w:firstLine="480" w:firstLineChars="200"/>
              <w:rPr>
                <w:color w:val="auto"/>
                <w:sz w:val="24"/>
              </w:rPr>
            </w:pPr>
            <w:r>
              <w:rPr>
                <w:color w:val="auto"/>
                <w:sz w:val="24"/>
                <w:rFonts w:hAnsi="宋体"/>
              </w:rPr>
              <w:t>本项目原料</w:t>
            </w:r>
            <w:r>
              <w:rPr>
                <w:color w:val="auto"/>
                <w:sz w:val="24"/>
                <w:rFonts w:hAnsi="宋体" w:hint="eastAsia"/>
              </w:rPr>
              <w:t>矿粉采</w:t>
            </w:r>
            <w:r>
              <w:rPr>
                <w:color w:val="auto"/>
                <w:sz w:val="24"/>
                <w:rFonts w:hAnsi="宋体"/>
              </w:rPr>
              <w:t>用密封的专用运输车运至厂内进行筒仓进行储存，利用罐车自带的空压设备泵入相应的存储筒仓，储存仓排放口会产生粉尘，参照《美国环保局</w:t>
            </w:r>
            <w:r>
              <w:rPr>
                <w:color w:val="auto"/>
                <w:sz w:val="24"/>
              </w:rPr>
              <w:t>—</w:t>
            </w:r>
            <w:r>
              <w:rPr>
                <w:color w:val="auto"/>
                <w:sz w:val="24"/>
                <w:rFonts w:hAnsi="宋体"/>
              </w:rPr>
              <w:t>空气污染物排放和控制手册》中混凝土配料产尘系数，水泥卸至高架储仓时产尘系数为产生粉尘</w:t>
            </w:r>
            <w:r>
              <w:rPr>
                <w:color w:val="auto"/>
                <w:sz w:val="24"/>
              </w:rPr>
              <w:t>0.12kg/t</w:t>
            </w:r>
            <w:r>
              <w:rPr>
                <w:color w:val="auto"/>
                <w:sz w:val="24"/>
                <w:rFonts w:hAnsi="宋体"/>
              </w:rPr>
              <w:t>，矿粉参照水泥系数。</w:t>
            </w:r>
          </w:p>
          <w:p w14:paraId="70EFD7D4">
            <w:pPr>
              <w:jc w:val="left"/>
              <w:contextualSpacing/>
              <w:spacing w:line="360" w:lineRule="auto"/>
              <w:ind w:firstLine="480" w:firstLineChars="200"/>
              <w:rPr>
                <w:color w:val="auto"/>
                <w:sz w:val="24"/>
              </w:rPr>
            </w:pPr>
            <w:r>
              <w:rPr>
                <w:color w:val="auto"/>
                <w:sz w:val="24"/>
                <w:rFonts w:hAnsi="宋体"/>
              </w:rPr>
              <w:t>本项目矿粉消耗量为</w:t>
            </w:r>
            <w:r>
              <w:rPr>
                <w:color w:val="auto"/>
                <w:sz w:val="24"/>
                <w:rFonts w:hint="eastAsia"/>
              </w:rPr>
              <w:t>1</w:t>
            </w:r>
            <w:r>
              <w:rPr>
                <w:color w:val="auto"/>
                <w:sz w:val="24"/>
                <w:lang w:val="en-US" w:eastAsia="zh-CN"/>
                <w:rFonts w:hint="eastAsia"/>
              </w:rPr>
              <w:t>5</w:t>
            </w:r>
            <w:r>
              <w:rPr>
                <w:color w:val="auto"/>
                <w:sz w:val="24"/>
                <w:rFonts w:hint="eastAsia"/>
              </w:rPr>
              <w:t>0</w:t>
            </w:r>
            <w:r>
              <w:rPr>
                <w:color w:val="auto"/>
                <w:sz w:val="24"/>
              </w:rPr>
              <w:t>00t/a</w:t>
            </w:r>
            <w:r>
              <w:rPr>
                <w:color w:val="auto"/>
                <w:sz w:val="24"/>
                <w:rFonts w:hAnsi="宋体"/>
              </w:rPr>
              <w:t>，装卸时间为</w:t>
            </w:r>
            <w:r>
              <w:rPr>
                <w:color w:val="auto"/>
                <w:sz w:val="24"/>
                <w:rFonts w:hAnsi="宋体" w:hint="eastAsia"/>
              </w:rPr>
              <w:t>600h/a，</w:t>
            </w:r>
            <w:r>
              <w:rPr>
                <w:color w:val="auto"/>
                <w:sz w:val="24"/>
                <w:rFonts w:hAnsi="宋体"/>
              </w:rPr>
              <w:t>存储在</w:t>
            </w:r>
            <w:r>
              <w:rPr>
                <w:color w:val="auto"/>
                <w:sz w:val="24"/>
              </w:rPr>
              <w:t>1</w:t>
            </w:r>
            <w:r>
              <w:rPr>
                <w:color w:val="auto"/>
                <w:sz w:val="24"/>
                <w:rFonts w:hAnsi="宋体"/>
              </w:rPr>
              <w:t>座矿粉筒仓，经计算：矿粉筒仓</w:t>
            </w:r>
            <w:r>
              <w:rPr>
                <w:color w:val="auto"/>
                <w:sz w:val="24"/>
                <w:rFonts w:hAnsi="宋体" w:hint="eastAsia"/>
              </w:rPr>
              <w:t>装卸</w:t>
            </w:r>
            <w:r>
              <w:rPr>
                <w:color w:val="auto"/>
                <w:sz w:val="24"/>
                <w:rFonts w:hAnsi="宋体"/>
              </w:rPr>
              <w:t>粉尘产生量为</w:t>
            </w:r>
            <w:r>
              <w:rPr>
                <w:color w:val="auto"/>
                <w:sz w:val="24"/>
                <w:rFonts w:hint="eastAsia"/>
              </w:rPr>
              <w:t>1.</w:t>
            </w:r>
            <w:r>
              <w:rPr>
                <w:color w:val="auto"/>
                <w:sz w:val="24"/>
                <w:lang w:val="en-US" w:eastAsia="zh-CN"/>
                <w:rFonts w:hint="eastAsia"/>
              </w:rPr>
              <w:t>8</w:t>
            </w:r>
            <w:r>
              <w:rPr>
                <w:color w:val="auto"/>
                <w:sz w:val="24"/>
              </w:rPr>
              <w:t>t/a</w:t>
            </w:r>
            <w:r>
              <w:rPr>
                <w:color w:val="auto"/>
                <w:sz w:val="24"/>
                <w:rFonts w:hAnsi="宋体"/>
              </w:rPr>
              <w:t>，产生速率为</w:t>
            </w:r>
            <w:r>
              <w:rPr>
                <w:color w:val="auto"/>
                <w:sz w:val="24"/>
                <w:lang w:val="en-US" w:eastAsia="zh-CN"/>
                <w:rFonts w:hint="eastAsia"/>
              </w:rPr>
              <w:t>3</w:t>
            </w:r>
            <w:r>
              <w:rPr>
                <w:color w:val="auto"/>
                <w:sz w:val="24"/>
              </w:rPr>
              <w:t>kg/h</w:t>
            </w:r>
            <w:r>
              <w:rPr>
                <w:color w:val="auto"/>
                <w:sz w:val="24"/>
                <w:rFonts w:hAnsi="宋体"/>
              </w:rPr>
              <w:t>，本项目</w:t>
            </w:r>
            <w:r>
              <w:rPr>
                <w:color w:val="auto"/>
                <w:sz w:val="24"/>
                <w:bCs/>
              </w:rPr>
              <w:t>矿粉筒顶部通过集气管道连接至除尘系统（重力</w:t>
            </w:r>
            <w:r>
              <w:rPr>
                <w:color w:val="auto"/>
                <w:sz w:val="24"/>
                <w:bCs/>
                <w:rFonts w:hint="eastAsia"/>
              </w:rPr>
              <w:t>+布袋</w:t>
            </w:r>
            <w:r>
              <w:rPr>
                <w:color w:val="auto"/>
                <w:sz w:val="24"/>
                <w:bCs/>
              </w:rPr>
              <w:t>），处理后经除尘系统烟囱（</w:t>
            </w:r>
            <w:r>
              <w:rPr>
                <w:color w:val="auto"/>
                <w:sz w:val="24"/>
                <w:bCs/>
                <w:rFonts w:hint="eastAsia"/>
              </w:rPr>
              <w:t>DA001</w:t>
            </w:r>
            <w:r>
              <w:rPr>
                <w:color w:val="auto"/>
                <w:sz w:val="24"/>
                <w:bCs/>
              </w:rPr>
              <w:t>）排放，</w:t>
            </w:r>
            <w:r>
              <w:rPr>
                <w:color w:val="auto"/>
                <w:sz w:val="24"/>
              </w:rPr>
              <w:t>除尘效率为99%</w:t>
            </w:r>
            <w:r>
              <w:rPr>
                <w:color w:val="auto"/>
                <w:sz w:val="24"/>
                <w:rFonts w:hAnsi="宋体"/>
              </w:rPr>
              <w:t>，</w:t>
            </w:r>
            <w:r>
              <w:rPr>
                <w:color w:val="auto"/>
                <w:sz w:val="24"/>
                <w:bCs/>
                <w:rFonts w:hAnsi="宋体"/>
              </w:rPr>
              <w:t>处理后粉尘排放量为</w:t>
            </w:r>
            <w:r>
              <w:rPr>
                <w:color w:val="auto"/>
                <w:sz w:val="24"/>
              </w:rPr>
              <w:t>0.0</w:t>
            </w:r>
            <w:r>
              <w:rPr>
                <w:color w:val="auto"/>
                <w:sz w:val="24"/>
                <w:rFonts w:hint="eastAsia"/>
              </w:rPr>
              <w:t>1</w:t>
            </w:r>
            <w:r>
              <w:rPr>
                <w:color w:val="auto"/>
                <w:sz w:val="24"/>
                <w:lang w:val="en-US" w:eastAsia="zh-CN"/>
                <w:rFonts w:hint="eastAsia"/>
              </w:rPr>
              <w:t>8</w:t>
            </w:r>
            <w:r>
              <w:rPr>
                <w:color w:val="auto"/>
                <w:sz w:val="24"/>
              </w:rPr>
              <w:t>t/a</w:t>
            </w:r>
            <w:r>
              <w:rPr>
                <w:color w:val="auto"/>
                <w:sz w:val="24"/>
                <w:rFonts w:hAnsi="宋体"/>
              </w:rPr>
              <w:t>，排放速率为</w:t>
            </w:r>
            <w:r>
              <w:rPr>
                <w:color w:val="auto"/>
                <w:sz w:val="24"/>
                <w:bCs/>
              </w:rPr>
              <w:t>0.</w:t>
            </w:r>
            <w:r>
              <w:rPr>
                <w:color w:val="auto"/>
                <w:sz w:val="24"/>
                <w:bCs/>
                <w:rFonts w:hint="eastAsia"/>
              </w:rPr>
              <w:t>0</w:t>
            </w:r>
            <w:r>
              <w:rPr>
                <w:color w:val="auto"/>
                <w:sz w:val="24"/>
                <w:lang w:val="en-US" w:eastAsia="zh-CN"/>
                <w:bCs/>
                <w:rFonts w:hint="eastAsia"/>
              </w:rPr>
              <w:t>3</w:t>
            </w:r>
            <w:r>
              <w:rPr>
                <w:color w:val="auto"/>
                <w:sz w:val="24"/>
              </w:rPr>
              <w:t>kg/h</w:t>
            </w:r>
            <w:r>
              <w:rPr>
                <w:color w:val="auto"/>
                <w:sz w:val="24"/>
                <w:bCs/>
                <w:rFonts w:hAnsi="宋体"/>
              </w:rPr>
              <w:t>。</w:t>
            </w:r>
          </w:p>
          <w:p w14:paraId="2F4DFC31">
            <w:pPr>
              <w:pStyle w:val="65"/>
              <w:outlineLvl w:val="2"/>
              <w:ind w:firstLine="0" w:firstLineChars="0"/>
              <w:rPr>
                <w:color w:val="auto"/>
                <w:kern w:val="0"/>
              </w:rPr>
            </w:pPr>
            <w:r>
              <w:rPr>
                <w:color w:val="auto"/>
                <w:kern w:val="0"/>
              </w:rPr>
              <w:t>2.7.2无组织废气</w:t>
            </w:r>
          </w:p>
          <w:p w14:paraId="5A294B81">
            <w:pPr>
              <w:spacing w:line="360" w:lineRule="auto"/>
              <w:ind w:firstLine="480" w:firstLineChars="200"/>
              <w:rPr>
                <w:color w:val="auto"/>
                <w:sz w:val="24"/>
              </w:rPr>
            </w:pPr>
            <w:r>
              <w:rPr>
                <w:color w:val="auto"/>
                <w:sz w:val="24"/>
                <w:rFonts w:hAnsi="宋体" w:hint="eastAsia"/>
              </w:rPr>
              <w:t>（1）</w:t>
            </w:r>
            <w:r>
              <w:rPr>
                <w:color w:val="auto"/>
                <w:sz w:val="24"/>
              </w:rPr>
              <w:t>铲装集堆粉尘</w:t>
            </w:r>
          </w:p>
          <w:p w14:paraId="7390CBAE">
            <w:pPr>
              <w:spacing w:line="360" w:lineRule="auto"/>
              <w:ind w:firstLine="480" w:firstLineChars="200"/>
              <w:rPr>
                <w:color w:val="auto"/>
                <w:sz w:val="24"/>
              </w:rPr>
            </w:pPr>
            <w:r>
              <w:rPr>
                <w:color w:val="auto"/>
                <w:sz w:val="24"/>
              </w:rPr>
              <w:t>铲装集堆粉尘产生情况采用交通水运研究所武汉水运工程学院提出的装车粉尘经验公式估算，经验公式为：</w:t>
            </w:r>
          </w:p>
          <w:p w14:paraId="787C3AEE">
            <w:pPr>
              <w:jc w:val="center"/>
              <w:rPr>
                <w:color w:val="auto"/>
              </w:rPr>
            </w:pPr>
            <w:r>
              <w:rPr>
                <w:color w:val="auto"/>
              </w:rPr>
              <w:drawing>
                <wp:inline distT="0" distB="0" distL="0" distR="0">
                  <wp:extent cx="2446020" cy="439420"/>
                  <wp:effectExtent l="0" t="0" r="11430" b="1778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a:srcRect/>
                          <a:stretch>
                            <a:fillRect/>
                          </a:stretch>
                        </pic:blipFill>
                        <pic:spPr>
                          <a:xfrm>
                            <a:off x="0" y="0"/>
                            <a:ext cx="2446020" cy="439420"/>
                          </a:xfrm>
                          <a:prstGeom prst="rect">
                            <a:avLst/>
                          </a:prstGeom>
                          <a:noFill/>
                          <a:ln w="9525">
                            <a:noFill/>
                            <a:miter lim="800000"/>
                          </a:ln>
                        </pic:spPr>
                      </pic:pic>
                    </a:graphicData>
                  </a:graphic>
                </wp:inline>
              </w:drawing>
            </w:r>
          </w:p>
          <w:p w14:paraId="26F8E7BB">
            <w:pPr>
              <w:spacing w:line="360" w:lineRule="auto"/>
              <w:ind w:firstLine="480" w:firstLineChars="200"/>
              <w:rPr>
                <w:color w:val="auto"/>
                <w:sz w:val="24"/>
              </w:rPr>
            </w:pPr>
            <w:r>
              <w:rPr>
                <w:color w:val="auto"/>
                <w:sz w:val="24"/>
              </w:rPr>
              <w:t>式中：Q——物料装车时机械落差起尘量，kg/s；</w:t>
            </w:r>
          </w:p>
          <w:p w14:paraId="36B56CBF">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H——物料落差，m；装载车与自卸车车厢间距，取0.5m；</w:t>
            </w:r>
          </w:p>
          <w:p w14:paraId="10CA3DEE">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μ——平均风速，m/s；根据</w:t>
            </w:r>
            <w:r>
              <w:rPr>
                <w:color w:val="auto"/>
                <w:sz w:val="24"/>
                <w:lang w:val="en-US" w:eastAsia="zh-CN"/>
                <w:rFonts w:hint="eastAsia"/>
              </w:rPr>
              <w:t>伊春</w:t>
            </w:r>
            <w:r>
              <w:rPr>
                <w:color w:val="auto"/>
                <w:sz w:val="24"/>
              </w:rPr>
              <w:t>市30年气象资料，取年平均风速，2.7m/s；</w:t>
            </w:r>
          </w:p>
          <w:p w14:paraId="1668EE62">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ω——物料含水率，%；取8%；</w:t>
            </w:r>
          </w:p>
          <w:p w14:paraId="36C4332B">
            <w:pPr>
              <w:spacing w:line="360" w:lineRule="auto"/>
              <w:rPr>
                <w:color w:val="auto"/>
                <w:sz w:val="24"/>
              </w:rPr>
            </w:pPr>
            <w:r>
              <w:rPr>
                <w:color w:val="auto"/>
                <w:sz w:val="24"/>
              </w:rPr>
              <w:t xml:space="preserve">    </w:t>
            </w:r>
            <w:r>
              <w:rPr>
                <w:color w:val="auto"/>
                <w:sz w:val="24"/>
                <w:rFonts w:hint="eastAsia"/>
              </w:rPr>
              <w:t xml:space="preserve">    </w:t>
            </w:r>
            <w:r>
              <w:rPr>
                <w:color w:val="auto"/>
                <w:sz w:val="24"/>
              </w:rPr>
              <w:t xml:space="preserve">  t——物料装车所需时间，t/s；装载车每铲容量为5t，每铲物料下落时间为</w:t>
            </w:r>
            <w:r>
              <w:rPr>
                <w:color w:val="auto"/>
                <w:sz w:val="24"/>
                <w:rFonts w:hint="eastAsia"/>
              </w:rPr>
              <w:t>1</w:t>
            </w:r>
            <w:r>
              <w:rPr>
                <w:color w:val="auto"/>
                <w:sz w:val="24"/>
              </w:rPr>
              <w:t>s，则物料装车所需时间为</w:t>
            </w:r>
            <w:r>
              <w:rPr>
                <w:color w:val="auto"/>
                <w:sz w:val="24"/>
                <w:rFonts w:hint="eastAsia"/>
              </w:rPr>
              <w:t>5</w:t>
            </w:r>
            <w:r>
              <w:rPr>
                <w:color w:val="auto"/>
                <w:sz w:val="24"/>
              </w:rPr>
              <w:t>t/s。</w:t>
            </w:r>
          </w:p>
          <w:p w14:paraId="6DC37EFD">
            <w:pPr>
              <w:pStyle w:val="135"/>
              <w:ind w:firstLine="480"/>
              <w:rPr>
                <w:color w:val="auto"/>
                <w:sz w:val="24"/>
              </w:rPr>
            </w:pPr>
            <w:r>
              <w:rPr>
                <w:color w:val="auto"/>
                <w:sz w:val="24"/>
              </w:rPr>
              <w:t>经计算铲装集堆起尘量为0.02kg/s，项目每天装</w:t>
            </w:r>
            <w:r>
              <w:rPr>
                <w:color w:val="auto"/>
                <w:sz w:val="24"/>
              </w:rPr>
              <w:t>运</w:t>
            </w:r>
            <w:r>
              <w:rPr>
                <w:color w:val="auto"/>
                <w:sz w:val="24"/>
                <w:lang w:val="en-US" w:eastAsia="zh-CN"/>
                <w:rFonts w:hint="eastAsia"/>
              </w:rPr>
              <w:t>1270.8</w:t>
            </w:r>
            <w:r>
              <w:rPr>
                <w:color w:val="auto"/>
                <w:sz w:val="24"/>
              </w:rPr>
              <w:t>t物料，相当于物料下落总时间为每天</w:t>
            </w:r>
            <w:r>
              <w:rPr>
                <w:color w:val="auto"/>
                <w:sz w:val="24"/>
                <w:lang w:val="en-US" w:eastAsia="zh-CN"/>
                <w:rFonts w:hint="eastAsia"/>
              </w:rPr>
              <w:t>254.2</w:t>
            </w:r>
            <w:r>
              <w:rPr>
                <w:color w:val="auto"/>
                <w:sz w:val="24"/>
              </w:rPr>
              <w:t>s，全年工作</w:t>
            </w:r>
            <w:r>
              <w:rPr>
                <w:color w:val="auto"/>
                <w:sz w:val="24"/>
                <w:rFonts w:hint="eastAsia"/>
              </w:rPr>
              <w:t>2</w:t>
            </w:r>
            <w:r>
              <w:rPr>
                <w:color w:val="auto"/>
                <w:sz w:val="24"/>
                <w:lang w:val="en-US" w:eastAsia="zh-CN"/>
                <w:rFonts w:hint="eastAsia"/>
              </w:rPr>
              <w:t>4</w:t>
            </w:r>
            <w:r>
              <w:rPr>
                <w:color w:val="auto"/>
                <w:sz w:val="24"/>
                <w:rFonts w:hint="eastAsia"/>
              </w:rPr>
              <w:t>0</w:t>
            </w:r>
            <w:r>
              <w:rPr>
                <w:color w:val="auto"/>
                <w:sz w:val="24"/>
              </w:rPr>
              <w:t>天</w:t>
            </w:r>
            <w:r>
              <w:rPr>
                <w:color w:val="auto"/>
                <w:sz w:val="24"/>
              </w:rPr>
              <w:t>，经计算得出厂区铲装每年产生粉尘量为</w:t>
            </w:r>
            <w:r>
              <w:rPr>
                <w:color w:val="auto"/>
                <w:sz w:val="24"/>
                <w:lang w:val="en-US" w:eastAsia="zh-CN"/>
                <w:rFonts w:hint="eastAsia"/>
              </w:rPr>
              <w:t>1.22</w:t>
            </w:r>
            <w:r>
              <w:rPr>
                <w:color w:val="auto"/>
                <w:sz w:val="24"/>
              </w:rPr>
              <w:t>t/a</w:t>
            </w:r>
            <w:r>
              <w:rPr>
                <w:color w:val="auto"/>
                <w:sz w:val="24"/>
              </w:rPr>
              <w:t>，通过临时水管洒水抑尘的方式可使粉尘排放量降低74%，则装卸排放的粉尘量为</w:t>
            </w:r>
            <w:r>
              <w:rPr>
                <w:color w:val="auto"/>
                <w:sz w:val="24"/>
                <w:rFonts w:hint="eastAsia"/>
              </w:rPr>
              <w:t>0.</w:t>
            </w:r>
            <w:r>
              <w:rPr>
                <w:color w:val="auto"/>
                <w:sz w:val="24"/>
                <w:lang w:val="en-US" w:eastAsia="zh-CN"/>
                <w:rFonts w:hint="eastAsia"/>
              </w:rPr>
              <w:t>32</w:t>
            </w:r>
            <w:r>
              <w:rPr>
                <w:color w:val="auto"/>
                <w:sz w:val="24"/>
              </w:rPr>
              <w:t>t</w:t>
            </w:r>
            <w:r>
              <w:rPr>
                <w:color w:val="auto"/>
                <w:sz w:val="24"/>
              </w:rPr>
              <w:t>/a。</w:t>
            </w:r>
          </w:p>
          <w:p w14:paraId="2B077839">
            <w:pPr>
              <w:jc w:val="left"/>
              <w:contextualSpacing/>
              <w:spacing w:line="360" w:lineRule="auto"/>
              <w:ind w:firstLine="600" w:firstLineChars="250"/>
              <w:rPr>
                <w:color w:val="auto"/>
                <w:sz w:val="24"/>
              </w:rPr>
            </w:pPr>
            <w:r>
              <w:rPr>
                <w:color w:val="auto"/>
                <w:sz w:val="24"/>
                <w:rFonts w:hAnsi="宋体" w:hint="eastAsia"/>
              </w:rPr>
              <w:t>（2）</w:t>
            </w:r>
            <w:r>
              <w:rPr>
                <w:color w:val="auto"/>
                <w:sz w:val="24"/>
              </w:rPr>
              <w:t>原料堆场扬尘</w:t>
            </w:r>
          </w:p>
          <w:p w14:paraId="024EFDF2">
            <w:pPr>
              <w:jc w:val="left"/>
              <w:spacing w:line="360" w:lineRule="auto"/>
              <w:ind w:firstLine="480" w:firstLineChars="200"/>
              <w:rPr>
                <w:color w:val="auto"/>
                <w:sz w:val="24"/>
                <w:bCs/>
              </w:rPr>
            </w:pPr>
            <w:r>
              <w:rPr>
                <w:color w:val="auto"/>
                <w:sz w:val="24"/>
                <w:bCs/>
              </w:rPr>
              <w:t>堆场粉尘计算公式如下：</w:t>
            </w:r>
          </w:p>
          <w:p w14:paraId="542F36AF">
            <w:pPr>
              <w:jc w:val="center"/>
              <w:rPr>
                <w:color w:val="auto"/>
                <w:sz w:val="24"/>
                <w:bCs/>
              </w:rPr>
            </w:pPr>
            <w:r>
              <w:rPr>
                <w:color w:val="auto"/>
                <w:sz w:val="24"/>
                <w:bCs/>
              </w:rPr>
              <w:t>Q=1.479×10</w:t>
            </w:r>
            <w:r>
              <w:rPr>
                <w:vertAlign w:val="superscript"/>
                <w:color w:val="auto"/>
                <w:sz w:val="24"/>
                <w:bCs/>
              </w:rPr>
              <w:t>-2</w:t>
            </w:r>
            <w:r>
              <w:rPr>
                <w:color w:val="auto"/>
                <w:sz w:val="24"/>
                <w:bCs/>
              </w:rPr>
              <w:t>×e</w:t>
            </w:r>
            <w:r>
              <w:rPr>
                <w:vertAlign w:val="superscript"/>
                <w:color w:val="auto"/>
                <w:sz w:val="24"/>
                <w:bCs/>
              </w:rPr>
              <w:t>-0.43w</w:t>
            </w:r>
            <w:r>
              <w:rPr>
                <w:color w:val="auto"/>
                <w:sz w:val="24"/>
                <w:bCs/>
              </w:rPr>
              <w:t>×Ap</w:t>
            </w:r>
          </w:p>
          <w:p w14:paraId="3F777A0E">
            <w:pPr>
              <w:spacing w:line="360" w:lineRule="auto"/>
              <w:ind w:firstLine="480" w:firstLineChars="200"/>
              <w:rPr>
                <w:color w:val="auto"/>
                <w:sz w:val="24"/>
                <w:bCs/>
              </w:rPr>
            </w:pPr>
            <w:r>
              <w:rPr>
                <w:color w:val="auto"/>
                <w:sz w:val="24"/>
                <w:bCs/>
              </w:rPr>
              <w:t>式中：Q——起尘量，mg/s；</w:t>
            </w:r>
          </w:p>
          <w:p w14:paraId="22F6D937">
            <w:pPr>
              <w:spacing w:line="360" w:lineRule="auto"/>
              <w:ind w:firstLine="1200" w:firstLineChars="500"/>
              <w:rPr>
                <w:color w:val="auto"/>
                <w:sz w:val="24"/>
                <w:bCs/>
              </w:rPr>
            </w:pPr>
            <w:r>
              <w:rPr>
                <w:color w:val="auto"/>
                <w:sz w:val="24"/>
                <w:bCs/>
              </w:rPr>
              <w:t>W——物料含水率，%，本项目取</w:t>
            </w:r>
            <w:r>
              <w:rPr>
                <w:color w:val="auto"/>
                <w:sz w:val="24"/>
                <w:bCs/>
                <w:rFonts w:hint="eastAsia"/>
              </w:rPr>
              <w:t>5</w:t>
            </w:r>
            <w:r>
              <w:rPr>
                <w:color w:val="auto"/>
                <w:sz w:val="24"/>
                <w:bCs/>
              </w:rPr>
              <w:t>%；</w:t>
            </w:r>
          </w:p>
          <w:p w14:paraId="2934A70B">
            <w:pPr>
              <w:spacing w:line="360" w:lineRule="auto"/>
              <w:ind w:firstLine="1200" w:firstLineChars="500"/>
              <w:rPr>
                <w:color w:val="auto"/>
                <w:sz w:val="24"/>
                <w:bCs/>
              </w:rPr>
            </w:pPr>
            <w:r>
              <w:rPr>
                <w:color w:val="auto"/>
                <w:sz w:val="24"/>
                <w:bCs/>
              </w:rPr>
              <w:t>Ap——面积，m</w:t>
            </w:r>
            <w:r>
              <w:rPr>
                <w:vertAlign w:val="superscript"/>
                <w:color w:val="auto"/>
                <w:sz w:val="24"/>
                <w:bCs/>
              </w:rPr>
              <w:t>2</w:t>
            </w:r>
            <w:r>
              <w:rPr>
                <w:color w:val="auto"/>
                <w:sz w:val="24"/>
                <w:bCs/>
              </w:rPr>
              <w:t>，本项目堆场总面积取</w:t>
            </w:r>
            <w:r>
              <w:rPr>
                <w:color w:val="auto"/>
                <w:sz w:val="24"/>
                <w:bCs/>
                <w:rFonts w:hint="eastAsia"/>
              </w:rPr>
              <w:t>1</w:t>
            </w:r>
            <w:r>
              <w:rPr>
                <w:color w:val="auto"/>
                <w:sz w:val="24"/>
                <w:lang w:val="en-US" w:eastAsia="zh-CN"/>
                <w:bCs/>
                <w:rFonts w:hint="eastAsia"/>
              </w:rPr>
              <w:t>1</w:t>
            </w:r>
            <w:r>
              <w:rPr>
                <w:color w:val="auto"/>
                <w:sz w:val="24"/>
                <w:bCs/>
                <w:rFonts w:hint="eastAsia"/>
              </w:rPr>
              <w:t>0</w:t>
            </w:r>
            <w:r>
              <w:rPr>
                <w:color w:val="auto"/>
                <w:sz w:val="24"/>
                <w:bCs/>
              </w:rPr>
              <w:t>00m</w:t>
            </w:r>
            <w:r>
              <w:rPr>
                <w:vertAlign w:val="superscript"/>
                <w:color w:val="auto"/>
                <w:sz w:val="24"/>
                <w:bCs/>
              </w:rPr>
              <w:t>2</w:t>
            </w:r>
            <w:r>
              <w:rPr>
                <w:color w:val="auto"/>
                <w:sz w:val="24"/>
                <w:bCs/>
              </w:rPr>
              <w:t>。</w:t>
            </w:r>
          </w:p>
          <w:p w14:paraId="6A1D8A36">
            <w:pPr>
              <w:pStyle w:val="135"/>
              <w:ind w:firstLine="600" w:firstLineChars="250"/>
              <w:rPr>
                <w:color w:val="auto"/>
                <w:sz w:val="24"/>
                <w:bCs/>
              </w:rPr>
            </w:pPr>
            <w:r>
              <w:rPr>
                <w:color w:val="auto"/>
                <w:sz w:val="24"/>
                <w:bCs/>
              </w:rPr>
              <w:t>经计算，堆场起尘量约为</w:t>
            </w:r>
            <w:r>
              <w:rPr>
                <w:color w:val="auto"/>
                <w:sz w:val="24"/>
                <w:bCs/>
                <w:rFonts w:hint="eastAsia"/>
              </w:rPr>
              <w:t>17.2</w:t>
            </w:r>
            <w:r>
              <w:rPr>
                <w:color w:val="auto"/>
                <w:sz w:val="24"/>
                <w:bCs/>
              </w:rPr>
              <w:t>mg/s，</w:t>
            </w:r>
            <w:r>
              <w:rPr>
                <w:color w:val="auto"/>
                <w:sz w:val="24"/>
                <w:bCs/>
                <w:rFonts w:hint="eastAsia"/>
              </w:rPr>
              <w:t>0.4</w:t>
            </w:r>
            <w:r>
              <w:rPr>
                <w:color w:val="auto"/>
                <w:sz w:val="24"/>
                <w:bCs/>
              </w:rPr>
              <w:t>t/a；堆场</w:t>
            </w:r>
            <w:r>
              <w:rPr>
                <w:color w:val="auto"/>
                <w:sz w:val="24"/>
                <w:bCs/>
                <w:rFonts w:hint="eastAsia"/>
              </w:rPr>
              <w:t>每天洒水抑尘2次</w:t>
            </w:r>
            <w:r>
              <w:rPr>
                <w:color w:val="auto"/>
                <w:sz w:val="24"/>
                <w:bCs/>
              </w:rPr>
              <w:t>，</w:t>
            </w:r>
            <w:r>
              <w:rPr>
                <w:color w:val="auto"/>
                <w:spacing w:val="-6"/>
                <w:sz w:val="24"/>
                <w:bCs/>
              </w:rPr>
              <w:t>厂</w:t>
            </w:r>
            <w:r>
              <w:rPr>
                <w:color w:val="auto"/>
                <w:spacing w:val="-6"/>
                <w:sz w:val="24"/>
                <w:bCs/>
                <w:rFonts w:hint="eastAsia"/>
              </w:rPr>
              <w:t>侧</w:t>
            </w:r>
            <w:r>
              <w:rPr>
                <w:color w:val="auto"/>
                <w:spacing w:val="-6"/>
                <w:sz w:val="24"/>
                <w:bCs/>
              </w:rPr>
              <w:t>设置防风抑尘网</w:t>
            </w:r>
            <w:r>
              <w:rPr>
                <w:color w:val="auto"/>
                <w:spacing w:val="-6"/>
                <w:sz w:val="24"/>
                <w:lang w:eastAsia="zh-CN"/>
                <w:bCs/>
                <w:rFonts w:hint="eastAsia"/>
              </w:rPr>
              <w:t>，</w:t>
            </w:r>
            <w:r>
              <w:rPr>
                <w:color w:val="auto"/>
                <w:sz w:val="24"/>
                <w:bCs/>
              </w:rPr>
              <w:t>抑尘效率可达52%，采取洒水抑尘措施后堆场粉尘排放量为0.</w:t>
            </w:r>
            <w:r>
              <w:rPr>
                <w:color w:val="auto"/>
                <w:sz w:val="24"/>
                <w:bCs/>
                <w:rFonts w:hint="eastAsia"/>
              </w:rPr>
              <w:t>192</w:t>
            </w:r>
            <w:r>
              <w:rPr>
                <w:color w:val="auto"/>
                <w:sz w:val="24"/>
                <w:bCs/>
              </w:rPr>
              <w:t>t/a、</w:t>
            </w:r>
            <w:r>
              <w:rPr>
                <w:color w:val="auto"/>
                <w:sz w:val="24"/>
                <w:bCs/>
                <w:rFonts w:hint="eastAsia"/>
              </w:rPr>
              <w:t>0.03</w:t>
            </w:r>
            <w:r>
              <w:rPr>
                <w:color w:val="auto"/>
                <w:sz w:val="24"/>
                <w:bCs/>
              </w:rPr>
              <w:t>kg/h，堆场扬尘以</w:t>
            </w:r>
            <w:r>
              <w:rPr>
                <w:color w:val="auto"/>
                <w:sz w:val="24"/>
                <w:bCs/>
                <w:rFonts w:hint="eastAsia"/>
              </w:rPr>
              <w:t>24h计</w:t>
            </w:r>
            <w:r>
              <w:rPr>
                <w:color w:val="auto"/>
                <w:sz w:val="24"/>
                <w:bCs/>
              </w:rPr>
              <w:t>。</w:t>
            </w:r>
          </w:p>
          <w:p w14:paraId="4F70D177">
            <w:pPr>
              <w:pStyle w:val="135"/>
              <w:ind w:firstLine="480"/>
              <w:rPr>
                <w:color w:val="auto"/>
                <w:sz w:val="24"/>
                <w:bCs/>
              </w:rPr>
            </w:pPr>
            <w:r>
              <w:rPr>
                <w:color w:val="auto"/>
                <w:sz w:val="24"/>
                <w:bCs/>
                <w:rFonts w:hint="eastAsia"/>
              </w:rPr>
              <w:t>（3）上料过程未收集粉尘</w:t>
            </w:r>
          </w:p>
          <w:p w14:paraId="4D55B547">
            <w:pPr>
              <w:jc w:val="left"/>
              <w:contextualSpacing/>
              <w:spacing w:line="360" w:lineRule="auto"/>
              <w:ind w:firstLine="480" w:firstLineChars="200"/>
              <w:rPr>
                <w:color w:val="auto"/>
                <w:sz w:val="24"/>
                <w:rFonts w:hAnsi="宋体"/>
              </w:rPr>
            </w:pPr>
            <w:r>
              <w:rPr>
                <w:color w:val="auto"/>
                <w:sz w:val="24"/>
                <w:rFonts w:hAnsi="宋体"/>
              </w:rPr>
              <w:t>上料过程颗粒物最大产生量为0.</w:t>
            </w:r>
            <w:r>
              <w:rPr>
                <w:color w:val="auto"/>
                <w:sz w:val="24"/>
                <w:lang w:val="en-US" w:eastAsia="zh-CN"/>
                <w:rFonts w:hAnsi="宋体" w:hint="eastAsia"/>
              </w:rPr>
              <w:t>21</w:t>
            </w:r>
            <w:r>
              <w:rPr>
                <w:color w:val="auto"/>
                <w:sz w:val="24"/>
                <w:rFonts w:hAnsi="宋体"/>
              </w:rPr>
              <w:t>t/a，在冷料仓</w:t>
            </w:r>
            <w:r>
              <w:rPr>
                <w:color w:val="auto"/>
                <w:sz w:val="24"/>
                <w:rFonts w:hAnsi="宋体" w:hint="eastAsia"/>
              </w:rPr>
              <w:t>设置集气装置</w:t>
            </w:r>
            <w:r>
              <w:rPr>
                <w:color w:val="auto"/>
                <w:sz w:val="24"/>
                <w:rFonts w:hAnsi="宋体"/>
              </w:rPr>
              <w:t>（集气效率</w:t>
            </w:r>
            <w:r>
              <w:rPr>
                <w:color w:val="auto"/>
                <w:sz w:val="24"/>
                <w:rFonts w:hAnsi="宋体" w:hint="eastAsia"/>
              </w:rPr>
              <w:t>90%</w:t>
            </w:r>
            <w:r>
              <w:rPr>
                <w:color w:val="auto"/>
                <w:sz w:val="24"/>
                <w:rFonts w:hAnsi="宋体"/>
              </w:rPr>
              <w:t>），无组织排放粉尘量为</w:t>
            </w:r>
            <w:r>
              <w:rPr>
                <w:color w:val="auto"/>
                <w:sz w:val="24"/>
                <w:rFonts w:hAnsi="宋体" w:hint="eastAsia"/>
              </w:rPr>
              <w:t>0.0</w:t>
            </w:r>
            <w:r>
              <w:rPr>
                <w:color w:val="auto"/>
                <w:sz w:val="24"/>
                <w:lang w:val="en-US" w:eastAsia="zh-CN"/>
                <w:rFonts w:hAnsi="宋体" w:hint="eastAsia"/>
              </w:rPr>
              <w:t>21</w:t>
            </w:r>
            <w:r>
              <w:rPr>
                <w:color w:val="auto"/>
                <w:sz w:val="24"/>
                <w:rFonts w:hAnsi="宋体"/>
              </w:rPr>
              <w:t>t/a，上料时间为</w:t>
            </w:r>
            <w:r>
              <w:rPr>
                <w:color w:val="auto"/>
                <w:sz w:val="24"/>
                <w:rFonts w:hAnsi="宋体" w:hint="eastAsia"/>
              </w:rPr>
              <w:t>2</w:t>
            </w:r>
            <w:r>
              <w:rPr>
                <w:color w:val="auto"/>
                <w:sz w:val="24"/>
                <w:lang w:val="en-US" w:eastAsia="zh-CN"/>
                <w:rFonts w:hAnsi="宋体" w:hint="eastAsia"/>
              </w:rPr>
              <w:t>4</w:t>
            </w:r>
            <w:r>
              <w:rPr>
                <w:color w:val="auto"/>
                <w:sz w:val="24"/>
                <w:rFonts w:hAnsi="宋体" w:hint="eastAsia"/>
              </w:rPr>
              <w:t>00h，排放速率为</w:t>
            </w:r>
            <w:r>
              <w:rPr>
                <w:color w:val="auto"/>
                <w:sz w:val="24"/>
                <w:rFonts w:hAnsi="宋体" w:hint="eastAsia"/>
              </w:rPr>
              <w:t>0.00</w:t>
            </w:r>
            <w:r>
              <w:rPr>
                <w:color w:val="auto"/>
                <w:sz w:val="24"/>
                <w:lang w:val="en-US" w:eastAsia="zh-CN"/>
                <w:rFonts w:hAnsi="宋体" w:hint="eastAsia"/>
              </w:rPr>
              <w:t>87</w:t>
            </w:r>
            <w:r>
              <w:rPr>
                <w:color w:val="auto"/>
                <w:sz w:val="24"/>
                <w:rFonts w:hAnsi="宋体" w:hint="eastAsia"/>
              </w:rPr>
              <w:t>kg/h。</w:t>
            </w:r>
          </w:p>
          <w:p w14:paraId="11400C28">
            <w:pPr>
              <w:pStyle w:val="135"/>
              <w:ind w:firstLine="480"/>
              <w:rPr>
                <w:color w:val="auto"/>
                <w:sz w:val="24"/>
              </w:rPr>
            </w:pPr>
            <w:r>
              <w:rPr>
                <w:color w:val="auto"/>
                <w:sz w:val="24"/>
              </w:rPr>
              <w:t>全厂无组织粉尘排放量为</w:t>
            </w:r>
            <w:r>
              <w:rPr>
                <w:color w:val="auto"/>
                <w:sz w:val="24"/>
                <w:rFonts w:hint="eastAsia"/>
              </w:rPr>
              <w:t>0.</w:t>
            </w:r>
            <w:r>
              <w:rPr>
                <w:color w:val="auto"/>
                <w:sz w:val="24"/>
                <w:lang w:val="en-US" w:eastAsia="zh-CN"/>
                <w:rFonts w:hint="eastAsia"/>
              </w:rPr>
              <w:t>533</w:t>
            </w:r>
            <w:r>
              <w:rPr>
                <w:color w:val="auto"/>
                <w:sz w:val="24"/>
              </w:rPr>
              <w:t>t/a。</w:t>
            </w:r>
          </w:p>
          <w:p w14:paraId="49A056B5">
            <w:pPr>
              <w:pStyle w:val="65"/>
              <w:outlineLvl w:val="2"/>
              <w:ind w:firstLine="0" w:firstLineChars="0"/>
              <w:rPr>
                <w:color w:val="auto"/>
                <w:kern w:val="0"/>
              </w:rPr>
            </w:pPr>
            <w:r>
              <w:rPr>
                <w:color w:val="auto"/>
                <w:kern w:val="0"/>
              </w:rPr>
              <w:t>2.7.</w:t>
            </w:r>
            <w:r>
              <w:rPr>
                <w:color w:val="auto"/>
                <w:kern w:val="0"/>
                <w:rFonts w:hint="eastAsia"/>
              </w:rPr>
              <w:t>3</w:t>
            </w:r>
            <w:r>
              <w:rPr>
                <w:color w:val="auto"/>
              </w:rPr>
              <w:t>本项目非正常工况</w:t>
            </w:r>
          </w:p>
          <w:p w14:paraId="7850C578">
            <w:pPr>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Fonts w:ascii="宋体" w:hAnsi="宋体"/>
              </w:rPr>
              <w:t>①</w:t>
            </w:r>
            <w:r>
              <w:rPr>
                <w:color w:val="auto"/>
                <w:sz w:val="24"/>
              </w:rPr>
              <w:fldChar w:fldCharType="end"/>
            </w:r>
            <w:r>
              <w:rPr>
                <w:color w:val="auto"/>
                <w:sz w:val="24"/>
                <w:rFonts w:hAnsi="宋体"/>
              </w:rPr>
              <w:t>粉尘</w:t>
            </w:r>
          </w:p>
          <w:p w14:paraId="3B11C982">
            <w:pPr>
              <w:pStyle w:val="65"/>
              <w:jc w:val="left"/>
              <w:rPr>
                <w:color w:val="auto"/>
              </w:rPr>
            </w:pPr>
            <w:r>
              <w:rPr>
                <w:color w:val="auto"/>
                <w:rFonts w:hAnsi="宋体"/>
              </w:rPr>
              <w:t>假定除尘系统布袋破损，</w:t>
            </w:r>
            <w:r>
              <w:rPr>
                <w:color w:val="auto"/>
                <w:sz w:val="24"/>
                <w:lang w:val="en-US" w:eastAsia="zh-CN"/>
                <w:rFonts w:hAnsi="宋体" w:hint="eastAsia"/>
              </w:rPr>
              <w:t>除尘</w:t>
            </w:r>
            <w:r>
              <w:rPr>
                <w:color w:val="auto"/>
                <w:sz w:val="24"/>
                <w:rFonts w:hAnsi="宋体"/>
              </w:rPr>
              <w:t>效率按</w:t>
            </w:r>
            <w:r>
              <w:rPr>
                <w:color w:val="auto"/>
                <w:sz w:val="24"/>
              </w:rPr>
              <w:t>50%</w:t>
            </w:r>
            <w:r>
              <w:rPr>
                <w:color w:val="auto"/>
                <w:sz w:val="24"/>
                <w:rFonts w:hAnsi="宋体"/>
              </w:rPr>
              <w:t>考虑</w:t>
            </w:r>
            <w:r>
              <w:rPr>
                <w:color w:val="auto"/>
              </w:rPr>
              <w:t>。</w:t>
            </w:r>
          </w:p>
          <w:p w14:paraId="5A9C018D">
            <w:pPr>
              <w:spacing w:line="360" w:lineRule="auto"/>
              <w:ind w:firstLine="480" w:firstLineChars="200"/>
              <w:rPr>
                <w:color w:val="auto"/>
                <w:sz w:val="24"/>
                <w:lang w:bidi="zh-CN"/>
              </w:rPr>
            </w:pPr>
            <w:r>
              <w:rPr>
                <w:color w:val="auto"/>
                <w:sz w:val="24"/>
                <w:lang w:bidi="zh-CN"/>
              </w:rPr>
              <w:fldChar w:fldCharType="begin"/>
            </w:r>
            <w:r>
              <w:rPr>
                <w:color w:val="auto"/>
                <w:sz w:val="24"/>
                <w:lang w:bidi="zh-CN"/>
              </w:rPr>
              <w:instrText xml:space="preserve"> = 2 \* GB3 </w:instrText>
            </w:r>
            <w:r>
              <w:rPr>
                <w:color w:val="auto"/>
                <w:sz w:val="24"/>
                <w:lang w:bidi="zh-CN"/>
              </w:rPr>
              <w:fldChar w:fldCharType="separate"/>
            </w:r>
            <w:r>
              <w:rPr>
                <w:color w:val="auto"/>
                <w:sz w:val="24"/>
                <w:lang w:bidi="zh-CN"/>
                <w:rFonts w:ascii="宋体" w:hAnsi="宋体"/>
              </w:rPr>
              <w:t>②</w:t>
            </w:r>
            <w:r>
              <w:rPr>
                <w:color w:val="auto"/>
                <w:sz w:val="24"/>
                <w:lang w:bidi="zh-CN"/>
              </w:rPr>
              <w:fldChar w:fldCharType="end"/>
            </w:r>
            <w:r>
              <w:rPr>
                <w:color w:val="auto"/>
                <w:sz w:val="24"/>
                <w:lang w:bidi="zh-CN"/>
                <w:rFonts w:hAnsi="宋体"/>
              </w:rPr>
              <w:t>沥青烟、苯并</w:t>
            </w:r>
            <w:r>
              <w:rPr>
                <w:color w:val="auto"/>
                <w:sz w:val="24"/>
                <w:lang w:bidi="zh-CN"/>
              </w:rPr>
              <w:t>[a]</w:t>
            </w:r>
            <w:r>
              <w:rPr>
                <w:color w:val="auto"/>
                <w:sz w:val="24"/>
                <w:lang w:bidi="zh-CN"/>
                <w:rFonts w:hAnsi="宋体"/>
              </w:rPr>
              <w:t>芘、非甲烷总烃</w:t>
            </w:r>
          </w:p>
          <w:p w14:paraId="73A3E032">
            <w:pPr>
              <w:spacing w:line="360" w:lineRule="auto"/>
              <w:ind w:firstLine="480" w:firstLineChars="200"/>
              <w:rPr>
                <w:color w:val="auto"/>
                <w:sz w:val="24"/>
                <w:rFonts w:hAnsi="宋体"/>
              </w:rPr>
            </w:pPr>
            <w:r>
              <w:rPr>
                <w:color w:val="auto"/>
                <w:sz w:val="24"/>
                <w:rFonts w:hAnsi="宋体"/>
              </w:rPr>
              <w:t>当</w:t>
            </w:r>
            <w:r>
              <w:rPr>
                <w:color w:val="auto"/>
                <w:sz w:val="24"/>
                <w:rFonts w:hAnsi="宋体" w:hint="eastAsia"/>
              </w:rPr>
              <w:t>气浮旋流塔+三维一体化废气处理设备故障，废气</w:t>
            </w:r>
            <w:r>
              <w:rPr>
                <w:color w:val="auto"/>
                <w:sz w:val="24"/>
                <w:rFonts w:hAnsi="宋体"/>
              </w:rPr>
              <w:t>处理装置异味处理效率下降，</w:t>
            </w:r>
            <w:r>
              <w:rPr>
                <w:color w:val="auto"/>
                <w:sz w:val="24"/>
                <w:rFonts w:hAnsi="宋体" w:hint="eastAsia"/>
              </w:rPr>
              <w:t>处理</w:t>
            </w:r>
            <w:r>
              <w:rPr>
                <w:color w:val="auto"/>
                <w:sz w:val="24"/>
                <w:rFonts w:hAnsi="宋体"/>
              </w:rPr>
              <w:t>效率按</w:t>
            </w:r>
            <w:r>
              <w:rPr>
                <w:color w:val="auto"/>
                <w:sz w:val="24"/>
              </w:rPr>
              <w:t>50%</w:t>
            </w:r>
            <w:r>
              <w:rPr>
                <w:color w:val="auto"/>
                <w:sz w:val="24"/>
                <w:rFonts w:hAnsi="宋体"/>
              </w:rPr>
              <w:t>考虑，</w:t>
            </w:r>
            <w:r>
              <w:rPr>
                <w:color w:val="auto"/>
                <w:sz w:val="24"/>
                <w:lang w:bidi="zh-CN"/>
                <w:rFonts w:hAnsi="宋体"/>
              </w:rPr>
              <w:t>得出非正常工况下</w:t>
            </w:r>
            <w:r>
              <w:rPr>
                <w:color w:val="auto"/>
                <w:sz w:val="24"/>
                <w:lang w:bidi="zh-CN"/>
              </w:rPr>
              <w:t>沥青搅拌排气筒（</w:t>
            </w:r>
            <w:r>
              <w:rPr>
                <w:color w:val="auto"/>
                <w:sz w:val="24"/>
                <w:lang w:bidi="zh-CN"/>
                <w:rFonts w:hint="eastAsia"/>
              </w:rPr>
              <w:t>DA003</w:t>
            </w:r>
            <w:r>
              <w:rPr>
                <w:color w:val="auto"/>
                <w:sz w:val="24"/>
                <w:lang w:bidi="zh-CN"/>
              </w:rPr>
              <w:t>）</w:t>
            </w:r>
            <w:r>
              <w:rPr>
                <w:color w:val="auto"/>
                <w:sz w:val="24"/>
                <w:lang w:bidi="zh-CN"/>
                <w:rFonts w:hAnsi="宋体"/>
              </w:rPr>
              <w:t>沥青烟、苯并</w:t>
            </w:r>
            <w:r>
              <w:rPr>
                <w:color w:val="auto"/>
                <w:sz w:val="24"/>
                <w:lang w:bidi="zh-CN"/>
              </w:rPr>
              <w:t>[a]</w:t>
            </w:r>
            <w:r>
              <w:rPr>
                <w:color w:val="auto"/>
                <w:sz w:val="24"/>
                <w:lang w:bidi="zh-CN"/>
                <w:rFonts w:hAnsi="宋体"/>
              </w:rPr>
              <w:t>芘、非甲烷总烃排放速率分别为</w:t>
            </w:r>
            <w:r>
              <w:rPr>
                <w:color w:val="auto"/>
                <w:sz w:val="24"/>
                <w:lang w:bidi="zh-CN"/>
                <w:rFonts w:hint="eastAsia"/>
              </w:rPr>
              <w:t>0.44</w:t>
            </w:r>
            <w:r>
              <w:rPr>
                <w:color w:val="auto"/>
                <w:sz w:val="24"/>
                <w:lang w:bidi="zh-CN"/>
              </w:rPr>
              <w:t>kg/h</w:t>
            </w:r>
            <w:r>
              <w:rPr>
                <w:color w:val="auto"/>
                <w:sz w:val="24"/>
                <w:lang w:bidi="zh-CN"/>
                <w:rFonts w:hAnsi="宋体"/>
              </w:rPr>
              <w:t>、</w:t>
            </w:r>
            <w:r>
              <w:rPr>
                <w:color w:val="auto"/>
                <w:sz w:val="24"/>
                <w:rFonts w:hint="eastAsia"/>
              </w:rPr>
              <w:t>8.8</w:t>
            </w:r>
            <w:r>
              <w:rPr>
                <w:color w:val="auto"/>
                <w:sz w:val="24"/>
              </w:rPr>
              <w:t>×10</w:t>
            </w:r>
            <w:r>
              <w:rPr>
                <w:vertAlign w:val="superscript"/>
                <w:color w:val="auto"/>
                <w:sz w:val="24"/>
              </w:rPr>
              <w:t>-</w:t>
            </w:r>
            <w:r>
              <w:rPr>
                <w:vertAlign w:val="superscript"/>
                <w:color w:val="auto"/>
                <w:sz w:val="24"/>
                <w:rFonts w:hint="eastAsia"/>
              </w:rPr>
              <w:t>5</w:t>
            </w:r>
            <w:r>
              <w:rPr>
                <w:color w:val="auto"/>
                <w:sz w:val="24"/>
              </w:rPr>
              <w:t>kg/h、</w:t>
            </w:r>
            <w:r>
              <w:rPr>
                <w:color w:val="auto"/>
                <w:sz w:val="24"/>
                <w:rFonts w:hint="eastAsia"/>
              </w:rPr>
              <w:t>0.026</w:t>
            </w:r>
            <w:r>
              <w:rPr>
                <w:color w:val="auto"/>
                <w:sz w:val="24"/>
              </w:rPr>
              <w:t>kg/h</w:t>
            </w:r>
            <w:r>
              <w:rPr>
                <w:color w:val="auto"/>
                <w:sz w:val="24"/>
                <w:rFonts w:hAnsi="宋体"/>
              </w:rPr>
              <w:t>。</w:t>
            </w:r>
          </w:p>
          <w:p w14:paraId="70CE7114">
            <w:pPr>
              <w:pStyle w:val="90"/>
              <w:spacing w:line="240" w:lineRule="auto"/>
              <w:rPr>
                <w:b w:val="1"/>
                <w:color w:val="auto"/>
                <w:szCs w:val="24"/>
                <w:rFonts w:eastAsia="宋体"/>
              </w:rPr>
            </w:pPr>
            <w:r>
              <w:rPr>
                <w:b w:val="1"/>
                <w:color w:val="auto"/>
                <w:szCs w:val="24"/>
                <w:rFonts w:eastAsia="宋体"/>
              </w:rPr>
              <w:t>表</w:t>
            </w:r>
            <w:r>
              <w:rPr>
                <w:b w:val="1"/>
                <w:color w:val="auto"/>
                <w:lang w:val="en-US" w:eastAsia="zh-CN"/>
                <w:szCs w:val="24"/>
                <w:rFonts w:eastAsia="宋体" w:hint="eastAsia"/>
              </w:rPr>
              <w:t>4</w:t>
            </w:r>
            <w:r>
              <w:rPr>
                <w:b w:val="1"/>
                <w:color w:val="auto"/>
                <w:szCs w:val="24"/>
                <w:rFonts w:eastAsia="宋体"/>
              </w:rPr>
              <w:t>-</w:t>
            </w:r>
            <w:r>
              <w:rPr>
                <w:b w:val="1"/>
                <w:color w:val="auto"/>
                <w:szCs w:val="24"/>
                <w:rFonts w:eastAsia="宋体" w:hint="eastAsia"/>
              </w:rPr>
              <w:t xml:space="preserve">3 </w:t>
            </w:r>
            <w:r>
              <w:rPr>
                <w:b w:val="1"/>
                <w:color w:val="auto"/>
                <w:szCs w:val="24"/>
                <w:rFonts w:eastAsia="宋体"/>
              </w:rPr>
              <w:t>废气污染源强核算结果及相关参数一览表</w:t>
            </w:r>
          </w:p>
          <w:tbl>
            <w:tblPr>
              <w:tblStyle w:val="27"/>
              <w:tblW w:w="8374" w:type="dxa"/>
              <w:jc w:val="center"/>
              <w:tblLayout w:type="fixed"/>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
            <w:tblGrid>
              <w:gridCol w:w="2.000000"/>
              <w:gridCol w:w="319.000000"/>
              <w:gridCol w:w="2.000000"/>
              <w:gridCol w:w="1.000000"/>
              <w:gridCol w:w="266.000000"/>
              <w:gridCol w:w="2.000000"/>
              <w:gridCol w:w="3.000000"/>
              <w:gridCol w:w="800.000000"/>
              <w:gridCol w:w="2.000000"/>
              <w:gridCol w:w="5.000000"/>
              <w:gridCol w:w="389.000000"/>
              <w:gridCol w:w="2.000000"/>
              <w:gridCol w:w="6.000000"/>
              <w:gridCol w:w="568.000000"/>
              <w:gridCol w:w="2.000000"/>
              <w:gridCol w:w="7.000000"/>
              <w:gridCol w:w="667.000000"/>
              <w:gridCol w:w="9.000000"/>
              <w:gridCol w:w="692.000000"/>
              <w:gridCol w:w="3.000000"/>
              <w:gridCol w:w="8.000000"/>
              <w:gridCol w:w="1509.000000"/>
              <w:gridCol w:w="3.000000"/>
              <w:gridCol w:w="9.000000"/>
              <w:gridCol w:w="520.000000"/>
              <w:gridCol w:w="3.000000"/>
              <w:gridCol w:w="2.000000"/>
              <w:gridCol w:w="8.000000"/>
              <w:gridCol w:w="583.000000"/>
              <w:gridCol w:w="3.000000"/>
              <w:gridCol w:w="11.000000"/>
              <w:gridCol w:w="828.000000"/>
              <w:gridCol w:w="15.000000"/>
              <w:gridCol w:w="705.000000"/>
              <w:gridCol w:w="5.000000"/>
              <w:gridCol w:w="5.000000"/>
              <w:gridCol w:w="6.000000"/>
              <w:gridCol w:w="380.000000"/>
              <w:gridCol w:w="5.000000"/>
              <w:gridCol w:w="5.000000"/>
              <w:gridCol w:w="12.000000"/>
            </w:tblGrid>
            <w:tr w14:paraId="2570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1"/>
                <w:wAfter w:w="1" w:type="pct"/>
                <w:trHeight w:val="815" w:hRule="atLeast"/>
                <w:jc w:val="center"/>
              </w:trPr>
              <w:tc>
                <w:tcPr>
                  <w:tcW w:w="192" w:type="pct"/>
                  <w:gridSpan w:val="2"/>
                  <w:vMerge w:val="restart"/>
                  <w:vAlign w:val="center"/>
                </w:tcPr>
                <w:p w14:paraId="7AA2A025">
                  <w:pPr>
                    <w:jc w:val="center"/>
                    <w:contextualSpacing/>
                    <w:rPr>
                      <w:color w:val="auto"/>
                      <w:sz w:val="18"/>
                      <w:szCs w:val="18"/>
                    </w:rPr>
                  </w:pPr>
                  <w:r>
                    <w:rPr>
                      <w:color w:val="auto"/>
                      <w:sz w:val="18"/>
                      <w:szCs w:val="18"/>
                      <w:rFonts w:hAnsi="宋体"/>
                    </w:rPr>
                    <w:t>工序</w:t>
                  </w:r>
                </w:p>
              </w:tc>
              <w:tc>
                <w:tcPr>
                  <w:tcW w:w="161" w:type="pct"/>
                  <w:gridSpan w:val="3"/>
                  <w:vMerge w:val="restart"/>
                  <w:vAlign w:val="center"/>
                </w:tcPr>
                <w:p w14:paraId="5AD3A9AF">
                  <w:pPr>
                    <w:jc w:val="center"/>
                    <w:contextualSpacing/>
                    <w:rPr>
                      <w:color w:val="auto"/>
                      <w:sz w:val="18"/>
                      <w:szCs w:val="18"/>
                    </w:rPr>
                  </w:pPr>
                  <w:r>
                    <w:rPr>
                      <w:color w:val="auto"/>
                      <w:sz w:val="18"/>
                      <w:szCs w:val="18"/>
                      <w:rFonts w:hAnsi="宋体"/>
                    </w:rPr>
                    <w:t>装置</w:t>
                  </w:r>
                </w:p>
              </w:tc>
              <w:tc>
                <w:tcPr>
                  <w:tcW w:w="481" w:type="pct"/>
                  <w:gridSpan w:val="3"/>
                  <w:vMerge w:val="restart"/>
                  <w:vAlign w:val="center"/>
                </w:tcPr>
                <w:p w14:paraId="1B1DCA37">
                  <w:pPr>
                    <w:jc w:val="center"/>
                    <w:contextualSpacing/>
                    <w:rPr>
                      <w:color w:val="auto"/>
                      <w:sz w:val="18"/>
                      <w:szCs w:val="18"/>
                    </w:rPr>
                  </w:pPr>
                  <w:r>
                    <w:rPr>
                      <w:color w:val="auto"/>
                      <w:sz w:val="18"/>
                      <w:szCs w:val="18"/>
                      <w:rFonts w:hAnsi="宋体"/>
                    </w:rPr>
                    <w:t>污染源</w:t>
                  </w:r>
                </w:p>
              </w:tc>
              <w:tc>
                <w:tcPr>
                  <w:tcW w:w="237" w:type="pct"/>
                  <w:gridSpan w:val="3"/>
                  <w:vMerge w:val="restart"/>
                  <w:vAlign w:val="center"/>
                </w:tcPr>
                <w:p w14:paraId="479484AA">
                  <w:pPr>
                    <w:jc w:val="center"/>
                    <w:contextualSpacing/>
                    <w:rPr>
                      <w:color w:val="auto"/>
                      <w:sz w:val="18"/>
                      <w:szCs w:val="18"/>
                    </w:rPr>
                  </w:pPr>
                  <w:r>
                    <w:rPr>
                      <w:color w:val="auto"/>
                      <w:sz w:val="18"/>
                      <w:szCs w:val="18"/>
                      <w:rFonts w:hAnsi="宋体"/>
                    </w:rPr>
                    <w:t>污染物</w:t>
                  </w:r>
                </w:p>
              </w:tc>
              <w:tc>
                <w:tcPr>
                  <w:tcW w:w="1168" w:type="pct"/>
                  <w:gridSpan w:val="9"/>
                  <w:vAlign w:val="center"/>
                </w:tcPr>
                <w:p w14:paraId="3FACCFB4">
                  <w:pPr>
                    <w:jc w:val="center"/>
                    <w:contextualSpacing/>
                    <w:rPr>
                      <w:color w:val="auto"/>
                      <w:sz w:val="18"/>
                      <w:szCs w:val="18"/>
                    </w:rPr>
                  </w:pPr>
                  <w:r>
                    <w:rPr>
                      <w:color w:val="auto"/>
                      <w:sz w:val="18"/>
                      <w:szCs w:val="18"/>
                      <w:rFonts w:hAnsi="宋体"/>
                    </w:rPr>
                    <w:t>污染物产生</w:t>
                  </w:r>
                </w:p>
              </w:tc>
              <w:tc>
                <w:tcPr>
                  <w:tcW w:w="1227" w:type="pct"/>
                  <w:gridSpan w:val="7"/>
                  <w:vAlign w:val="center"/>
                </w:tcPr>
                <w:p w14:paraId="3CA6E14D">
                  <w:pPr>
                    <w:jc w:val="center"/>
                    <w:contextualSpacing/>
                    <w:rPr>
                      <w:color w:val="auto"/>
                      <w:sz w:val="18"/>
                      <w:szCs w:val="18"/>
                    </w:rPr>
                  </w:pPr>
                  <w:r>
                    <w:rPr>
                      <w:color w:val="auto"/>
                      <w:sz w:val="18"/>
                      <w:szCs w:val="18"/>
                      <w:rFonts w:hAnsi="宋体"/>
                    </w:rPr>
                    <w:t>治理措施</w:t>
                  </w:r>
                </w:p>
              </w:tc>
              <w:tc>
                <w:tcPr>
                  <w:tcW w:w="1292" w:type="pct"/>
                  <w:gridSpan w:val="9"/>
                  <w:vAlign w:val="center"/>
                </w:tcPr>
                <w:p w14:paraId="0B0D0D90">
                  <w:pPr>
                    <w:jc w:val="center"/>
                    <w:contextualSpacing/>
                    <w:rPr>
                      <w:color w:val="auto"/>
                      <w:sz w:val="18"/>
                      <w:szCs w:val="18"/>
                    </w:rPr>
                  </w:pPr>
                  <w:r>
                    <w:rPr>
                      <w:color w:val="auto"/>
                      <w:sz w:val="18"/>
                      <w:szCs w:val="18"/>
                      <w:rFonts w:hAnsi="宋体"/>
                    </w:rPr>
                    <w:t>污染物排放</w:t>
                  </w:r>
                </w:p>
              </w:tc>
              <w:tc>
                <w:tcPr>
                  <w:tcW w:w="237" w:type="pct"/>
                  <w:gridSpan w:val="4"/>
                  <w:vAlign w:val="center"/>
                </w:tcPr>
                <w:p w14:paraId="227ECA15">
                  <w:pPr>
                    <w:jc w:val="center"/>
                    <w:contextualSpacing/>
                    <w:rPr>
                      <w:color w:val="auto"/>
                      <w:sz w:val="18"/>
                      <w:szCs w:val="18"/>
                    </w:rPr>
                  </w:pPr>
                  <w:r>
                    <w:rPr>
                      <w:color w:val="auto"/>
                      <w:spacing w:val="-20"/>
                      <w:sz w:val="18"/>
                      <w:szCs w:val="18"/>
                      <w:rFonts w:hAnsi="宋体"/>
                    </w:rPr>
                    <w:t>工作时间</w:t>
                  </w:r>
                  <w:r>
                    <w:rPr>
                      <w:color w:val="auto"/>
                      <w:spacing w:val="-20"/>
                      <w:sz w:val="18"/>
                      <w:szCs w:val="18"/>
                    </w:rPr>
                    <w:t>h</w:t>
                  </w:r>
                </w:p>
              </w:tc>
            </w:tr>
            <w:tr w14:paraId="3099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098B9EF9">
                  <w:pPr>
                    <w:jc w:val="center"/>
                    <w:contextualSpacing/>
                    <w:rPr>
                      <w:color w:val="auto"/>
                      <w:sz w:val="18"/>
                      <w:szCs w:val="18"/>
                    </w:rPr>
                  </w:pPr>
                </w:p>
              </w:tc>
              <w:tc>
                <w:tcPr>
                  <w:tcW w:w="161" w:type="pct"/>
                  <w:gridSpan w:val="3"/>
                  <w:vMerge w:val="continue"/>
                  <w:vAlign w:val="center"/>
                </w:tcPr>
                <w:p w14:paraId="5B1DEF53">
                  <w:pPr>
                    <w:jc w:val="center"/>
                    <w:contextualSpacing/>
                    <w:rPr>
                      <w:color w:val="auto"/>
                      <w:sz w:val="18"/>
                      <w:szCs w:val="18"/>
                    </w:rPr>
                  </w:pPr>
                </w:p>
              </w:tc>
              <w:tc>
                <w:tcPr>
                  <w:tcW w:w="481" w:type="pct"/>
                  <w:gridSpan w:val="3"/>
                  <w:vMerge w:val="continue"/>
                  <w:vAlign w:val="center"/>
                </w:tcPr>
                <w:p w14:paraId="7CC44EEF">
                  <w:pPr>
                    <w:jc w:val="center"/>
                    <w:contextualSpacing/>
                    <w:rPr>
                      <w:color w:val="auto"/>
                      <w:sz w:val="18"/>
                      <w:szCs w:val="18"/>
                    </w:rPr>
                  </w:pPr>
                </w:p>
              </w:tc>
              <w:tc>
                <w:tcPr>
                  <w:tcW w:w="237" w:type="pct"/>
                  <w:gridSpan w:val="3"/>
                  <w:vMerge w:val="continue"/>
                  <w:vAlign w:val="center"/>
                </w:tcPr>
                <w:p w14:paraId="0E4D04B8">
                  <w:pPr>
                    <w:jc w:val="center"/>
                    <w:contextualSpacing/>
                    <w:rPr>
                      <w:color w:val="auto"/>
                      <w:sz w:val="18"/>
                      <w:szCs w:val="18"/>
                    </w:rPr>
                  </w:pPr>
                </w:p>
              </w:tc>
              <w:tc>
                <w:tcPr>
                  <w:tcW w:w="344" w:type="pct"/>
                  <w:gridSpan w:val="3"/>
                  <w:vAlign w:val="center"/>
                </w:tcPr>
                <w:p w14:paraId="7A88200F">
                  <w:pPr>
                    <w:jc w:val="center"/>
                    <w:contextualSpacing/>
                    <w:rPr>
                      <w:color w:val="auto"/>
                      <w:sz w:val="18"/>
                      <w:szCs w:val="18"/>
                    </w:rPr>
                  </w:pPr>
                  <w:r>
                    <w:rPr>
                      <w:color w:val="auto"/>
                      <w:sz w:val="18"/>
                      <w:szCs w:val="18"/>
                      <w:rFonts w:hAnsi="宋体"/>
                    </w:rPr>
                    <w:t>废气产生量</w:t>
                  </w:r>
                  <w:r>
                    <w:rPr>
                      <w:color w:val="auto"/>
                      <w:sz w:val="18"/>
                      <w:szCs w:val="18"/>
                    </w:rPr>
                    <w:t>m</w:t>
                  </w:r>
                  <w:r>
                    <w:rPr>
                      <w:vertAlign w:val="superscript"/>
                      <w:color w:val="auto"/>
                      <w:sz w:val="18"/>
                      <w:szCs w:val="18"/>
                    </w:rPr>
                    <w:t>3</w:t>
                  </w:r>
                  <w:r>
                    <w:rPr>
                      <w:color w:val="auto"/>
                      <w:sz w:val="18"/>
                      <w:szCs w:val="18"/>
                    </w:rPr>
                    <w:t>/h</w:t>
                  </w:r>
                </w:p>
              </w:tc>
              <w:tc>
                <w:tcPr>
                  <w:tcW w:w="404" w:type="pct"/>
                  <w:gridSpan w:val="3"/>
                  <w:vAlign w:val="center"/>
                </w:tcPr>
                <w:p w14:paraId="193485E8">
                  <w:pPr>
                    <w:jc w:val="center"/>
                    <w:contextualSpacing/>
                    <w:rPr>
                      <w:color w:val="auto"/>
                      <w:sz w:val="18"/>
                      <w:szCs w:val="18"/>
                    </w:rPr>
                  </w:pPr>
                  <w:r>
                    <w:rPr>
                      <w:color w:val="auto"/>
                      <w:sz w:val="18"/>
                      <w:szCs w:val="18"/>
                      <w:rFonts w:hAnsi="宋体"/>
                    </w:rPr>
                    <w:t>产生浓度</w:t>
                  </w:r>
                  <w:r>
                    <w:rPr>
                      <w:color w:val="auto"/>
                      <w:sz w:val="18"/>
                      <w:szCs w:val="18"/>
                    </w:rPr>
                    <w:t>mg/m</w:t>
                  </w:r>
                  <w:r>
                    <w:rPr>
                      <w:vertAlign w:val="superscript"/>
                      <w:color w:val="auto"/>
                      <w:sz w:val="18"/>
                      <w:szCs w:val="18"/>
                    </w:rPr>
                    <w:t>3</w:t>
                  </w:r>
                </w:p>
              </w:tc>
              <w:tc>
                <w:tcPr>
                  <w:tcW w:w="419" w:type="pct"/>
                  <w:gridSpan w:val="2"/>
                  <w:vAlign w:val="center"/>
                </w:tcPr>
                <w:p w14:paraId="7C0918CB">
                  <w:pPr>
                    <w:jc w:val="center"/>
                    <w:contextualSpacing/>
                    <w:rPr>
                      <w:color w:val="auto"/>
                      <w:sz w:val="18"/>
                      <w:szCs w:val="18"/>
                    </w:rPr>
                  </w:pPr>
                  <w:r>
                    <w:rPr>
                      <w:color w:val="auto"/>
                      <w:sz w:val="18"/>
                      <w:szCs w:val="18"/>
                      <w:rFonts w:hAnsi="宋体"/>
                    </w:rPr>
                    <w:t>产生量</w:t>
                  </w:r>
                  <w:r>
                    <w:rPr>
                      <w:color w:val="auto"/>
                      <w:sz w:val="18"/>
                      <w:szCs w:val="18"/>
                    </w:rPr>
                    <w:t>kg/h</w:t>
                  </w:r>
                </w:p>
              </w:tc>
              <w:tc>
                <w:tcPr>
                  <w:tcW w:w="908" w:type="pct"/>
                  <w:gridSpan w:val="3"/>
                  <w:vAlign w:val="center"/>
                </w:tcPr>
                <w:p w14:paraId="3883781D">
                  <w:pPr>
                    <w:jc w:val="center"/>
                    <w:rPr>
                      <w:color w:val="auto"/>
                      <w:sz w:val="18"/>
                      <w:szCs w:val="18"/>
                    </w:rPr>
                  </w:pPr>
                  <w:r>
                    <w:rPr>
                      <w:color w:val="auto"/>
                      <w:sz w:val="18"/>
                      <w:szCs w:val="18"/>
                      <w:rFonts w:hAnsi="宋体"/>
                    </w:rPr>
                    <w:t>处理措施</w:t>
                  </w:r>
                </w:p>
              </w:tc>
              <w:tc>
                <w:tcPr>
                  <w:tcW w:w="318" w:type="pct"/>
                  <w:gridSpan w:val="3"/>
                  <w:vAlign w:val="center"/>
                </w:tcPr>
                <w:p w14:paraId="7A1B1EA6">
                  <w:pPr>
                    <w:jc w:val="center"/>
                    <w:rPr>
                      <w:color w:val="auto"/>
                      <w:sz w:val="18"/>
                      <w:szCs w:val="18"/>
                    </w:rPr>
                  </w:pPr>
                  <w:r>
                    <w:rPr>
                      <w:color w:val="auto"/>
                      <w:sz w:val="18"/>
                      <w:szCs w:val="18"/>
                      <w:rFonts w:hAnsi="宋体"/>
                    </w:rPr>
                    <w:t>处理</w:t>
                  </w:r>
                </w:p>
                <w:p w14:paraId="182B6D5B">
                  <w:pPr>
                    <w:jc w:val="center"/>
                    <w:rPr>
                      <w:color w:val="auto"/>
                      <w:sz w:val="18"/>
                      <w:szCs w:val="18"/>
                    </w:rPr>
                  </w:pPr>
                  <w:r>
                    <w:rPr>
                      <w:color w:val="auto"/>
                      <w:sz w:val="18"/>
                      <w:szCs w:val="18"/>
                      <w:rFonts w:hAnsi="宋体"/>
                    </w:rPr>
                    <w:t>效率</w:t>
                  </w:r>
                </w:p>
              </w:tc>
              <w:tc>
                <w:tcPr>
                  <w:tcW w:w="356" w:type="pct"/>
                  <w:gridSpan w:val="4"/>
                  <w:vAlign w:val="center"/>
                </w:tcPr>
                <w:p w14:paraId="6CF60A28">
                  <w:pPr>
                    <w:jc w:val="center"/>
                    <w:rPr>
                      <w:color w:val="auto"/>
                      <w:sz w:val="18"/>
                      <w:szCs w:val="18"/>
                    </w:rPr>
                  </w:pPr>
                  <w:r>
                    <w:rPr>
                      <w:color w:val="auto"/>
                      <w:sz w:val="18"/>
                      <w:szCs w:val="18"/>
                      <w:rFonts w:hAnsi="宋体"/>
                    </w:rPr>
                    <w:t>废气排放量</w:t>
                  </w:r>
                </w:p>
                <w:p w14:paraId="64A3208E">
                  <w:pPr>
                    <w:jc w:val="center"/>
                    <w:contextualSpacing/>
                    <w:rPr>
                      <w:color w:val="auto"/>
                      <w:sz w:val="18"/>
                      <w:szCs w:val="18"/>
                    </w:rPr>
                  </w:pPr>
                  <w:r>
                    <w:rPr>
                      <w:color w:val="auto"/>
                      <w:sz w:val="18"/>
                      <w:szCs w:val="18"/>
                    </w:rPr>
                    <w:t>m</w:t>
                  </w:r>
                  <w:r>
                    <w:rPr>
                      <w:vertAlign w:val="superscript"/>
                      <w:color w:val="auto"/>
                      <w:sz w:val="18"/>
                      <w:szCs w:val="18"/>
                    </w:rPr>
                    <w:t>3</w:t>
                  </w:r>
                  <w:r>
                    <w:rPr>
                      <w:color w:val="auto"/>
                      <w:sz w:val="18"/>
                      <w:szCs w:val="18"/>
                    </w:rPr>
                    <w:t>/h</w:t>
                  </w:r>
                </w:p>
              </w:tc>
              <w:tc>
                <w:tcPr>
                  <w:tcW w:w="503" w:type="pct"/>
                  <w:gridSpan w:val="3"/>
                  <w:vAlign w:val="center"/>
                </w:tcPr>
                <w:p w14:paraId="4FD167FA">
                  <w:pPr>
                    <w:jc w:val="center"/>
                    <w:contextualSpacing/>
                    <w:rPr>
                      <w:color w:val="auto"/>
                      <w:sz w:val="18"/>
                      <w:szCs w:val="18"/>
                    </w:rPr>
                  </w:pPr>
                  <w:r>
                    <w:rPr>
                      <w:color w:val="auto"/>
                      <w:sz w:val="18"/>
                      <w:szCs w:val="18"/>
                      <w:rFonts w:hAnsi="宋体"/>
                    </w:rPr>
                    <w:t>排放浓度</w:t>
                  </w:r>
                  <w:r>
                    <w:rPr>
                      <w:color w:val="auto"/>
                      <w:sz w:val="18"/>
                      <w:szCs w:val="18"/>
                    </w:rPr>
                    <w:t>mg/m</w:t>
                  </w:r>
                  <w:r>
                    <w:rPr>
                      <w:vertAlign w:val="superscript"/>
                      <w:color w:val="auto"/>
                      <w:sz w:val="18"/>
                      <w:szCs w:val="18"/>
                    </w:rPr>
                    <w:t>3</w:t>
                  </w:r>
                </w:p>
              </w:tc>
              <w:tc>
                <w:tcPr>
                  <w:tcW w:w="430" w:type="pct"/>
                  <w:gridSpan w:val="2"/>
                  <w:vAlign w:val="center"/>
                </w:tcPr>
                <w:p w14:paraId="2285570D">
                  <w:pPr>
                    <w:jc w:val="center"/>
                    <w:contextualSpacing/>
                    <w:rPr>
                      <w:color w:val="auto"/>
                      <w:sz w:val="18"/>
                      <w:szCs w:val="18"/>
                    </w:rPr>
                  </w:pPr>
                  <w:r>
                    <w:rPr>
                      <w:color w:val="auto"/>
                      <w:sz w:val="18"/>
                      <w:szCs w:val="18"/>
                      <w:rFonts w:hAnsi="宋体"/>
                    </w:rPr>
                    <w:t>排放</w:t>
                  </w:r>
                </w:p>
                <w:p w14:paraId="294F9249">
                  <w:pPr>
                    <w:jc w:val="center"/>
                    <w:contextualSpacing/>
                    <w:rPr>
                      <w:color w:val="auto"/>
                      <w:sz w:val="18"/>
                      <w:szCs w:val="18"/>
                    </w:rPr>
                  </w:pPr>
                  <w:r>
                    <w:rPr>
                      <w:color w:val="auto"/>
                      <w:sz w:val="18"/>
                      <w:szCs w:val="18"/>
                      <w:rFonts w:hAnsi="宋体"/>
                    </w:rPr>
                    <w:t>量</w:t>
                  </w:r>
                  <w:r>
                    <w:rPr>
                      <w:color w:val="auto"/>
                      <w:sz w:val="18"/>
                      <w:szCs w:val="18"/>
                    </w:rPr>
                    <w:t>kg/h</w:t>
                  </w:r>
                </w:p>
              </w:tc>
              <w:tc>
                <w:tcPr>
                  <w:tcW w:w="237" w:type="pct"/>
                  <w:gridSpan w:val="4"/>
                  <w:vAlign w:val="center"/>
                </w:tcPr>
                <w:p w14:paraId="1DC3ACAA">
                  <w:pPr>
                    <w:jc w:val="center"/>
                    <w:contextualSpacing/>
                    <w:rPr>
                      <w:color w:val="auto"/>
                      <w:sz w:val="18"/>
                      <w:szCs w:val="18"/>
                    </w:rPr>
                  </w:pPr>
                </w:p>
              </w:tc>
            </w:tr>
            <w:tr w14:paraId="2C1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restart"/>
                  <w:vAlign w:val="center"/>
                </w:tcPr>
                <w:p w14:paraId="38CC3CC7">
                  <w:pPr>
                    <w:contextualSpacing/>
                    <w:rPr>
                      <w:color w:val="auto"/>
                      <w:sz w:val="18"/>
                      <w:szCs w:val="18"/>
                    </w:rPr>
                  </w:pPr>
                  <w:r>
                    <w:rPr>
                      <w:color w:val="auto"/>
                      <w:sz w:val="18"/>
                      <w:szCs w:val="18"/>
                      <w:rFonts w:hAnsi="宋体"/>
                    </w:rPr>
                    <w:t>沥青搅拌站</w:t>
                  </w:r>
                </w:p>
              </w:tc>
              <w:tc>
                <w:tcPr>
                  <w:tcW w:w="161" w:type="pct"/>
                  <w:gridSpan w:val="3"/>
                  <w:vMerge w:val="restart"/>
                  <w:vAlign w:val="center"/>
                </w:tcPr>
                <w:p w14:paraId="4EEDAFE0">
                  <w:pPr>
                    <w:jc w:val="center"/>
                    <w:contextualSpacing/>
                    <w:rPr>
                      <w:color w:val="auto"/>
                      <w:spacing w:val="-14"/>
                      <w:sz w:val="18"/>
                      <w:szCs w:val="18"/>
                    </w:rPr>
                  </w:pPr>
                  <w:r>
                    <w:rPr>
                      <w:color w:val="auto"/>
                      <w:spacing w:val="-14"/>
                      <w:sz w:val="18"/>
                      <w:szCs w:val="18"/>
                      <w:rFonts w:hAnsi="宋体"/>
                    </w:rPr>
                    <w:t>燃烧器</w:t>
                  </w:r>
                </w:p>
              </w:tc>
              <w:tc>
                <w:tcPr>
                  <w:tcW w:w="481" w:type="pct"/>
                  <w:gridSpan w:val="3"/>
                  <w:vMerge w:val="restart"/>
                  <w:vAlign w:val="center"/>
                  <w:shd w:val="clear" w:color="auto" w:fill="auto"/>
                </w:tcPr>
                <w:p w14:paraId="087678ED">
                  <w:pPr>
                    <w:jc w:val="center"/>
                    <w:contextualSpacing/>
                    <w:rPr>
                      <w:color w:val="auto"/>
                      <w:sz w:val="18"/>
                      <w:szCs w:val="18"/>
                    </w:rPr>
                  </w:pPr>
                  <w:r>
                    <w:rPr>
                      <w:color w:val="auto"/>
                      <w:sz w:val="18"/>
                      <w:szCs w:val="18"/>
                      <w:rFonts w:hint="eastAsia"/>
                    </w:rPr>
                    <w:t>除尘</w:t>
                  </w:r>
                  <w:r>
                    <w:rPr>
                      <w:color w:val="auto"/>
                      <w:sz w:val="18"/>
                      <w:szCs w:val="18"/>
                    </w:rPr>
                    <w:t>系统烟囱（</w:t>
                  </w:r>
                  <w:r>
                    <w:rPr>
                      <w:color w:val="auto"/>
                      <w:sz w:val="18"/>
                      <w:szCs w:val="18"/>
                      <w:rFonts w:hint="eastAsia"/>
                    </w:rPr>
                    <w:t>DA001</w:t>
                  </w:r>
                  <w:r>
                    <w:rPr>
                      <w:color w:val="auto"/>
                      <w:sz w:val="18"/>
                      <w:szCs w:val="18"/>
                    </w:rPr>
                    <w:t>）</w:t>
                  </w:r>
                </w:p>
              </w:tc>
              <w:tc>
                <w:tcPr>
                  <w:tcW w:w="237" w:type="pct"/>
                  <w:gridSpan w:val="3"/>
                  <w:vAlign w:val="center"/>
                  <w:shd w:val="clear" w:color="auto" w:fill="auto"/>
                </w:tcPr>
                <w:p w14:paraId="3CB32A90">
                  <w:pPr>
                    <w:jc w:val="center"/>
                    <w:rPr>
                      <w:color w:val="auto"/>
                      <w:sz w:val="18"/>
                      <w:szCs w:val="18"/>
                    </w:rPr>
                  </w:pPr>
                  <w:r>
                    <w:rPr>
                      <w:color w:val="auto"/>
                      <w:sz w:val="18"/>
                      <w:szCs w:val="18"/>
                    </w:rPr>
                    <w:t>SO</w:t>
                  </w:r>
                  <w:r>
                    <w:rPr>
                      <w:vertAlign w:val="subscript"/>
                      <w:color w:val="auto"/>
                      <w:sz w:val="18"/>
                      <w:szCs w:val="18"/>
                    </w:rPr>
                    <w:t>2</w:t>
                  </w:r>
                </w:p>
              </w:tc>
              <w:tc>
                <w:tcPr>
                  <w:tcW w:w="344" w:type="pct"/>
                  <w:gridSpan w:val="3"/>
                  <w:vMerge w:val="restart"/>
                  <w:vAlign w:val="center"/>
                  <w:shd w:val="clear" w:color="auto" w:fill="FFFFFF"/>
                </w:tcPr>
                <w:p w14:paraId="60C13F81">
                  <w:pPr>
                    <w:jc w:val="center"/>
                    <w:contextualSpacing/>
                    <w:shd w:val="clear" w:color="auto" w:fill="FFFFFF"/>
                    <w:rPr>
                      <w:color w:val="auto"/>
                      <w:sz w:val="18"/>
                      <w:szCs w:val="18"/>
                    </w:rPr>
                  </w:pPr>
                  <w:r>
                    <w:rPr>
                      <w:color w:val="auto"/>
                      <w:sz w:val="18"/>
                      <w:szCs w:val="18"/>
                      <w:rFonts w:hint="eastAsia"/>
                    </w:rPr>
                    <w:t>14000</w:t>
                  </w:r>
                </w:p>
              </w:tc>
              <w:tc>
                <w:tcPr>
                  <w:tcW w:w="404" w:type="pct"/>
                  <w:gridSpan w:val="3"/>
                  <w:vAlign w:val="center"/>
                </w:tcPr>
                <w:p w14:paraId="70A7E338">
                  <w:pPr>
                    <w:jc w:val="center"/>
                    <w:contextualSpacing/>
                    <w:rPr>
                      <w:color w:val="auto"/>
                      <w:sz w:val="18"/>
                      <w:lang w:eastAsia="zh-CN"/>
                      <w:szCs w:val="18"/>
                      <w:rFonts w:eastAsia="宋体" w:hint="eastAsia"/>
                    </w:rPr>
                  </w:pPr>
                  <w:r>
                    <w:rPr>
                      <w:color w:val="auto"/>
                      <w:sz w:val="18"/>
                      <w:szCs w:val="18"/>
                      <w:rFonts w:hint="eastAsia"/>
                    </w:rPr>
                    <w:t>0.3</w:t>
                  </w:r>
                  <w:r>
                    <w:rPr>
                      <w:color w:val="auto"/>
                      <w:sz w:val="18"/>
                      <w:lang w:val="en-US" w:eastAsia="zh-CN"/>
                      <w:szCs w:val="18"/>
                      <w:rFonts w:hint="eastAsia"/>
                    </w:rPr>
                    <w:t>4</w:t>
                  </w:r>
                </w:p>
              </w:tc>
              <w:tc>
                <w:tcPr>
                  <w:tcW w:w="419" w:type="pct"/>
                  <w:gridSpan w:val="2"/>
                  <w:vAlign w:val="center"/>
                </w:tcPr>
                <w:p w14:paraId="2D64F66F">
                  <w:pPr>
                    <w:jc w:val="center"/>
                    <w:contextualSpacing/>
                    <w:rPr>
                      <w:color w:val="auto"/>
                      <w:sz w:val="18"/>
                      <w:szCs w:val="18"/>
                    </w:rPr>
                  </w:pPr>
                  <w:r>
                    <w:rPr>
                      <w:color w:val="auto"/>
                      <w:sz w:val="18"/>
                      <w:szCs w:val="18"/>
                      <w:rFonts w:hint="eastAsia"/>
                    </w:rPr>
                    <w:t>0.005</w:t>
                  </w:r>
                </w:p>
              </w:tc>
              <w:tc>
                <w:tcPr>
                  <w:tcW w:w="908" w:type="pct"/>
                  <w:gridSpan w:val="3"/>
                  <w:vMerge w:val="restart"/>
                  <w:vAlign w:val="center"/>
                </w:tcPr>
                <w:p w14:paraId="3FD522E9">
                  <w:pPr>
                    <w:jc w:val="center"/>
                    <w:contextualSpacing/>
                    <w:rPr>
                      <w:color w:val="auto"/>
                      <w:sz w:val="18"/>
                      <w:szCs w:val="18"/>
                      <w:rFonts w:hAnsi="宋体"/>
                    </w:rPr>
                  </w:pPr>
                  <w:r>
                    <w:rPr>
                      <w:color w:val="auto"/>
                      <w:sz w:val="18"/>
                      <w:szCs w:val="18"/>
                      <w:rFonts w:hAnsi="宋体"/>
                    </w:rPr>
                    <w:t>碎石筛分、烘干废气、热料仓落料废气、</w:t>
                  </w:r>
                  <w:r>
                    <w:rPr>
                      <w:color w:val="auto"/>
                      <w:sz w:val="18"/>
                      <w:szCs w:val="18"/>
                      <w:rFonts w:hAnsi="宋体" w:hint="eastAsia"/>
                    </w:rPr>
                    <w:t>矿粉筒仓装卸废气</w:t>
                  </w:r>
                  <w:r>
                    <w:rPr>
                      <w:color w:val="auto"/>
                      <w:sz w:val="18"/>
                      <w:szCs w:val="18"/>
                      <w:rFonts w:hAnsi="宋体"/>
                    </w:rPr>
                    <w:t>经</w:t>
                  </w:r>
                  <w:r>
                    <w:rPr>
                      <w:color w:val="auto"/>
                      <w:sz w:val="18"/>
                      <w:szCs w:val="18"/>
                      <w:rFonts w:hAnsi="宋体" w:hint="eastAsia"/>
                    </w:rPr>
                    <w:t>经除尘系统（重力+布袋）处理后，由20m高除尘系统烟囱（DA001）排放，除尘效率为99%</w:t>
                  </w:r>
                  <w:r>
                    <w:rPr>
                      <w:color w:val="auto"/>
                      <w:sz w:val="18"/>
                      <w:szCs w:val="18"/>
                      <w:rFonts w:hAnsi="宋体"/>
                    </w:rPr>
                    <w:t>旋风除尘器+布袋除尘器处理后，由</w:t>
                  </w:r>
                  <w:r>
                    <w:rPr>
                      <w:color w:val="auto"/>
                      <w:sz w:val="18"/>
                      <w:szCs w:val="18"/>
                      <w:rFonts w:hAnsi="宋体" w:hint="eastAsia"/>
                    </w:rPr>
                    <w:t>15</w:t>
                  </w:r>
                  <w:r>
                    <w:rPr>
                      <w:color w:val="auto"/>
                      <w:sz w:val="18"/>
                      <w:szCs w:val="18"/>
                      <w:rFonts w:hAnsi="宋体"/>
                    </w:rPr>
                    <w:t>m高燃烧器烟囱</w:t>
                  </w:r>
                  <w:r>
                    <w:rPr>
                      <w:color w:val="auto"/>
                      <w:sz w:val="18"/>
                      <w:szCs w:val="18"/>
                      <w:rFonts w:hAnsi="宋体" w:hint="eastAsia"/>
                    </w:rPr>
                    <w:t>（DA001）</w:t>
                  </w:r>
                  <w:r>
                    <w:rPr>
                      <w:color w:val="auto"/>
                      <w:sz w:val="18"/>
                      <w:szCs w:val="18"/>
                      <w:rFonts w:hAnsi="宋体"/>
                    </w:rPr>
                    <w:t>排放，除尘效率为99%；上料废气经</w:t>
                  </w:r>
                  <w:r>
                    <w:rPr>
                      <w:color w:val="auto"/>
                      <w:sz w:val="18"/>
                      <w:szCs w:val="18"/>
                      <w:rFonts w:hAnsi="宋体" w:hint="eastAsia"/>
                    </w:rPr>
                    <w:t>集气装置</w:t>
                  </w:r>
                  <w:r>
                    <w:rPr>
                      <w:color w:val="auto"/>
                      <w:sz w:val="18"/>
                      <w:szCs w:val="18"/>
                      <w:rFonts w:hAnsi="宋体"/>
                    </w:rPr>
                    <w:t>（集气效率</w:t>
                  </w:r>
                  <w:r>
                    <w:rPr>
                      <w:color w:val="auto"/>
                      <w:sz w:val="18"/>
                      <w:szCs w:val="18"/>
                      <w:rFonts w:hAnsi="宋体" w:hint="eastAsia"/>
                    </w:rPr>
                    <w:t>90%</w:t>
                  </w:r>
                  <w:r>
                    <w:rPr>
                      <w:color w:val="auto"/>
                      <w:sz w:val="18"/>
                      <w:szCs w:val="18"/>
                      <w:rFonts w:hAnsi="宋体"/>
                    </w:rPr>
                    <w:t>），</w:t>
                  </w:r>
                  <w:r>
                    <w:rPr>
                      <w:color w:val="auto"/>
                      <w:sz w:val="18"/>
                      <w:szCs w:val="18"/>
                      <w:rFonts w:hAnsi="宋体" w:hint="eastAsia"/>
                    </w:rPr>
                    <w:t>通过</w:t>
                  </w:r>
                  <w:r>
                    <w:rPr>
                      <w:color w:val="auto"/>
                      <w:sz w:val="18"/>
                      <w:szCs w:val="18"/>
                      <w:rFonts w:hAnsi="宋体"/>
                    </w:rPr>
                    <w:t>管道连接至除尘系统（重力</w:t>
                  </w:r>
                  <w:r>
                    <w:rPr>
                      <w:color w:val="auto"/>
                      <w:sz w:val="18"/>
                      <w:szCs w:val="18"/>
                      <w:rFonts w:hAnsi="宋体" w:hint="eastAsia"/>
                    </w:rPr>
                    <w:t>+布袋</w:t>
                  </w:r>
                  <w:r>
                    <w:rPr>
                      <w:color w:val="auto"/>
                      <w:sz w:val="18"/>
                      <w:szCs w:val="18"/>
                      <w:rFonts w:hAnsi="宋体"/>
                    </w:rPr>
                    <w:t>），处理后经除尘系统烟囱（</w:t>
                  </w:r>
                  <w:r>
                    <w:rPr>
                      <w:color w:val="auto"/>
                      <w:sz w:val="18"/>
                      <w:szCs w:val="18"/>
                      <w:rFonts w:hAnsi="宋体" w:hint="eastAsia"/>
                    </w:rPr>
                    <w:t>DA001</w:t>
                  </w:r>
                  <w:r>
                    <w:rPr>
                      <w:color w:val="auto"/>
                      <w:sz w:val="18"/>
                      <w:szCs w:val="18"/>
                      <w:rFonts w:hAnsi="宋体"/>
                    </w:rPr>
                    <w:t>）排放，除尘效率为99%；</w:t>
                  </w:r>
                  <w:r>
                    <w:rPr>
                      <w:color w:val="auto"/>
                      <w:sz w:val="18"/>
                      <w:szCs w:val="18"/>
                      <w:rFonts w:hAnsi="宋体" w:hint="eastAsia"/>
                    </w:rPr>
                    <w:t>燃天然气燃烧器烟气，通过管道连接至15m高除尘系统烟囱（DA001）排放；</w:t>
                  </w:r>
                </w:p>
              </w:tc>
              <w:tc>
                <w:tcPr>
                  <w:tcW w:w="318" w:type="pct"/>
                  <w:gridSpan w:val="3"/>
                  <w:vAlign w:val="center"/>
                </w:tcPr>
                <w:p w14:paraId="03DAEEF9">
                  <w:pPr>
                    <w:jc w:val="center"/>
                    <w:contextualSpacing/>
                    <w:rPr>
                      <w:color w:val="auto"/>
                      <w:spacing w:val="-6"/>
                      <w:sz w:val="18"/>
                      <w:szCs w:val="18"/>
                    </w:rPr>
                  </w:pPr>
                  <w:r>
                    <w:rPr>
                      <w:color w:val="auto"/>
                      <w:spacing w:val="-6"/>
                      <w:sz w:val="18"/>
                      <w:szCs w:val="18"/>
                    </w:rPr>
                    <w:t>/</w:t>
                  </w:r>
                </w:p>
              </w:tc>
              <w:tc>
                <w:tcPr>
                  <w:tcW w:w="356" w:type="pct"/>
                  <w:gridSpan w:val="4"/>
                  <w:vMerge w:val="restart"/>
                  <w:vAlign w:val="center"/>
                </w:tcPr>
                <w:p w14:paraId="72920BAC">
                  <w:pPr>
                    <w:jc w:val="center"/>
                    <w:contextualSpacing/>
                    <w:rPr>
                      <w:color w:val="auto"/>
                      <w:sz w:val="18"/>
                      <w:szCs w:val="18"/>
                    </w:rPr>
                  </w:pPr>
                </w:p>
                <w:p w14:paraId="48FF73A1">
                  <w:pPr>
                    <w:jc w:val="center"/>
                    <w:contextualSpacing/>
                    <w:rPr>
                      <w:color w:val="auto"/>
                      <w:sz w:val="18"/>
                      <w:szCs w:val="18"/>
                    </w:rPr>
                  </w:pPr>
                </w:p>
                <w:p w14:paraId="0F2B417F">
                  <w:pPr>
                    <w:jc w:val="center"/>
                    <w:contextualSpacing/>
                    <w:rPr>
                      <w:color w:val="auto"/>
                      <w:sz w:val="18"/>
                      <w:szCs w:val="18"/>
                    </w:rPr>
                  </w:pPr>
                  <w:r>
                    <w:rPr>
                      <w:color w:val="auto"/>
                      <w:sz w:val="18"/>
                      <w:szCs w:val="18"/>
                      <w:rFonts w:hint="eastAsia"/>
                    </w:rPr>
                    <w:t xml:space="preserve">39000                                                                                                                                                                                                                                                                                                                                                                                                                                                                                                                                                                                                                       </w:t>
                  </w:r>
                </w:p>
              </w:tc>
              <w:tc>
                <w:tcPr>
                  <w:tcW w:w="503" w:type="pct"/>
                  <w:gridSpan w:val="3"/>
                  <w:vAlign w:val="center"/>
                </w:tcPr>
                <w:p w14:paraId="1D410D49">
                  <w:pPr>
                    <w:jc w:val="center"/>
                    <w:contextualSpacing/>
                    <w:rPr>
                      <w:color w:val="auto"/>
                      <w:sz w:val="18"/>
                      <w:szCs w:val="18"/>
                    </w:rPr>
                  </w:pPr>
                  <w:r>
                    <w:rPr>
                      <w:color w:val="auto"/>
                      <w:sz w:val="18"/>
                      <w:szCs w:val="18"/>
                      <w:rFonts w:hint="eastAsia"/>
                    </w:rPr>
                    <w:t>0.3</w:t>
                  </w:r>
                  <w:r>
                    <w:rPr>
                      <w:color w:val="auto"/>
                      <w:sz w:val="18"/>
                      <w:lang w:val="en-US" w:eastAsia="zh-CN"/>
                      <w:szCs w:val="18"/>
                      <w:rFonts w:hint="eastAsia"/>
                    </w:rPr>
                    <w:t>4</w:t>
                  </w:r>
                </w:p>
              </w:tc>
              <w:tc>
                <w:tcPr>
                  <w:tcW w:w="430" w:type="pct"/>
                  <w:gridSpan w:val="2"/>
                  <w:vAlign w:val="center"/>
                </w:tcPr>
                <w:p w14:paraId="24D452D3">
                  <w:pPr>
                    <w:jc w:val="center"/>
                    <w:contextualSpacing/>
                    <w:rPr>
                      <w:color w:val="auto"/>
                      <w:sz w:val="18"/>
                      <w:szCs w:val="18"/>
                    </w:rPr>
                  </w:pPr>
                  <w:r>
                    <w:rPr>
                      <w:color w:val="auto"/>
                      <w:sz w:val="18"/>
                      <w:szCs w:val="18"/>
                      <w:rFonts w:hint="eastAsia"/>
                    </w:rPr>
                    <w:t>0.005</w:t>
                  </w:r>
                </w:p>
              </w:tc>
              <w:tc>
                <w:tcPr>
                  <w:tcW w:w="237" w:type="pct"/>
                  <w:gridSpan w:val="4"/>
                  <w:vMerge w:val="restart"/>
                  <w:vAlign w:val="center"/>
                  <w:shd w:val="clear" w:color="auto" w:fill="auto"/>
                </w:tcPr>
                <w:p w14:paraId="62481D9F">
                  <w:pPr>
                    <w:jc w:val="center"/>
                    <w:contextualSpacing/>
                    <w:rPr>
                      <w:color w:val="auto"/>
                      <w:sz w:val="18"/>
                      <w:szCs w:val="18"/>
                    </w:rPr>
                  </w:pPr>
                  <w:r>
                    <w:rPr>
                      <w:color w:val="auto"/>
                      <w:sz w:val="18"/>
                      <w:szCs w:val="18"/>
                      <w:rFonts w:hint="eastAsia"/>
                    </w:rPr>
                    <w:t>2</w:t>
                  </w:r>
                  <w:r>
                    <w:rPr>
                      <w:color w:val="auto"/>
                      <w:sz w:val="18"/>
                      <w:lang w:val="en-US" w:eastAsia="zh-CN"/>
                      <w:szCs w:val="18"/>
                      <w:rFonts w:hint="eastAsia"/>
                    </w:rPr>
                    <w:t>4</w:t>
                  </w:r>
                  <w:r>
                    <w:rPr>
                      <w:color w:val="auto"/>
                      <w:sz w:val="18"/>
                      <w:szCs w:val="18"/>
                      <w:rFonts w:hint="eastAsia"/>
                    </w:rPr>
                    <w:t>00</w:t>
                  </w:r>
                </w:p>
              </w:tc>
            </w:tr>
            <w:tr w14:paraId="3B8A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5311441D">
                  <w:pPr>
                    <w:jc w:val="center"/>
                    <w:contextualSpacing/>
                    <w:ind w:firstLine="420"/>
                    <w:rPr>
                      <w:color w:val="auto"/>
                      <w:sz w:val="18"/>
                      <w:szCs w:val="18"/>
                    </w:rPr>
                  </w:pPr>
                </w:p>
              </w:tc>
              <w:tc>
                <w:tcPr>
                  <w:tcW w:w="161" w:type="pct"/>
                  <w:gridSpan w:val="3"/>
                  <w:vMerge w:val="continue"/>
                  <w:vAlign w:val="center"/>
                </w:tcPr>
                <w:p w14:paraId="3D475B15">
                  <w:pPr>
                    <w:jc w:val="center"/>
                    <w:contextualSpacing/>
                    <w:rPr>
                      <w:color w:val="auto"/>
                      <w:spacing w:val="-14"/>
                      <w:sz w:val="18"/>
                      <w:szCs w:val="18"/>
                    </w:rPr>
                  </w:pPr>
                </w:p>
              </w:tc>
              <w:tc>
                <w:tcPr>
                  <w:tcW w:w="481" w:type="pct"/>
                  <w:gridSpan w:val="3"/>
                  <w:vMerge w:val="continue"/>
                  <w:vAlign w:val="center"/>
                  <w:shd w:val="clear" w:color="auto" w:fill="auto"/>
                </w:tcPr>
                <w:p w14:paraId="645B0D4B">
                  <w:pPr>
                    <w:jc w:val="center"/>
                    <w:contextualSpacing/>
                    <w:rPr>
                      <w:color w:val="auto"/>
                      <w:sz w:val="18"/>
                      <w:szCs w:val="18"/>
                    </w:rPr>
                  </w:pPr>
                </w:p>
              </w:tc>
              <w:tc>
                <w:tcPr>
                  <w:tcW w:w="237" w:type="pct"/>
                  <w:gridSpan w:val="3"/>
                  <w:vAlign w:val="center"/>
                  <w:shd w:val="clear" w:color="auto" w:fill="auto"/>
                </w:tcPr>
                <w:p w14:paraId="7F747E5F">
                  <w:pPr>
                    <w:jc w:val="center"/>
                    <w:rPr>
                      <w:color w:val="auto"/>
                      <w:sz w:val="18"/>
                      <w:szCs w:val="18"/>
                    </w:rPr>
                  </w:pPr>
                  <w:r>
                    <w:rPr>
                      <w:color w:val="auto"/>
                      <w:spacing w:val="-22"/>
                      <w:sz w:val="18"/>
                      <w:szCs w:val="18"/>
                    </w:rPr>
                    <w:t>NO</w:t>
                  </w:r>
                  <w:r>
                    <w:rPr>
                      <w:vertAlign w:val="subscript"/>
                      <w:color w:val="auto"/>
                      <w:spacing w:val="-22"/>
                      <w:sz w:val="18"/>
                      <w:szCs w:val="18"/>
                    </w:rPr>
                    <w:t>X</w:t>
                  </w:r>
                </w:p>
              </w:tc>
              <w:tc>
                <w:tcPr>
                  <w:tcW w:w="344" w:type="pct"/>
                  <w:gridSpan w:val="3"/>
                  <w:vMerge w:val="continue"/>
                  <w:vAlign w:val="center"/>
                  <w:shd w:val="clear" w:color="auto" w:fill="FFFFFF"/>
                </w:tcPr>
                <w:p w14:paraId="71B78087">
                  <w:pPr>
                    <w:jc w:val="center"/>
                    <w:contextualSpacing/>
                    <w:shd w:val="clear" w:color="auto" w:fill="FFFFFF"/>
                    <w:rPr>
                      <w:color w:val="auto"/>
                      <w:sz w:val="18"/>
                      <w:szCs w:val="18"/>
                    </w:rPr>
                  </w:pPr>
                </w:p>
              </w:tc>
              <w:tc>
                <w:tcPr>
                  <w:tcW w:w="404" w:type="pct"/>
                  <w:gridSpan w:val="3"/>
                  <w:vAlign w:val="center"/>
                </w:tcPr>
                <w:p w14:paraId="717874EB">
                  <w:pPr>
                    <w:jc w:val="center"/>
                    <w:contextualSpacing/>
                    <w:rPr>
                      <w:color w:val="auto"/>
                      <w:sz w:val="18"/>
                      <w:szCs w:val="18"/>
                    </w:rPr>
                  </w:pPr>
                  <w:r>
                    <w:rPr>
                      <w:color w:val="auto"/>
                      <w:sz w:val="18"/>
                      <w:szCs w:val="18"/>
                      <w:rFonts w:hint="eastAsia"/>
                    </w:rPr>
                    <w:t>80.00</w:t>
                  </w:r>
                </w:p>
              </w:tc>
              <w:tc>
                <w:tcPr>
                  <w:tcW w:w="419" w:type="pct"/>
                  <w:gridSpan w:val="2"/>
                  <w:vAlign w:val="center"/>
                </w:tcPr>
                <w:p w14:paraId="7934B7BB">
                  <w:pPr>
                    <w:jc w:val="center"/>
                    <w:contextualSpacing/>
                    <w:rPr>
                      <w:color w:val="auto"/>
                      <w:sz w:val="18"/>
                      <w:szCs w:val="18"/>
                    </w:rPr>
                  </w:pPr>
                  <w:r>
                    <w:rPr>
                      <w:color w:val="auto"/>
                      <w:sz w:val="18"/>
                      <w:szCs w:val="18"/>
                      <w:rFonts w:hint="eastAsia"/>
                    </w:rPr>
                    <w:t>1.12</w:t>
                  </w:r>
                </w:p>
              </w:tc>
              <w:tc>
                <w:tcPr>
                  <w:tcW w:w="908" w:type="pct"/>
                  <w:gridSpan w:val="3"/>
                  <w:vMerge w:val="continue"/>
                  <w:vAlign w:val="center"/>
                </w:tcPr>
                <w:p w14:paraId="00284C70">
                  <w:pPr>
                    <w:jc w:val="center"/>
                    <w:contextualSpacing/>
                    <w:rPr>
                      <w:color w:val="auto"/>
                      <w:spacing w:val="-6"/>
                      <w:sz w:val="18"/>
                      <w:szCs w:val="18"/>
                    </w:rPr>
                  </w:pPr>
                </w:p>
              </w:tc>
              <w:tc>
                <w:tcPr>
                  <w:tcW w:w="318" w:type="pct"/>
                  <w:gridSpan w:val="3"/>
                  <w:vAlign w:val="center"/>
                </w:tcPr>
                <w:p w14:paraId="1A3A883C">
                  <w:pPr>
                    <w:jc w:val="center"/>
                    <w:contextualSpacing/>
                    <w:rPr>
                      <w:color w:val="auto"/>
                      <w:spacing w:val="-6"/>
                      <w:sz w:val="18"/>
                      <w:szCs w:val="18"/>
                    </w:rPr>
                  </w:pPr>
                  <w:r>
                    <w:rPr>
                      <w:color w:val="auto"/>
                      <w:spacing w:val="-6"/>
                      <w:sz w:val="18"/>
                      <w:szCs w:val="18"/>
                    </w:rPr>
                    <w:t>/</w:t>
                  </w:r>
                </w:p>
              </w:tc>
              <w:tc>
                <w:tcPr>
                  <w:tcW w:w="356" w:type="pct"/>
                  <w:gridSpan w:val="4"/>
                  <w:vMerge w:val="continue"/>
                  <w:vAlign w:val="center"/>
                </w:tcPr>
                <w:p w14:paraId="2A9241F6">
                  <w:pPr>
                    <w:jc w:val="center"/>
                    <w:contextualSpacing/>
                    <w:rPr>
                      <w:color w:val="auto"/>
                      <w:sz w:val="18"/>
                      <w:szCs w:val="18"/>
                    </w:rPr>
                  </w:pPr>
                </w:p>
              </w:tc>
              <w:tc>
                <w:tcPr>
                  <w:tcW w:w="503" w:type="pct"/>
                  <w:gridSpan w:val="3"/>
                  <w:vAlign w:val="center"/>
                </w:tcPr>
                <w:p w14:paraId="00FE0D88">
                  <w:pPr>
                    <w:jc w:val="center"/>
                    <w:contextualSpacing/>
                    <w:rPr>
                      <w:color w:val="auto"/>
                      <w:sz w:val="18"/>
                      <w:szCs w:val="18"/>
                    </w:rPr>
                  </w:pPr>
                  <w:r>
                    <w:rPr>
                      <w:color w:val="auto"/>
                      <w:sz w:val="18"/>
                      <w:szCs w:val="18"/>
                      <w:rFonts w:hint="eastAsia"/>
                    </w:rPr>
                    <w:t>80.00</w:t>
                  </w:r>
                </w:p>
              </w:tc>
              <w:tc>
                <w:tcPr>
                  <w:tcW w:w="430" w:type="pct"/>
                  <w:gridSpan w:val="2"/>
                  <w:vAlign w:val="center"/>
                </w:tcPr>
                <w:p w14:paraId="6BD7928C">
                  <w:pPr>
                    <w:jc w:val="center"/>
                    <w:contextualSpacing/>
                    <w:rPr>
                      <w:color w:val="auto"/>
                      <w:sz w:val="18"/>
                      <w:szCs w:val="18"/>
                    </w:rPr>
                  </w:pPr>
                  <w:r>
                    <w:rPr>
                      <w:color w:val="auto"/>
                      <w:sz w:val="18"/>
                      <w:szCs w:val="18"/>
                      <w:rFonts w:hint="eastAsia"/>
                    </w:rPr>
                    <w:t>1.12</w:t>
                  </w:r>
                </w:p>
              </w:tc>
              <w:tc>
                <w:tcPr>
                  <w:tcW w:w="237" w:type="pct"/>
                  <w:gridSpan w:val="4"/>
                  <w:vMerge w:val="continue"/>
                  <w:vAlign w:val="center"/>
                  <w:shd w:val="clear" w:color="auto" w:fill="auto"/>
                </w:tcPr>
                <w:p w14:paraId="34BC891E">
                  <w:pPr>
                    <w:jc w:val="center"/>
                    <w:contextualSpacing/>
                    <w:rPr>
                      <w:color w:val="auto"/>
                      <w:sz w:val="18"/>
                      <w:szCs w:val="18"/>
                    </w:rPr>
                  </w:pPr>
                </w:p>
              </w:tc>
            </w:tr>
            <w:tr w14:paraId="6F2D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38587386">
                  <w:pPr>
                    <w:jc w:val="center"/>
                    <w:contextualSpacing/>
                    <w:ind w:firstLine="420"/>
                    <w:rPr>
                      <w:color w:val="auto"/>
                      <w:sz w:val="18"/>
                      <w:szCs w:val="18"/>
                    </w:rPr>
                  </w:pPr>
                </w:p>
              </w:tc>
              <w:tc>
                <w:tcPr>
                  <w:tcW w:w="161" w:type="pct"/>
                  <w:gridSpan w:val="3"/>
                  <w:vMerge w:val="continue"/>
                  <w:vAlign w:val="center"/>
                </w:tcPr>
                <w:p w14:paraId="46A0D70E">
                  <w:pPr>
                    <w:jc w:val="center"/>
                    <w:contextualSpacing/>
                    <w:rPr>
                      <w:color w:val="auto"/>
                      <w:spacing w:val="-14"/>
                      <w:sz w:val="18"/>
                      <w:szCs w:val="18"/>
                    </w:rPr>
                  </w:pPr>
                </w:p>
              </w:tc>
              <w:tc>
                <w:tcPr>
                  <w:tcW w:w="481" w:type="pct"/>
                  <w:gridSpan w:val="3"/>
                  <w:vMerge w:val="continue"/>
                  <w:vAlign w:val="center"/>
                  <w:shd w:val="clear" w:color="auto" w:fill="auto"/>
                </w:tcPr>
                <w:p w14:paraId="2FA0190D">
                  <w:pPr>
                    <w:jc w:val="center"/>
                    <w:contextualSpacing/>
                    <w:rPr>
                      <w:color w:val="auto"/>
                      <w:sz w:val="18"/>
                      <w:szCs w:val="18"/>
                    </w:rPr>
                  </w:pPr>
                </w:p>
              </w:tc>
              <w:tc>
                <w:tcPr>
                  <w:tcW w:w="237" w:type="pct"/>
                  <w:gridSpan w:val="3"/>
                  <w:vAlign w:val="center"/>
                  <w:shd w:val="clear" w:color="auto" w:fill="auto"/>
                </w:tcPr>
                <w:p w14:paraId="2F4401D6">
                  <w:pPr>
                    <w:jc w:val="center"/>
                    <w:rPr>
                      <w:color w:val="auto"/>
                      <w:spacing w:val="-22"/>
                      <w:sz w:val="18"/>
                      <w:szCs w:val="18"/>
                    </w:rPr>
                  </w:pPr>
                  <w:r>
                    <w:rPr>
                      <w:color w:val="auto"/>
                      <w:sz w:val="18"/>
                      <w:szCs w:val="18"/>
                      <w:rFonts w:hAnsi="宋体"/>
                    </w:rPr>
                    <w:t>颗粒物</w:t>
                  </w:r>
                </w:p>
              </w:tc>
              <w:tc>
                <w:tcPr>
                  <w:tcW w:w="344" w:type="pct"/>
                  <w:gridSpan w:val="3"/>
                  <w:vMerge w:val="continue"/>
                  <w:vAlign w:val="center"/>
                  <w:shd w:val="clear" w:color="auto" w:fill="FFFFFF"/>
                </w:tcPr>
                <w:p w14:paraId="169C4741">
                  <w:pPr>
                    <w:jc w:val="center"/>
                    <w:contextualSpacing/>
                    <w:shd w:val="clear" w:color="auto" w:fill="FFFFFF"/>
                    <w:rPr>
                      <w:color w:val="auto"/>
                      <w:sz w:val="18"/>
                      <w:szCs w:val="18"/>
                    </w:rPr>
                  </w:pPr>
                </w:p>
              </w:tc>
              <w:tc>
                <w:tcPr>
                  <w:tcW w:w="404" w:type="pct"/>
                  <w:gridSpan w:val="3"/>
                  <w:vAlign w:val="center"/>
                </w:tcPr>
                <w:p w14:paraId="32525191">
                  <w:pPr>
                    <w:jc w:val="center"/>
                    <w:contextualSpacing/>
                    <w:rPr>
                      <w:color w:val="auto"/>
                      <w:sz w:val="18"/>
                      <w:lang w:val="en-US" w:eastAsia="zh-CN"/>
                      <w:szCs w:val="18"/>
                      <w:rFonts w:eastAsia="宋体" w:hint="default"/>
                    </w:rPr>
                  </w:pPr>
                  <w:r>
                    <w:rPr>
                      <w:color w:val="auto"/>
                      <w:sz w:val="18"/>
                      <w:lang w:val="en-US" w:eastAsia="zh-CN"/>
                      <w:szCs w:val="18"/>
                      <w:rFonts w:hint="eastAsia"/>
                    </w:rPr>
                    <w:t>16</w:t>
                  </w:r>
                </w:p>
              </w:tc>
              <w:tc>
                <w:tcPr>
                  <w:tcW w:w="419" w:type="pct"/>
                  <w:gridSpan w:val="2"/>
                  <w:vAlign w:val="center"/>
                </w:tcPr>
                <w:p w14:paraId="4EFEBA10">
                  <w:pPr>
                    <w:jc w:val="center"/>
                    <w:contextualSpacing/>
                    <w:rPr>
                      <w:color w:val="auto"/>
                      <w:sz w:val="18"/>
                      <w:lang w:val="en-US" w:eastAsia="zh-CN"/>
                      <w:szCs w:val="18"/>
                      <w:rFonts w:eastAsia="宋体" w:hint="eastAsia"/>
                    </w:rPr>
                  </w:pPr>
                  <w:r>
                    <w:rPr>
                      <w:color w:val="auto"/>
                      <w:sz w:val="18"/>
                      <w:szCs w:val="18"/>
                      <w:rFonts w:hint="eastAsia"/>
                    </w:rPr>
                    <w:t>0.22</w:t>
                  </w:r>
                  <w:r>
                    <w:rPr>
                      <w:color w:val="auto"/>
                      <w:sz w:val="18"/>
                      <w:lang w:val="en-US" w:eastAsia="zh-CN"/>
                      <w:szCs w:val="18"/>
                      <w:rFonts w:hint="eastAsia"/>
                    </w:rPr>
                    <w:t>4</w:t>
                  </w:r>
                </w:p>
              </w:tc>
              <w:tc>
                <w:tcPr>
                  <w:tcW w:w="908" w:type="pct"/>
                  <w:gridSpan w:val="3"/>
                  <w:vMerge w:val="continue"/>
                  <w:vAlign w:val="center"/>
                </w:tcPr>
                <w:p w14:paraId="7461AAFE">
                  <w:pPr>
                    <w:jc w:val="center"/>
                    <w:contextualSpacing/>
                    <w:rPr>
                      <w:color w:val="auto"/>
                      <w:spacing w:val="-6"/>
                      <w:sz w:val="18"/>
                      <w:szCs w:val="18"/>
                    </w:rPr>
                  </w:pPr>
                </w:p>
              </w:tc>
              <w:tc>
                <w:tcPr>
                  <w:tcW w:w="318" w:type="pct"/>
                  <w:gridSpan w:val="3"/>
                  <w:vMerge w:val="restart"/>
                  <w:vAlign w:val="center"/>
                </w:tcPr>
                <w:p w14:paraId="55D4EB7B">
                  <w:pPr>
                    <w:jc w:val="center"/>
                    <w:contextualSpacing/>
                    <w:rPr>
                      <w:color w:val="auto"/>
                      <w:spacing w:val="-6"/>
                      <w:sz w:val="18"/>
                      <w:szCs w:val="18"/>
                    </w:rPr>
                  </w:pPr>
                  <w:r>
                    <w:rPr>
                      <w:color w:val="auto"/>
                      <w:spacing w:val="-6"/>
                      <w:sz w:val="18"/>
                      <w:szCs w:val="18"/>
                    </w:rPr>
                    <w:t>99%</w:t>
                  </w:r>
                </w:p>
              </w:tc>
              <w:tc>
                <w:tcPr>
                  <w:tcW w:w="356" w:type="pct"/>
                  <w:gridSpan w:val="4"/>
                  <w:vMerge w:val="continue"/>
                  <w:vAlign w:val="center"/>
                </w:tcPr>
                <w:p w14:paraId="7E52AD48">
                  <w:pPr>
                    <w:jc w:val="center"/>
                    <w:contextualSpacing/>
                    <w:rPr>
                      <w:color w:val="auto"/>
                      <w:sz w:val="18"/>
                      <w:szCs w:val="18"/>
                    </w:rPr>
                  </w:pPr>
                </w:p>
              </w:tc>
              <w:tc>
                <w:tcPr>
                  <w:tcW w:w="503" w:type="pct"/>
                  <w:gridSpan w:val="3"/>
                  <w:vMerge w:val="restart"/>
                  <w:vAlign w:val="center"/>
                </w:tcPr>
                <w:p w14:paraId="1C73A818">
                  <w:pPr>
                    <w:jc w:val="center"/>
                    <w:contextualSpacing/>
                    <w:rPr>
                      <w:color w:val="auto"/>
                      <w:sz w:val="18"/>
                      <w:lang w:val="en-US" w:eastAsia="zh-CN"/>
                      <w:szCs w:val="18"/>
                      <w:rFonts w:eastAsia="宋体" w:hint="default"/>
                    </w:rPr>
                  </w:pPr>
                  <w:r>
                    <w:rPr>
                      <w:color w:val="auto"/>
                      <w:sz w:val="18"/>
                      <w:lang w:val="en-US" w:eastAsia="zh-CN"/>
                      <w:szCs w:val="18"/>
                      <w:rFonts w:hint="eastAsia"/>
                    </w:rPr>
                    <w:t>43.07</w:t>
                  </w:r>
                </w:p>
              </w:tc>
              <w:tc>
                <w:tcPr>
                  <w:tcW w:w="430" w:type="pct"/>
                  <w:gridSpan w:val="2"/>
                  <w:vMerge w:val="restart"/>
                  <w:vAlign w:val="center"/>
                </w:tcPr>
                <w:p w14:paraId="60541A7C">
                  <w:pPr>
                    <w:jc w:val="center"/>
                    <w:contextualSpacing/>
                    <w:rPr>
                      <w:color w:val="auto"/>
                      <w:sz w:val="18"/>
                      <w:lang w:val="en-US" w:eastAsia="zh-CN"/>
                      <w:szCs w:val="18"/>
                      <w:rFonts w:eastAsia="宋体" w:hint="default"/>
                    </w:rPr>
                  </w:pPr>
                  <w:r>
                    <w:rPr>
                      <w:color w:val="auto"/>
                      <w:sz w:val="18"/>
                      <w:lang w:val="en-US" w:eastAsia="zh-CN"/>
                      <w:szCs w:val="18"/>
                      <w:rFonts w:hint="eastAsia"/>
                    </w:rPr>
                    <w:t>1.68</w:t>
                  </w:r>
                </w:p>
              </w:tc>
              <w:tc>
                <w:tcPr>
                  <w:tcW w:w="237" w:type="pct"/>
                  <w:gridSpan w:val="4"/>
                  <w:vMerge w:val="continue"/>
                  <w:vAlign w:val="center"/>
                  <w:shd w:val="clear" w:color="auto" w:fill="auto"/>
                </w:tcPr>
                <w:p w14:paraId="48F86324">
                  <w:pPr>
                    <w:jc w:val="center"/>
                    <w:contextualSpacing/>
                    <w:rPr>
                      <w:color w:val="auto"/>
                      <w:sz w:val="18"/>
                      <w:szCs w:val="18"/>
                    </w:rPr>
                  </w:pPr>
                </w:p>
              </w:tc>
            </w:tr>
            <w:tr w14:paraId="64E2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21882EF0">
                  <w:pPr>
                    <w:jc w:val="center"/>
                    <w:contextualSpacing/>
                    <w:ind w:firstLine="420"/>
                    <w:rPr>
                      <w:color w:val="auto"/>
                      <w:sz w:val="18"/>
                      <w:szCs w:val="18"/>
                    </w:rPr>
                  </w:pPr>
                </w:p>
              </w:tc>
              <w:tc>
                <w:tcPr>
                  <w:tcW w:w="161" w:type="pct"/>
                  <w:gridSpan w:val="3"/>
                  <w:vAlign w:val="center"/>
                </w:tcPr>
                <w:p w14:paraId="74EB253A">
                  <w:pPr>
                    <w:jc w:val="center"/>
                    <w:contextualSpacing/>
                    <w:rPr>
                      <w:color w:val="auto"/>
                      <w:spacing w:val="-14"/>
                      <w:sz w:val="18"/>
                      <w:szCs w:val="18"/>
                    </w:rPr>
                  </w:pPr>
                  <w:r>
                    <w:rPr>
                      <w:color w:val="auto"/>
                      <w:spacing w:val="-14"/>
                      <w:sz w:val="18"/>
                      <w:szCs w:val="18"/>
                      <w:rFonts w:hAnsi="宋体"/>
                    </w:rPr>
                    <w:t>干燥筒</w:t>
                  </w:r>
                </w:p>
              </w:tc>
              <w:tc>
                <w:tcPr>
                  <w:tcW w:w="481" w:type="pct"/>
                  <w:gridSpan w:val="3"/>
                  <w:vMerge w:val="continue"/>
                  <w:vAlign w:val="center"/>
                  <w:shd w:val="clear" w:color="auto" w:fill="auto"/>
                </w:tcPr>
                <w:p w14:paraId="780ED10E">
                  <w:pPr>
                    <w:jc w:val="center"/>
                    <w:contextualSpacing/>
                    <w:rPr>
                      <w:color w:val="auto"/>
                      <w:sz w:val="18"/>
                      <w:szCs w:val="18"/>
                    </w:rPr>
                  </w:pPr>
                </w:p>
              </w:tc>
              <w:tc>
                <w:tcPr>
                  <w:tcW w:w="237" w:type="pct"/>
                  <w:gridSpan w:val="3"/>
                  <w:vMerge w:val="restart"/>
                  <w:vAlign w:val="center"/>
                  <w:shd w:val="clear" w:color="auto" w:fill="auto"/>
                </w:tcPr>
                <w:p w14:paraId="165B59A8">
                  <w:pPr>
                    <w:jc w:val="center"/>
                    <w:contextualSpacing/>
                    <w:rPr>
                      <w:color w:val="auto"/>
                      <w:sz w:val="18"/>
                      <w:szCs w:val="18"/>
                    </w:rPr>
                  </w:pPr>
                  <w:r>
                    <w:rPr>
                      <w:color w:val="auto"/>
                      <w:sz w:val="18"/>
                      <w:szCs w:val="18"/>
                      <w:rFonts w:hAnsi="宋体"/>
                    </w:rPr>
                    <w:t>颗粒物</w:t>
                  </w:r>
                </w:p>
              </w:tc>
              <w:tc>
                <w:tcPr>
                  <w:tcW w:w="344" w:type="pct"/>
                  <w:gridSpan w:val="3"/>
                  <w:vAlign w:val="center"/>
                  <w:shd w:val="clear" w:color="auto" w:fill="FFFFFF"/>
                </w:tcPr>
                <w:p w14:paraId="0EEA932F">
                  <w:pPr>
                    <w:jc w:val="center"/>
                    <w:contextualSpacing/>
                    <w:shd w:val="clear" w:color="auto" w:fill="FFFFFF"/>
                    <w:rPr>
                      <w:color w:val="auto"/>
                      <w:sz w:val="18"/>
                      <w:szCs w:val="18"/>
                    </w:rPr>
                  </w:pPr>
                  <w:r>
                    <w:rPr>
                      <w:color w:val="auto"/>
                      <w:sz w:val="18"/>
                      <w:szCs w:val="18"/>
                      <w:rFonts w:hint="eastAsia"/>
                    </w:rPr>
                    <w:t>6</w:t>
                  </w:r>
                  <w:r>
                    <w:rPr>
                      <w:color w:val="auto"/>
                      <w:sz w:val="18"/>
                      <w:szCs w:val="18"/>
                    </w:rPr>
                    <w:t>000</w:t>
                  </w:r>
                </w:p>
              </w:tc>
              <w:tc>
                <w:tcPr>
                  <w:tcW w:w="404" w:type="pct"/>
                  <w:gridSpan w:val="3"/>
                  <w:vAlign w:val="center"/>
                </w:tcPr>
                <w:p w14:paraId="15E54D5C">
                  <w:pPr>
                    <w:jc w:val="center"/>
                    <w:contextualSpacing/>
                    <w:rPr>
                      <w:color w:val="auto"/>
                      <w:sz w:val="18"/>
                      <w:lang w:val="en-US" w:eastAsia="zh-CN"/>
                      <w:szCs w:val="18"/>
                      <w:rFonts w:eastAsia="宋体" w:hint="default"/>
                    </w:rPr>
                  </w:pPr>
                  <w:r>
                    <w:rPr>
                      <w:color w:val="auto"/>
                      <w:sz w:val="18"/>
                      <w:lang w:val="en-US" w:eastAsia="zh-CN"/>
                      <w:szCs w:val="18"/>
                      <w:rFonts w:hint="eastAsia"/>
                    </w:rPr>
                    <w:t>5300</w:t>
                  </w:r>
                </w:p>
              </w:tc>
              <w:tc>
                <w:tcPr>
                  <w:tcW w:w="419" w:type="pct"/>
                  <w:gridSpan w:val="2"/>
                  <w:vAlign w:val="center"/>
                </w:tcPr>
                <w:p w14:paraId="6520EA76">
                  <w:pPr>
                    <w:jc w:val="center"/>
                    <w:contextualSpacing/>
                    <w:rPr>
                      <w:color w:val="auto"/>
                      <w:sz w:val="18"/>
                      <w:lang w:val="en-US" w:eastAsia="zh-CN"/>
                      <w:szCs w:val="18"/>
                      <w:rFonts w:eastAsia="宋体" w:hint="default"/>
                    </w:rPr>
                  </w:pPr>
                  <w:r>
                    <w:rPr>
                      <w:color w:val="auto"/>
                      <w:sz w:val="18"/>
                      <w:lang w:val="en-US" w:eastAsia="zh-CN"/>
                      <w:szCs w:val="18"/>
                      <w:rFonts w:hint="eastAsia"/>
                    </w:rPr>
                    <w:t>31.8</w:t>
                  </w:r>
                </w:p>
              </w:tc>
              <w:tc>
                <w:tcPr>
                  <w:tcW w:w="908" w:type="pct"/>
                  <w:gridSpan w:val="3"/>
                  <w:vMerge w:val="continue"/>
                  <w:vAlign w:val="center"/>
                </w:tcPr>
                <w:p w14:paraId="164663DE">
                  <w:pPr>
                    <w:jc w:val="center"/>
                    <w:contextualSpacing/>
                    <w:rPr>
                      <w:color w:val="auto"/>
                      <w:spacing w:val="-6"/>
                      <w:sz w:val="18"/>
                      <w:szCs w:val="18"/>
                    </w:rPr>
                  </w:pPr>
                </w:p>
              </w:tc>
              <w:tc>
                <w:tcPr>
                  <w:tcW w:w="318" w:type="pct"/>
                  <w:gridSpan w:val="3"/>
                  <w:vMerge w:val="continue"/>
                  <w:vAlign w:val="center"/>
                </w:tcPr>
                <w:p w14:paraId="614EC2BF">
                  <w:pPr>
                    <w:jc w:val="center"/>
                    <w:contextualSpacing/>
                    <w:rPr>
                      <w:color w:val="auto"/>
                      <w:spacing w:val="-6"/>
                      <w:sz w:val="18"/>
                      <w:szCs w:val="18"/>
                    </w:rPr>
                  </w:pPr>
                </w:p>
              </w:tc>
              <w:tc>
                <w:tcPr>
                  <w:tcW w:w="356" w:type="pct"/>
                  <w:gridSpan w:val="4"/>
                  <w:vMerge w:val="continue"/>
                  <w:vAlign w:val="center"/>
                </w:tcPr>
                <w:p w14:paraId="4D7043A5">
                  <w:pPr>
                    <w:jc w:val="center"/>
                    <w:contextualSpacing/>
                    <w:rPr>
                      <w:color w:val="auto"/>
                      <w:sz w:val="18"/>
                      <w:szCs w:val="18"/>
                    </w:rPr>
                  </w:pPr>
                </w:p>
              </w:tc>
              <w:tc>
                <w:tcPr>
                  <w:tcW w:w="503" w:type="pct"/>
                  <w:gridSpan w:val="3"/>
                  <w:vMerge w:val="continue"/>
                  <w:vAlign w:val="center"/>
                </w:tcPr>
                <w:p w14:paraId="3ED28C52">
                  <w:pPr>
                    <w:jc w:val="center"/>
                    <w:contextualSpacing/>
                    <w:rPr>
                      <w:color w:val="auto"/>
                      <w:sz w:val="18"/>
                      <w:szCs w:val="18"/>
                    </w:rPr>
                  </w:pPr>
                </w:p>
              </w:tc>
              <w:tc>
                <w:tcPr>
                  <w:tcW w:w="430" w:type="pct"/>
                  <w:gridSpan w:val="2"/>
                  <w:vMerge w:val="continue"/>
                  <w:vAlign w:val="center"/>
                </w:tcPr>
                <w:p w14:paraId="3E00B55C">
                  <w:pPr>
                    <w:jc w:val="center"/>
                    <w:contextualSpacing/>
                    <w:rPr>
                      <w:color w:val="auto"/>
                      <w:sz w:val="18"/>
                      <w:szCs w:val="18"/>
                    </w:rPr>
                  </w:pPr>
                </w:p>
              </w:tc>
              <w:tc>
                <w:tcPr>
                  <w:tcW w:w="237" w:type="pct"/>
                  <w:gridSpan w:val="4"/>
                  <w:vMerge w:val="continue"/>
                  <w:vAlign w:val="center"/>
                  <w:shd w:val="clear" w:color="auto" w:fill="auto"/>
                </w:tcPr>
                <w:p w14:paraId="3DC5F6CC">
                  <w:pPr>
                    <w:jc w:val="center"/>
                    <w:contextualSpacing/>
                    <w:rPr>
                      <w:color w:val="auto"/>
                      <w:sz w:val="18"/>
                      <w:szCs w:val="18"/>
                    </w:rPr>
                  </w:pPr>
                </w:p>
              </w:tc>
            </w:tr>
            <w:tr w14:paraId="15F8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398B1B4A">
                  <w:pPr>
                    <w:jc w:val="center"/>
                    <w:contextualSpacing/>
                    <w:ind w:firstLine="420"/>
                    <w:rPr>
                      <w:color w:val="auto"/>
                      <w:sz w:val="18"/>
                      <w:szCs w:val="18"/>
                    </w:rPr>
                  </w:pPr>
                </w:p>
              </w:tc>
              <w:tc>
                <w:tcPr>
                  <w:tcW w:w="161" w:type="pct"/>
                  <w:gridSpan w:val="3"/>
                  <w:vAlign w:val="center"/>
                </w:tcPr>
                <w:p w14:paraId="1D496FAC">
                  <w:pPr>
                    <w:jc w:val="center"/>
                    <w:contextualSpacing/>
                    <w:rPr>
                      <w:color w:val="auto"/>
                      <w:spacing w:val="-14"/>
                      <w:sz w:val="18"/>
                      <w:szCs w:val="18"/>
                    </w:rPr>
                  </w:pPr>
                  <w:r>
                    <w:rPr>
                      <w:color w:val="auto"/>
                      <w:spacing w:val="-14"/>
                      <w:sz w:val="18"/>
                      <w:szCs w:val="18"/>
                      <w:rFonts w:hAnsi="宋体"/>
                    </w:rPr>
                    <w:t>筛分机</w:t>
                  </w:r>
                </w:p>
              </w:tc>
              <w:tc>
                <w:tcPr>
                  <w:tcW w:w="481" w:type="pct"/>
                  <w:gridSpan w:val="3"/>
                  <w:vMerge w:val="continue"/>
                  <w:vAlign w:val="center"/>
                  <w:shd w:val="clear" w:color="auto" w:fill="auto"/>
                </w:tcPr>
                <w:p w14:paraId="5B560E3F">
                  <w:pPr>
                    <w:jc w:val="center"/>
                    <w:contextualSpacing/>
                    <w:rPr>
                      <w:color w:val="auto"/>
                      <w:sz w:val="18"/>
                      <w:szCs w:val="18"/>
                    </w:rPr>
                  </w:pPr>
                </w:p>
              </w:tc>
              <w:tc>
                <w:tcPr>
                  <w:tcW w:w="237" w:type="pct"/>
                  <w:gridSpan w:val="3"/>
                  <w:vMerge w:val="continue"/>
                  <w:vAlign w:val="center"/>
                  <w:shd w:val="clear" w:color="auto" w:fill="auto"/>
                </w:tcPr>
                <w:p w14:paraId="3F3E1C48">
                  <w:pPr>
                    <w:jc w:val="center"/>
                    <w:contextualSpacing/>
                    <w:rPr>
                      <w:color w:val="auto"/>
                      <w:sz w:val="18"/>
                      <w:szCs w:val="18"/>
                    </w:rPr>
                  </w:pPr>
                </w:p>
              </w:tc>
              <w:tc>
                <w:tcPr>
                  <w:tcW w:w="344" w:type="pct"/>
                  <w:gridSpan w:val="3"/>
                  <w:vAlign w:val="center"/>
                  <w:shd w:val="clear" w:color="auto" w:fill="FFFFFF"/>
                </w:tcPr>
                <w:p w14:paraId="23AA0C6E">
                  <w:pPr>
                    <w:jc w:val="center"/>
                    <w:contextualSpacing/>
                    <w:shd w:val="clear" w:color="auto" w:fill="FFFFFF"/>
                    <w:rPr>
                      <w:color w:val="auto"/>
                      <w:sz w:val="18"/>
                      <w:szCs w:val="18"/>
                    </w:rPr>
                  </w:pPr>
                  <w:r>
                    <w:rPr>
                      <w:color w:val="auto"/>
                      <w:sz w:val="18"/>
                      <w:szCs w:val="18"/>
                      <w:rFonts w:hint="eastAsia"/>
                    </w:rPr>
                    <w:t>10</w:t>
                  </w:r>
                  <w:r>
                    <w:rPr>
                      <w:color w:val="auto"/>
                      <w:sz w:val="18"/>
                      <w:szCs w:val="18"/>
                    </w:rPr>
                    <w:t>000</w:t>
                  </w:r>
                </w:p>
              </w:tc>
              <w:tc>
                <w:tcPr>
                  <w:tcW w:w="404" w:type="pct"/>
                  <w:gridSpan w:val="3"/>
                  <w:vAlign w:val="center"/>
                </w:tcPr>
                <w:p w14:paraId="7A0A3713">
                  <w:pPr>
                    <w:jc w:val="center"/>
                    <w:contextualSpacing/>
                    <w:rPr>
                      <w:color w:val="auto"/>
                      <w:sz w:val="18"/>
                      <w:lang w:val="en-US" w:eastAsia="zh-CN"/>
                      <w:szCs w:val="18"/>
                      <w:rFonts w:eastAsia="宋体" w:hint="default"/>
                    </w:rPr>
                  </w:pPr>
                  <w:r>
                    <w:rPr>
                      <w:color w:val="auto"/>
                      <w:sz w:val="18"/>
                      <w:lang w:val="en-US" w:eastAsia="zh-CN"/>
                      <w:szCs w:val="18"/>
                      <w:rFonts w:hint="eastAsia"/>
                    </w:rPr>
                    <w:t>12700</w:t>
                  </w:r>
                </w:p>
              </w:tc>
              <w:tc>
                <w:tcPr>
                  <w:tcW w:w="419" w:type="pct"/>
                  <w:gridSpan w:val="2"/>
                  <w:vAlign w:val="center"/>
                </w:tcPr>
                <w:p w14:paraId="2A3F6006">
                  <w:pPr>
                    <w:jc w:val="center"/>
                    <w:contextualSpacing/>
                    <w:rPr>
                      <w:color w:val="auto"/>
                      <w:sz w:val="18"/>
                      <w:lang w:val="en-US" w:eastAsia="zh-CN"/>
                      <w:szCs w:val="18"/>
                      <w:rFonts w:eastAsia="宋体" w:hint="default"/>
                    </w:rPr>
                  </w:pPr>
                  <w:r>
                    <w:rPr>
                      <w:color w:val="auto"/>
                      <w:sz w:val="18"/>
                      <w:lang w:val="en-US" w:eastAsia="zh-CN"/>
                      <w:szCs w:val="18"/>
                      <w:rFonts w:hint="eastAsia"/>
                    </w:rPr>
                    <w:t>127</w:t>
                  </w:r>
                </w:p>
              </w:tc>
              <w:tc>
                <w:tcPr>
                  <w:tcW w:w="908" w:type="pct"/>
                  <w:gridSpan w:val="3"/>
                  <w:vMerge w:val="continue"/>
                  <w:vAlign w:val="center"/>
                </w:tcPr>
                <w:p w14:paraId="1F0C0A87">
                  <w:pPr>
                    <w:jc w:val="center"/>
                    <w:contextualSpacing/>
                    <w:rPr>
                      <w:color w:val="auto"/>
                      <w:spacing w:val="-6"/>
                      <w:sz w:val="18"/>
                      <w:szCs w:val="18"/>
                    </w:rPr>
                  </w:pPr>
                </w:p>
              </w:tc>
              <w:tc>
                <w:tcPr>
                  <w:tcW w:w="318" w:type="pct"/>
                  <w:gridSpan w:val="3"/>
                  <w:vMerge w:val="continue"/>
                  <w:vAlign w:val="center"/>
                </w:tcPr>
                <w:p w14:paraId="50A41994">
                  <w:pPr>
                    <w:jc w:val="center"/>
                    <w:contextualSpacing/>
                    <w:rPr>
                      <w:color w:val="auto"/>
                      <w:spacing w:val="-6"/>
                      <w:sz w:val="18"/>
                      <w:szCs w:val="18"/>
                    </w:rPr>
                  </w:pPr>
                </w:p>
              </w:tc>
              <w:tc>
                <w:tcPr>
                  <w:tcW w:w="356" w:type="pct"/>
                  <w:gridSpan w:val="4"/>
                  <w:vMerge w:val="continue"/>
                  <w:vAlign w:val="center"/>
                </w:tcPr>
                <w:p w14:paraId="12859D68">
                  <w:pPr>
                    <w:jc w:val="center"/>
                    <w:contextualSpacing/>
                    <w:rPr>
                      <w:color w:val="auto"/>
                      <w:sz w:val="18"/>
                      <w:szCs w:val="18"/>
                    </w:rPr>
                  </w:pPr>
                </w:p>
              </w:tc>
              <w:tc>
                <w:tcPr>
                  <w:tcW w:w="503" w:type="pct"/>
                  <w:gridSpan w:val="3"/>
                  <w:vMerge w:val="continue"/>
                  <w:vAlign w:val="center"/>
                </w:tcPr>
                <w:p w14:paraId="70BBBFC3">
                  <w:pPr>
                    <w:jc w:val="center"/>
                    <w:contextualSpacing/>
                    <w:rPr>
                      <w:color w:val="auto"/>
                      <w:sz w:val="18"/>
                      <w:szCs w:val="18"/>
                    </w:rPr>
                  </w:pPr>
                </w:p>
              </w:tc>
              <w:tc>
                <w:tcPr>
                  <w:tcW w:w="430" w:type="pct"/>
                  <w:gridSpan w:val="2"/>
                  <w:vMerge w:val="continue"/>
                  <w:vAlign w:val="center"/>
                </w:tcPr>
                <w:p w14:paraId="2C1F6786">
                  <w:pPr>
                    <w:jc w:val="center"/>
                    <w:contextualSpacing/>
                    <w:rPr>
                      <w:color w:val="auto"/>
                      <w:sz w:val="18"/>
                      <w:szCs w:val="18"/>
                    </w:rPr>
                  </w:pPr>
                </w:p>
              </w:tc>
              <w:tc>
                <w:tcPr>
                  <w:tcW w:w="237" w:type="pct"/>
                  <w:gridSpan w:val="4"/>
                  <w:vMerge w:val="continue"/>
                  <w:vAlign w:val="center"/>
                  <w:shd w:val="clear" w:color="auto" w:fill="auto"/>
                </w:tcPr>
                <w:p w14:paraId="6187BFAF">
                  <w:pPr>
                    <w:jc w:val="center"/>
                    <w:contextualSpacing/>
                    <w:rPr>
                      <w:color w:val="auto"/>
                      <w:sz w:val="18"/>
                      <w:szCs w:val="18"/>
                    </w:rPr>
                  </w:pPr>
                </w:p>
              </w:tc>
            </w:tr>
            <w:tr w14:paraId="50DA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4973A828">
                  <w:pPr>
                    <w:jc w:val="center"/>
                    <w:contextualSpacing/>
                    <w:ind w:firstLine="420"/>
                    <w:rPr>
                      <w:color w:val="auto"/>
                      <w:sz w:val="18"/>
                      <w:szCs w:val="18"/>
                    </w:rPr>
                  </w:pPr>
                </w:p>
              </w:tc>
              <w:tc>
                <w:tcPr>
                  <w:tcW w:w="161" w:type="pct"/>
                  <w:gridSpan w:val="3"/>
                  <w:vAlign w:val="center"/>
                </w:tcPr>
                <w:p w14:paraId="531B283B">
                  <w:pPr>
                    <w:jc w:val="center"/>
                    <w:contextualSpacing/>
                    <w:rPr>
                      <w:color w:val="auto"/>
                      <w:spacing w:val="-14"/>
                      <w:sz w:val="18"/>
                      <w:szCs w:val="18"/>
                      <w:rFonts w:hAnsi="宋体"/>
                    </w:rPr>
                  </w:pPr>
                  <w:r>
                    <w:rPr>
                      <w:color w:val="auto"/>
                      <w:spacing w:val="-14"/>
                      <w:sz w:val="18"/>
                      <w:szCs w:val="18"/>
                      <w:rFonts w:hAnsi="宋体"/>
                    </w:rPr>
                    <w:t>热</w:t>
                  </w:r>
                  <w:r>
                    <w:rPr>
                      <w:color w:val="auto"/>
                      <w:spacing w:val="-14"/>
                      <w:sz w:val="18"/>
                      <w:szCs w:val="18"/>
                      <w:rFonts w:hAnsi="宋体" w:hint="eastAsia"/>
                    </w:rPr>
                    <w:t>料</w:t>
                  </w:r>
                  <w:r>
                    <w:rPr>
                      <w:color w:val="auto"/>
                      <w:spacing w:val="-14"/>
                      <w:sz w:val="18"/>
                      <w:szCs w:val="18"/>
                      <w:rFonts w:hAnsi="宋体"/>
                    </w:rPr>
                    <w:t>仓</w:t>
                  </w:r>
                </w:p>
              </w:tc>
              <w:tc>
                <w:tcPr>
                  <w:tcW w:w="481" w:type="pct"/>
                  <w:gridSpan w:val="3"/>
                  <w:vMerge w:val="continue"/>
                  <w:vAlign w:val="center"/>
                  <w:shd w:val="clear" w:color="auto" w:fill="auto"/>
                </w:tcPr>
                <w:p w14:paraId="3EC61E83">
                  <w:pPr>
                    <w:jc w:val="center"/>
                    <w:contextualSpacing/>
                    <w:rPr>
                      <w:color w:val="auto"/>
                      <w:sz w:val="18"/>
                      <w:szCs w:val="18"/>
                    </w:rPr>
                  </w:pPr>
                </w:p>
              </w:tc>
              <w:tc>
                <w:tcPr>
                  <w:tcW w:w="237" w:type="pct"/>
                  <w:gridSpan w:val="3"/>
                  <w:vMerge w:val="continue"/>
                  <w:vAlign w:val="center"/>
                  <w:shd w:val="clear" w:color="auto" w:fill="auto"/>
                </w:tcPr>
                <w:p w14:paraId="55EC8E81">
                  <w:pPr>
                    <w:jc w:val="center"/>
                    <w:contextualSpacing/>
                    <w:rPr>
                      <w:color w:val="auto"/>
                      <w:sz w:val="18"/>
                      <w:szCs w:val="18"/>
                    </w:rPr>
                  </w:pPr>
                </w:p>
              </w:tc>
              <w:tc>
                <w:tcPr>
                  <w:tcW w:w="344" w:type="pct"/>
                  <w:gridSpan w:val="3"/>
                  <w:vAlign w:val="center"/>
                  <w:shd w:val="clear" w:color="auto" w:fill="FFFFFF"/>
                </w:tcPr>
                <w:p w14:paraId="32541D79">
                  <w:pPr>
                    <w:jc w:val="center"/>
                    <w:contextualSpacing/>
                    <w:shd w:val="clear" w:color="auto" w:fill="FFFFFF"/>
                    <w:rPr>
                      <w:color w:val="auto"/>
                      <w:sz w:val="18"/>
                      <w:szCs w:val="18"/>
                    </w:rPr>
                  </w:pPr>
                  <w:r>
                    <w:rPr>
                      <w:color w:val="auto"/>
                      <w:sz w:val="18"/>
                      <w:szCs w:val="18"/>
                      <w:rFonts w:hint="eastAsia"/>
                    </w:rPr>
                    <w:t>3</w:t>
                  </w:r>
                  <w:r>
                    <w:rPr>
                      <w:color w:val="auto"/>
                      <w:sz w:val="18"/>
                      <w:szCs w:val="18"/>
                    </w:rPr>
                    <w:t>000</w:t>
                  </w:r>
                </w:p>
              </w:tc>
              <w:tc>
                <w:tcPr>
                  <w:tcW w:w="404" w:type="pct"/>
                  <w:gridSpan w:val="3"/>
                  <w:vAlign w:val="center"/>
                </w:tcPr>
                <w:p w14:paraId="1CDEBB1C">
                  <w:pPr>
                    <w:jc w:val="center"/>
                    <w:contextualSpacing/>
                    <w:rPr>
                      <w:color w:val="auto"/>
                      <w:sz w:val="18"/>
                      <w:lang w:val="en-US" w:eastAsia="zh-CN"/>
                      <w:szCs w:val="18"/>
                      <w:rFonts w:eastAsia="宋体" w:hint="default"/>
                    </w:rPr>
                  </w:pPr>
                  <w:r>
                    <w:rPr>
                      <w:color w:val="auto"/>
                      <w:sz w:val="18"/>
                      <w:lang w:val="en-US" w:eastAsia="zh-CN"/>
                      <w:szCs w:val="18"/>
                      <w:rFonts w:hint="eastAsia"/>
                    </w:rPr>
                    <w:t>2116.6</w:t>
                  </w:r>
                </w:p>
              </w:tc>
              <w:tc>
                <w:tcPr>
                  <w:tcW w:w="419" w:type="pct"/>
                  <w:gridSpan w:val="2"/>
                  <w:vAlign w:val="center"/>
                </w:tcPr>
                <w:p w14:paraId="53F81A1C">
                  <w:pPr>
                    <w:jc w:val="center"/>
                    <w:contextualSpacing/>
                    <w:rPr>
                      <w:color w:val="auto"/>
                      <w:sz w:val="18"/>
                      <w:lang w:val="en-US" w:eastAsia="zh-CN"/>
                      <w:szCs w:val="18"/>
                      <w:rFonts w:eastAsia="宋体" w:hint="default"/>
                    </w:rPr>
                  </w:pPr>
                  <w:r>
                    <w:rPr>
                      <w:color w:val="auto"/>
                      <w:sz w:val="18"/>
                      <w:lang w:val="en-US" w:eastAsia="zh-CN"/>
                      <w:szCs w:val="18"/>
                      <w:rFonts w:hint="eastAsia"/>
                    </w:rPr>
                    <w:t>6.35</w:t>
                  </w:r>
                </w:p>
              </w:tc>
              <w:tc>
                <w:tcPr>
                  <w:tcW w:w="908" w:type="pct"/>
                  <w:gridSpan w:val="3"/>
                  <w:vMerge w:val="continue"/>
                  <w:vAlign w:val="center"/>
                </w:tcPr>
                <w:p w14:paraId="4FE0A356">
                  <w:pPr>
                    <w:jc w:val="center"/>
                    <w:contextualSpacing/>
                    <w:rPr>
                      <w:color w:val="auto"/>
                      <w:spacing w:val="-6"/>
                      <w:sz w:val="18"/>
                      <w:szCs w:val="18"/>
                    </w:rPr>
                  </w:pPr>
                </w:p>
              </w:tc>
              <w:tc>
                <w:tcPr>
                  <w:tcW w:w="318" w:type="pct"/>
                  <w:gridSpan w:val="3"/>
                  <w:vMerge w:val="continue"/>
                  <w:vAlign w:val="center"/>
                </w:tcPr>
                <w:p w14:paraId="3012F8D2">
                  <w:pPr>
                    <w:jc w:val="center"/>
                    <w:contextualSpacing/>
                    <w:rPr>
                      <w:color w:val="auto"/>
                      <w:spacing w:val="-6"/>
                      <w:sz w:val="18"/>
                      <w:szCs w:val="18"/>
                    </w:rPr>
                  </w:pPr>
                </w:p>
              </w:tc>
              <w:tc>
                <w:tcPr>
                  <w:tcW w:w="356" w:type="pct"/>
                  <w:gridSpan w:val="4"/>
                  <w:vMerge w:val="continue"/>
                  <w:vAlign w:val="center"/>
                </w:tcPr>
                <w:p w14:paraId="57945F24">
                  <w:pPr>
                    <w:jc w:val="center"/>
                    <w:contextualSpacing/>
                    <w:rPr>
                      <w:color w:val="auto"/>
                      <w:sz w:val="18"/>
                      <w:szCs w:val="18"/>
                    </w:rPr>
                  </w:pPr>
                </w:p>
              </w:tc>
              <w:tc>
                <w:tcPr>
                  <w:tcW w:w="503" w:type="pct"/>
                  <w:gridSpan w:val="3"/>
                  <w:vMerge w:val="continue"/>
                  <w:vAlign w:val="center"/>
                </w:tcPr>
                <w:p w14:paraId="0A9438EF">
                  <w:pPr>
                    <w:jc w:val="center"/>
                    <w:contextualSpacing/>
                    <w:rPr>
                      <w:color w:val="auto"/>
                      <w:sz w:val="18"/>
                      <w:szCs w:val="18"/>
                    </w:rPr>
                  </w:pPr>
                </w:p>
              </w:tc>
              <w:tc>
                <w:tcPr>
                  <w:tcW w:w="430" w:type="pct"/>
                  <w:gridSpan w:val="2"/>
                  <w:vMerge w:val="continue"/>
                  <w:vAlign w:val="center"/>
                </w:tcPr>
                <w:p w14:paraId="0B802F96">
                  <w:pPr>
                    <w:jc w:val="center"/>
                    <w:contextualSpacing/>
                    <w:rPr>
                      <w:color w:val="auto"/>
                      <w:sz w:val="18"/>
                      <w:szCs w:val="18"/>
                    </w:rPr>
                  </w:pPr>
                </w:p>
              </w:tc>
              <w:tc>
                <w:tcPr>
                  <w:tcW w:w="237" w:type="pct"/>
                  <w:gridSpan w:val="4"/>
                  <w:vMerge w:val="continue"/>
                  <w:vAlign w:val="center"/>
                  <w:shd w:val="clear" w:color="auto" w:fill="auto"/>
                </w:tcPr>
                <w:p w14:paraId="3015F3A3">
                  <w:pPr>
                    <w:jc w:val="center"/>
                    <w:contextualSpacing/>
                    <w:rPr>
                      <w:color w:val="auto"/>
                      <w:sz w:val="18"/>
                      <w:szCs w:val="18"/>
                    </w:rPr>
                  </w:pPr>
                </w:p>
              </w:tc>
            </w:tr>
            <w:tr w14:paraId="51FC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23ADF3BD">
                  <w:pPr>
                    <w:jc w:val="center"/>
                    <w:contextualSpacing/>
                    <w:ind w:firstLine="420"/>
                    <w:rPr>
                      <w:color w:val="auto"/>
                      <w:sz w:val="18"/>
                      <w:szCs w:val="18"/>
                    </w:rPr>
                  </w:pPr>
                </w:p>
              </w:tc>
              <w:tc>
                <w:tcPr>
                  <w:tcW w:w="161" w:type="pct"/>
                  <w:gridSpan w:val="3"/>
                  <w:vAlign w:val="center"/>
                </w:tcPr>
                <w:p w14:paraId="36296015">
                  <w:pPr>
                    <w:jc w:val="center"/>
                    <w:contextualSpacing/>
                    <w:rPr>
                      <w:color w:val="auto"/>
                      <w:spacing w:val="-14"/>
                      <w:sz w:val="18"/>
                      <w:szCs w:val="18"/>
                      <w:rFonts w:hAnsi="宋体"/>
                    </w:rPr>
                  </w:pPr>
                  <w:r>
                    <w:rPr>
                      <w:color w:val="auto"/>
                      <w:spacing w:val="-14"/>
                      <w:sz w:val="18"/>
                      <w:szCs w:val="18"/>
                      <w:rFonts w:hAnsi="宋体"/>
                    </w:rPr>
                    <w:t>上料仓</w:t>
                  </w:r>
                </w:p>
              </w:tc>
              <w:tc>
                <w:tcPr>
                  <w:tcW w:w="481" w:type="pct"/>
                  <w:gridSpan w:val="3"/>
                  <w:vMerge w:val="continue"/>
                  <w:vAlign w:val="center"/>
                  <w:shd w:val="clear" w:color="auto" w:fill="auto"/>
                </w:tcPr>
                <w:p w14:paraId="168515A8">
                  <w:pPr>
                    <w:jc w:val="center"/>
                    <w:contextualSpacing/>
                    <w:rPr>
                      <w:color w:val="auto"/>
                      <w:sz w:val="18"/>
                      <w:szCs w:val="18"/>
                    </w:rPr>
                  </w:pPr>
                </w:p>
              </w:tc>
              <w:tc>
                <w:tcPr>
                  <w:tcW w:w="237" w:type="pct"/>
                  <w:gridSpan w:val="3"/>
                  <w:vMerge w:val="continue"/>
                  <w:vAlign w:val="center"/>
                  <w:shd w:val="clear" w:color="auto" w:fill="auto"/>
                </w:tcPr>
                <w:p w14:paraId="762EF26B">
                  <w:pPr>
                    <w:jc w:val="center"/>
                    <w:contextualSpacing/>
                    <w:rPr>
                      <w:color w:val="auto"/>
                      <w:sz w:val="18"/>
                      <w:szCs w:val="18"/>
                    </w:rPr>
                  </w:pPr>
                </w:p>
              </w:tc>
              <w:tc>
                <w:tcPr>
                  <w:tcW w:w="344" w:type="pct"/>
                  <w:gridSpan w:val="3"/>
                  <w:vAlign w:val="center"/>
                  <w:shd w:val="clear" w:color="auto" w:fill="FFFFFF"/>
                </w:tcPr>
                <w:p w14:paraId="7A6D78A7">
                  <w:pPr>
                    <w:jc w:val="center"/>
                    <w:contextualSpacing/>
                    <w:shd w:val="clear" w:color="auto" w:fill="FFFFFF"/>
                    <w:rPr>
                      <w:color w:val="auto"/>
                      <w:sz w:val="18"/>
                      <w:szCs w:val="18"/>
                    </w:rPr>
                  </w:pPr>
                  <w:r>
                    <w:rPr>
                      <w:color w:val="auto"/>
                      <w:sz w:val="18"/>
                      <w:szCs w:val="18"/>
                      <w:rFonts w:hint="eastAsia"/>
                    </w:rPr>
                    <w:t>3</w:t>
                  </w:r>
                  <w:r>
                    <w:rPr>
                      <w:color w:val="auto"/>
                      <w:sz w:val="18"/>
                      <w:szCs w:val="18"/>
                    </w:rPr>
                    <w:t>000</w:t>
                  </w:r>
                </w:p>
              </w:tc>
              <w:tc>
                <w:tcPr>
                  <w:tcW w:w="404" w:type="pct"/>
                  <w:gridSpan w:val="3"/>
                  <w:vAlign w:val="center"/>
                </w:tcPr>
                <w:p w14:paraId="0960A889">
                  <w:pPr>
                    <w:jc w:val="center"/>
                    <w:contextualSpacing/>
                    <w:rPr>
                      <w:color w:val="auto"/>
                      <w:sz w:val="18"/>
                      <w:lang w:val="en-US" w:eastAsia="zh-CN"/>
                      <w:szCs w:val="18"/>
                      <w:rFonts w:eastAsia="宋体" w:hint="default"/>
                    </w:rPr>
                  </w:pPr>
                  <w:r>
                    <w:rPr>
                      <w:color w:val="auto"/>
                      <w:sz w:val="18"/>
                      <w:lang w:val="en-US" w:eastAsia="zh-CN"/>
                      <w:szCs w:val="18"/>
                      <w:rFonts w:hint="eastAsia"/>
                    </w:rPr>
                    <w:t>26.7</w:t>
                  </w:r>
                </w:p>
              </w:tc>
              <w:tc>
                <w:tcPr>
                  <w:tcW w:w="419" w:type="pct"/>
                  <w:gridSpan w:val="2"/>
                  <w:vAlign w:val="center"/>
                </w:tcPr>
                <w:p w14:paraId="19FE2326">
                  <w:pPr>
                    <w:jc w:val="center"/>
                    <w:contextualSpacing/>
                    <w:rPr>
                      <w:color w:val="auto"/>
                      <w:sz w:val="18"/>
                      <w:lang w:val="en-US" w:eastAsia="zh-CN"/>
                      <w:szCs w:val="18"/>
                      <w:rFonts w:eastAsia="宋体" w:hint="default"/>
                    </w:rPr>
                  </w:pPr>
                  <w:r>
                    <w:rPr>
                      <w:color w:val="auto"/>
                      <w:sz w:val="18"/>
                      <w:szCs w:val="18"/>
                      <w:rFonts w:hint="eastAsia"/>
                    </w:rPr>
                    <w:t>0.0</w:t>
                  </w:r>
                  <w:r>
                    <w:rPr>
                      <w:color w:val="auto"/>
                      <w:sz w:val="18"/>
                      <w:lang w:val="en-US" w:eastAsia="zh-CN"/>
                      <w:szCs w:val="18"/>
                      <w:rFonts w:hint="eastAsia"/>
                    </w:rPr>
                    <w:t>8</w:t>
                  </w:r>
                </w:p>
              </w:tc>
              <w:tc>
                <w:tcPr>
                  <w:tcW w:w="908" w:type="pct"/>
                  <w:gridSpan w:val="3"/>
                  <w:vMerge w:val="continue"/>
                  <w:vAlign w:val="center"/>
                </w:tcPr>
                <w:p w14:paraId="247A4EE5">
                  <w:pPr>
                    <w:jc w:val="center"/>
                    <w:contextualSpacing/>
                    <w:rPr>
                      <w:color w:val="auto"/>
                      <w:spacing w:val="-6"/>
                      <w:sz w:val="18"/>
                      <w:szCs w:val="18"/>
                    </w:rPr>
                  </w:pPr>
                </w:p>
              </w:tc>
              <w:tc>
                <w:tcPr>
                  <w:tcW w:w="318" w:type="pct"/>
                  <w:gridSpan w:val="3"/>
                  <w:vMerge w:val="continue"/>
                  <w:vAlign w:val="center"/>
                </w:tcPr>
                <w:p w14:paraId="73A3E6DC">
                  <w:pPr>
                    <w:jc w:val="center"/>
                    <w:contextualSpacing/>
                    <w:rPr>
                      <w:color w:val="auto"/>
                      <w:spacing w:val="-6"/>
                      <w:sz w:val="18"/>
                      <w:szCs w:val="18"/>
                    </w:rPr>
                  </w:pPr>
                </w:p>
              </w:tc>
              <w:tc>
                <w:tcPr>
                  <w:tcW w:w="356" w:type="pct"/>
                  <w:gridSpan w:val="4"/>
                  <w:vMerge w:val="continue"/>
                  <w:vAlign w:val="center"/>
                </w:tcPr>
                <w:p w14:paraId="4D3FC882">
                  <w:pPr>
                    <w:jc w:val="center"/>
                    <w:contextualSpacing/>
                    <w:rPr>
                      <w:color w:val="auto"/>
                      <w:sz w:val="18"/>
                      <w:szCs w:val="18"/>
                    </w:rPr>
                  </w:pPr>
                </w:p>
              </w:tc>
              <w:tc>
                <w:tcPr>
                  <w:tcW w:w="503" w:type="pct"/>
                  <w:gridSpan w:val="3"/>
                  <w:vMerge w:val="continue"/>
                  <w:vAlign w:val="center"/>
                </w:tcPr>
                <w:p w14:paraId="7473CEBE">
                  <w:pPr>
                    <w:jc w:val="center"/>
                    <w:contextualSpacing/>
                    <w:rPr>
                      <w:color w:val="auto"/>
                      <w:sz w:val="18"/>
                      <w:szCs w:val="18"/>
                    </w:rPr>
                  </w:pPr>
                </w:p>
              </w:tc>
              <w:tc>
                <w:tcPr>
                  <w:tcW w:w="430" w:type="pct"/>
                  <w:gridSpan w:val="2"/>
                  <w:vMerge w:val="continue"/>
                  <w:vAlign w:val="center"/>
                </w:tcPr>
                <w:p w14:paraId="530FDEFC">
                  <w:pPr>
                    <w:jc w:val="center"/>
                    <w:contextualSpacing/>
                    <w:rPr>
                      <w:color w:val="auto"/>
                      <w:sz w:val="18"/>
                      <w:szCs w:val="18"/>
                    </w:rPr>
                  </w:pPr>
                </w:p>
              </w:tc>
              <w:tc>
                <w:tcPr>
                  <w:tcW w:w="237" w:type="pct"/>
                  <w:gridSpan w:val="4"/>
                  <w:vMerge w:val="continue"/>
                  <w:vAlign w:val="center"/>
                  <w:shd w:val="clear" w:color="auto" w:fill="auto"/>
                </w:tcPr>
                <w:p w14:paraId="60B42280">
                  <w:pPr>
                    <w:jc w:val="center"/>
                    <w:contextualSpacing/>
                    <w:rPr>
                      <w:color w:val="auto"/>
                      <w:sz w:val="18"/>
                      <w:szCs w:val="18"/>
                    </w:rPr>
                  </w:pPr>
                </w:p>
              </w:tc>
            </w:tr>
            <w:tr w14:paraId="5447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After w:val="3"/>
                <w:wAfter w:w="4" w:type="pct"/>
                <w:trHeight w:val="397" w:hRule="atLeast"/>
                <w:jc w:val="center"/>
              </w:trPr>
              <w:tc>
                <w:tcPr>
                  <w:tcW w:w="192" w:type="pct"/>
                  <w:gridSpan w:val="2"/>
                  <w:vMerge w:val="continue"/>
                  <w:vAlign w:val="center"/>
                </w:tcPr>
                <w:p w14:paraId="68684869">
                  <w:pPr>
                    <w:jc w:val="center"/>
                    <w:contextualSpacing/>
                    <w:ind w:firstLine="420"/>
                    <w:rPr>
                      <w:color w:val="auto"/>
                      <w:sz w:val="18"/>
                      <w:szCs w:val="18"/>
                    </w:rPr>
                  </w:pPr>
                </w:p>
              </w:tc>
              <w:tc>
                <w:tcPr>
                  <w:tcW w:w="161" w:type="pct"/>
                  <w:gridSpan w:val="3"/>
                  <w:vAlign w:val="center"/>
                </w:tcPr>
                <w:p w14:paraId="59A243BF">
                  <w:pPr>
                    <w:jc w:val="center"/>
                    <w:contextualSpacing/>
                    <w:rPr>
                      <w:color w:val="auto"/>
                      <w:spacing w:val="-14"/>
                      <w:sz w:val="18"/>
                      <w:szCs w:val="18"/>
                      <w:rFonts w:hAnsi="宋体"/>
                    </w:rPr>
                  </w:pPr>
                  <w:r>
                    <w:rPr>
                      <w:color w:val="auto"/>
                      <w:sz w:val="18"/>
                      <w:szCs w:val="18"/>
                    </w:rPr>
                    <w:t>矿粉筒仓</w:t>
                  </w:r>
                </w:p>
              </w:tc>
              <w:tc>
                <w:tcPr>
                  <w:tcW w:w="481" w:type="pct"/>
                  <w:gridSpan w:val="3"/>
                  <w:vMerge w:val="continue"/>
                  <w:vAlign w:val="center"/>
                  <w:shd w:val="clear" w:color="auto" w:fill="auto"/>
                </w:tcPr>
                <w:p w14:paraId="2795F502">
                  <w:pPr>
                    <w:jc w:val="center"/>
                    <w:contextualSpacing/>
                    <w:rPr>
                      <w:color w:val="auto"/>
                      <w:sz w:val="18"/>
                      <w:szCs w:val="18"/>
                    </w:rPr>
                  </w:pPr>
                </w:p>
              </w:tc>
              <w:tc>
                <w:tcPr>
                  <w:tcW w:w="237" w:type="pct"/>
                  <w:gridSpan w:val="3"/>
                  <w:vMerge w:val="continue"/>
                  <w:vAlign w:val="center"/>
                  <w:shd w:val="clear" w:color="auto" w:fill="auto"/>
                </w:tcPr>
                <w:p w14:paraId="5750CF64">
                  <w:pPr>
                    <w:jc w:val="center"/>
                    <w:contextualSpacing/>
                    <w:rPr>
                      <w:color w:val="auto"/>
                      <w:sz w:val="18"/>
                      <w:szCs w:val="18"/>
                    </w:rPr>
                  </w:pPr>
                </w:p>
              </w:tc>
              <w:tc>
                <w:tcPr>
                  <w:tcW w:w="344" w:type="pct"/>
                  <w:gridSpan w:val="3"/>
                  <w:vAlign w:val="center"/>
                  <w:shd w:val="clear" w:color="auto" w:fill="FFFFFF"/>
                </w:tcPr>
                <w:p w14:paraId="74113F10">
                  <w:pPr>
                    <w:jc w:val="center"/>
                    <w:contextualSpacing/>
                    <w:shd w:val="clear" w:color="auto" w:fill="FFFFFF"/>
                    <w:rPr>
                      <w:color w:val="auto"/>
                      <w:sz w:val="18"/>
                      <w:szCs w:val="18"/>
                    </w:rPr>
                  </w:pPr>
                  <w:r>
                    <w:rPr>
                      <w:color w:val="auto"/>
                      <w:sz w:val="18"/>
                      <w:szCs w:val="18"/>
                      <w:rFonts w:hint="eastAsia"/>
                    </w:rPr>
                    <w:t>3000</w:t>
                  </w:r>
                </w:p>
              </w:tc>
              <w:tc>
                <w:tcPr>
                  <w:tcW w:w="404" w:type="pct"/>
                  <w:gridSpan w:val="3"/>
                  <w:vAlign w:val="center"/>
                </w:tcPr>
                <w:p w14:paraId="5FAC0AF3">
                  <w:pPr>
                    <w:jc w:val="center"/>
                    <w:contextualSpacing/>
                    <w:rPr>
                      <w:color w:val="auto"/>
                      <w:sz w:val="18"/>
                      <w:lang w:val="en-US" w:eastAsia="zh-CN"/>
                      <w:szCs w:val="18"/>
                      <w:rFonts w:eastAsia="宋体" w:hint="default"/>
                    </w:rPr>
                  </w:pPr>
                  <w:r>
                    <w:rPr>
                      <w:color w:val="auto"/>
                      <w:sz w:val="18"/>
                      <w:lang w:val="en-US" w:eastAsia="zh-CN"/>
                      <w:szCs w:val="18"/>
                      <w:rFonts w:hint="eastAsia"/>
                    </w:rPr>
                    <w:t>1000</w:t>
                  </w:r>
                </w:p>
              </w:tc>
              <w:tc>
                <w:tcPr>
                  <w:tcW w:w="419" w:type="pct"/>
                  <w:gridSpan w:val="2"/>
                  <w:vAlign w:val="center"/>
                </w:tcPr>
                <w:p w14:paraId="64F52316">
                  <w:pPr>
                    <w:jc w:val="center"/>
                    <w:contextualSpacing/>
                    <w:rPr>
                      <w:color w:val="auto"/>
                      <w:sz w:val="18"/>
                      <w:szCs w:val="18"/>
                    </w:rPr>
                  </w:pPr>
                  <w:r>
                    <w:rPr>
                      <w:color w:val="auto"/>
                      <w:sz w:val="18"/>
                      <w:lang w:val="en-US" w:eastAsia="zh-CN"/>
                      <w:szCs w:val="18"/>
                      <w:rFonts w:hint="eastAsia"/>
                    </w:rPr>
                    <w:t>3</w:t>
                  </w:r>
                  <w:r>
                    <w:rPr>
                      <w:color w:val="auto"/>
                      <w:sz w:val="18"/>
                      <w:szCs w:val="18"/>
                      <w:rFonts w:hint="eastAsia"/>
                    </w:rPr>
                    <w:t>.0</w:t>
                  </w:r>
                </w:p>
              </w:tc>
              <w:tc>
                <w:tcPr>
                  <w:tcW w:w="908" w:type="pct"/>
                  <w:gridSpan w:val="3"/>
                  <w:vMerge w:val="continue"/>
                  <w:vAlign w:val="center"/>
                </w:tcPr>
                <w:p w14:paraId="083257B8">
                  <w:pPr>
                    <w:jc w:val="center"/>
                    <w:contextualSpacing/>
                    <w:rPr>
                      <w:color w:val="auto"/>
                      <w:spacing w:val="-6"/>
                      <w:sz w:val="18"/>
                      <w:szCs w:val="18"/>
                    </w:rPr>
                  </w:pPr>
                </w:p>
              </w:tc>
              <w:tc>
                <w:tcPr>
                  <w:tcW w:w="318" w:type="pct"/>
                  <w:gridSpan w:val="3"/>
                  <w:vMerge w:val="continue"/>
                  <w:vAlign w:val="center"/>
                </w:tcPr>
                <w:p w14:paraId="54206E9E">
                  <w:pPr>
                    <w:jc w:val="center"/>
                    <w:contextualSpacing/>
                    <w:rPr>
                      <w:color w:val="auto"/>
                      <w:spacing w:val="-6"/>
                      <w:sz w:val="18"/>
                      <w:szCs w:val="18"/>
                    </w:rPr>
                  </w:pPr>
                </w:p>
              </w:tc>
              <w:tc>
                <w:tcPr>
                  <w:tcW w:w="356" w:type="pct"/>
                  <w:gridSpan w:val="4"/>
                  <w:vMerge w:val="continue"/>
                  <w:vAlign w:val="center"/>
                </w:tcPr>
                <w:p w14:paraId="336B2CC1">
                  <w:pPr>
                    <w:jc w:val="center"/>
                    <w:contextualSpacing/>
                    <w:rPr>
                      <w:color w:val="auto"/>
                      <w:sz w:val="18"/>
                      <w:szCs w:val="18"/>
                    </w:rPr>
                  </w:pPr>
                </w:p>
              </w:tc>
              <w:tc>
                <w:tcPr>
                  <w:tcW w:w="503" w:type="pct"/>
                  <w:gridSpan w:val="3"/>
                  <w:vMerge w:val="continue"/>
                  <w:vAlign w:val="center"/>
                </w:tcPr>
                <w:p w14:paraId="5D35C448">
                  <w:pPr>
                    <w:jc w:val="center"/>
                    <w:contextualSpacing/>
                    <w:rPr>
                      <w:color w:val="auto"/>
                      <w:sz w:val="18"/>
                      <w:szCs w:val="18"/>
                    </w:rPr>
                  </w:pPr>
                </w:p>
              </w:tc>
              <w:tc>
                <w:tcPr>
                  <w:tcW w:w="430" w:type="pct"/>
                  <w:gridSpan w:val="2"/>
                  <w:vMerge w:val="continue"/>
                  <w:vAlign w:val="center"/>
                </w:tcPr>
                <w:p w14:paraId="5033B64C">
                  <w:pPr>
                    <w:jc w:val="center"/>
                    <w:contextualSpacing/>
                    <w:rPr>
                      <w:color w:val="auto"/>
                      <w:sz w:val="18"/>
                      <w:szCs w:val="18"/>
                    </w:rPr>
                  </w:pPr>
                </w:p>
              </w:tc>
              <w:tc>
                <w:tcPr>
                  <w:tcW w:w="237" w:type="pct"/>
                  <w:gridSpan w:val="4"/>
                  <w:vAlign w:val="center"/>
                  <w:shd w:val="clear" w:color="auto" w:fill="auto"/>
                </w:tcPr>
                <w:p w14:paraId="430D11CF">
                  <w:pPr>
                    <w:jc w:val="center"/>
                    <w:contextualSpacing/>
                    <w:rPr>
                      <w:color w:val="auto"/>
                      <w:sz w:val="18"/>
                      <w:szCs w:val="18"/>
                    </w:rPr>
                  </w:pPr>
                  <w:r>
                    <w:rPr>
                      <w:color w:val="auto"/>
                      <w:sz w:val="18"/>
                      <w:szCs w:val="18"/>
                      <w:rFonts w:hint="eastAsia"/>
                    </w:rPr>
                    <w:t>600</w:t>
                  </w:r>
                </w:p>
              </w:tc>
            </w:tr>
            <w:tr w14:paraId="4158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restart"/>
                  <w:vAlign w:val="center"/>
                </w:tcPr>
                <w:p w14:paraId="788A0A97">
                  <w:pPr>
                    <w:jc w:val="center"/>
                    <w:contextualSpacing/>
                    <w:rPr>
                      <w:color w:val="auto"/>
                      <w:sz w:val="18"/>
                      <w:szCs w:val="18"/>
                    </w:rPr>
                  </w:pPr>
                  <w:r>
                    <w:rPr>
                      <w:color w:val="auto"/>
                      <w:sz w:val="18"/>
                      <w:szCs w:val="18"/>
                      <w:rFonts w:hAnsi="宋体"/>
                    </w:rPr>
                    <w:t>沥青搅拌站</w:t>
                  </w:r>
                </w:p>
              </w:tc>
              <w:tc>
                <w:tcPr>
                  <w:tcW w:w="161" w:type="pct"/>
                  <w:gridSpan w:val="3"/>
                  <w:vMerge w:val="restart"/>
                  <w:vAlign w:val="center"/>
                </w:tcPr>
                <w:p w14:paraId="351D824F">
                  <w:pPr>
                    <w:jc w:val="center"/>
                    <w:contextualSpacing/>
                    <w:rPr>
                      <w:color w:val="auto"/>
                      <w:sz w:val="18"/>
                      <w:szCs w:val="18"/>
                    </w:rPr>
                  </w:pPr>
                  <w:r>
                    <w:rPr>
                      <w:color w:val="auto"/>
                      <w:sz w:val="18"/>
                      <w:szCs w:val="18"/>
                      <w:rFonts w:hAnsi="宋体"/>
                    </w:rPr>
                    <w:t>导热油炉</w:t>
                  </w:r>
                </w:p>
              </w:tc>
              <w:tc>
                <w:tcPr>
                  <w:tcW w:w="481" w:type="pct"/>
                  <w:gridSpan w:val="3"/>
                  <w:vMerge w:val="restart"/>
                  <w:vAlign w:val="center"/>
                  <w:shd w:val="clear" w:color="auto" w:fill="auto"/>
                </w:tcPr>
                <w:p w14:paraId="5D663436">
                  <w:pPr>
                    <w:jc w:val="center"/>
                    <w:contextualSpacing/>
                    <w:rPr>
                      <w:color w:val="auto"/>
                      <w:sz w:val="18"/>
                      <w:szCs w:val="18"/>
                    </w:rPr>
                  </w:pPr>
                  <w:r>
                    <w:rPr>
                      <w:color w:val="auto"/>
                      <w:sz w:val="18"/>
                      <w:szCs w:val="18"/>
                    </w:rPr>
                    <w:t>导热油炉烟囱（</w:t>
                  </w:r>
                  <w:r>
                    <w:rPr>
                      <w:color w:val="auto"/>
                      <w:sz w:val="18"/>
                      <w:szCs w:val="18"/>
                      <w:rFonts w:hint="eastAsia"/>
                    </w:rPr>
                    <w:t>DA002</w:t>
                  </w:r>
                  <w:r>
                    <w:rPr>
                      <w:color w:val="auto"/>
                      <w:sz w:val="18"/>
                      <w:szCs w:val="18"/>
                    </w:rPr>
                    <w:t>）</w:t>
                  </w:r>
                </w:p>
              </w:tc>
              <w:tc>
                <w:tcPr>
                  <w:tcW w:w="237" w:type="pct"/>
                  <w:gridSpan w:val="3"/>
                  <w:vAlign w:val="center"/>
                  <w:shd w:val="clear" w:color="auto" w:fill="auto"/>
                </w:tcPr>
                <w:p w14:paraId="67B0714A">
                  <w:pPr>
                    <w:jc w:val="center"/>
                    <w:rPr>
                      <w:color w:val="auto"/>
                      <w:sz w:val="18"/>
                      <w:szCs w:val="18"/>
                    </w:rPr>
                  </w:pPr>
                  <w:r>
                    <w:rPr>
                      <w:color w:val="auto"/>
                      <w:sz w:val="18"/>
                      <w:szCs w:val="18"/>
                      <w:rFonts w:hAnsi="宋体"/>
                    </w:rPr>
                    <w:t>颗粒物</w:t>
                  </w:r>
                </w:p>
              </w:tc>
              <w:tc>
                <w:tcPr>
                  <w:tcW w:w="344" w:type="pct"/>
                  <w:gridSpan w:val="3"/>
                  <w:vMerge w:val="restart"/>
                  <w:vAlign w:val="center"/>
                  <w:shd w:val="clear" w:color="auto" w:fill="FFFFFF"/>
                </w:tcPr>
                <w:p w14:paraId="526D3C5C">
                  <w:pPr>
                    <w:jc w:val="center"/>
                    <w:contextualSpacing/>
                    <w:shd w:val="clear" w:color="auto" w:fill="FFFFFF"/>
                    <w:rPr>
                      <w:color w:val="auto"/>
                      <w:sz w:val="18"/>
                      <w:lang w:val="en-US" w:eastAsia="zh-CN"/>
                      <w:szCs w:val="18"/>
                      <w:rFonts w:eastAsia="宋体" w:hint="default"/>
                    </w:rPr>
                  </w:pPr>
                  <w:r>
                    <w:rPr>
                      <w:color w:val="auto"/>
                      <w:sz w:val="18"/>
                      <w:szCs w:val="18"/>
                      <w:rFonts w:hint="eastAsia"/>
                    </w:rPr>
                    <w:t>1</w:t>
                  </w:r>
                  <w:r>
                    <w:rPr>
                      <w:color w:val="auto"/>
                      <w:sz w:val="18"/>
                      <w:lang w:val="en-US" w:eastAsia="zh-CN"/>
                      <w:szCs w:val="18"/>
                      <w:rFonts w:hint="eastAsia"/>
                    </w:rPr>
                    <w:t>157</w:t>
                  </w:r>
                </w:p>
              </w:tc>
              <w:tc>
                <w:tcPr>
                  <w:tcW w:w="403" w:type="pct"/>
                  <w:gridSpan w:val="2"/>
                  <w:vAlign w:val="center"/>
                </w:tcPr>
                <w:p w14:paraId="0C688AD0">
                  <w:pPr>
                    <w:jc w:val="center"/>
                    <w:contextualSpacing/>
                    <w:rPr>
                      <w:color w:val="auto"/>
                      <w:sz w:val="18"/>
                      <w:lang w:val="en-US" w:eastAsia="zh-CN"/>
                      <w:szCs w:val="18"/>
                      <w:rFonts w:hint="eastAsia"/>
                    </w:rPr>
                  </w:pPr>
                  <w:r>
                    <w:rPr>
                      <w:color w:val="auto"/>
                      <w:sz w:val="18"/>
                      <w:lang w:val="en-US" w:eastAsia="zh-CN"/>
                      <w:szCs w:val="18"/>
                      <w:rFonts w:hint="eastAsia"/>
                    </w:rPr>
                    <w:t>16.2</w:t>
                  </w:r>
                </w:p>
              </w:tc>
              <w:tc>
                <w:tcPr>
                  <w:tcW w:w="419" w:type="pct"/>
                  <w:gridSpan w:val="2"/>
                  <w:vAlign w:val="center"/>
                </w:tcPr>
                <w:p w14:paraId="5CF6EE5E">
                  <w:pPr>
                    <w:jc w:val="center"/>
                    <w:contextualSpacing/>
                    <w:rPr>
                      <w:color w:val="auto"/>
                      <w:sz w:val="18"/>
                      <w:lang w:val="en-US" w:eastAsia="zh-CN"/>
                      <w:szCs w:val="18"/>
                      <w:rFonts w:hint="eastAsia"/>
                    </w:rPr>
                  </w:pPr>
                  <w:r>
                    <w:rPr>
                      <w:color w:val="auto"/>
                      <w:sz w:val="18"/>
                      <w:lang w:val="en-US" w:eastAsia="zh-CN"/>
                      <w:szCs w:val="18"/>
                      <w:rFonts w:hint="eastAsia"/>
                    </w:rPr>
                    <w:t>0.019</w:t>
                  </w:r>
                </w:p>
              </w:tc>
              <w:tc>
                <w:tcPr>
                  <w:tcW w:w="908" w:type="pct"/>
                  <w:gridSpan w:val="3"/>
                  <w:vMerge w:val="restart"/>
                  <w:vAlign w:val="center"/>
                </w:tcPr>
                <w:p w14:paraId="07915E5F">
                  <w:pPr>
                    <w:jc w:val="center"/>
                    <w:contextualSpacing/>
                    <w:rPr>
                      <w:color w:val="auto"/>
                      <w:spacing w:val="-6"/>
                      <w:sz w:val="18"/>
                      <w:szCs w:val="18"/>
                    </w:rPr>
                  </w:pPr>
                  <w:r>
                    <w:rPr>
                      <w:color w:val="auto"/>
                      <w:sz w:val="18"/>
                      <w:szCs w:val="18"/>
                      <w:rFonts w:hAnsi="宋体"/>
                    </w:rPr>
                    <w:t>导热油炉</w:t>
                  </w:r>
                  <w:r>
                    <w:rPr>
                      <w:color w:val="auto"/>
                      <w:sz w:val="18"/>
                      <w:bCs/>
                      <w:szCs w:val="18"/>
                      <w:rFonts w:hAnsi="宋体"/>
                    </w:rPr>
                    <w:t>烟气</w:t>
                  </w:r>
                  <w:r>
                    <w:rPr>
                      <w:color w:val="auto"/>
                      <w:sz w:val="18"/>
                      <w:bCs/>
                      <w:szCs w:val="18"/>
                      <w:rFonts w:hAnsi="宋体" w:hint="eastAsia"/>
                    </w:rPr>
                    <w:t>经低氮燃烧处理后（除氮效率30%），由1根12m高排气筒（DA002）排放</w:t>
                  </w:r>
                </w:p>
              </w:tc>
              <w:tc>
                <w:tcPr>
                  <w:tcW w:w="318" w:type="pct"/>
                  <w:gridSpan w:val="3"/>
                  <w:vAlign w:val="center"/>
                </w:tcPr>
                <w:p w14:paraId="2760DA6E">
                  <w:pPr>
                    <w:jc w:val="center"/>
                    <w:contextualSpacing/>
                    <w:rPr>
                      <w:color w:val="auto"/>
                      <w:spacing w:val="-6"/>
                      <w:sz w:val="18"/>
                      <w:szCs w:val="18"/>
                    </w:rPr>
                  </w:pPr>
                  <w:r>
                    <w:rPr>
                      <w:color w:val="auto"/>
                      <w:spacing w:val="-6"/>
                      <w:sz w:val="18"/>
                      <w:szCs w:val="18"/>
                      <w:rFonts w:hint="eastAsia"/>
                    </w:rPr>
                    <w:t>/</w:t>
                  </w:r>
                </w:p>
              </w:tc>
              <w:tc>
                <w:tcPr>
                  <w:tcW w:w="356" w:type="pct"/>
                  <w:gridSpan w:val="4"/>
                  <w:vMerge w:val="restart"/>
                  <w:vAlign w:val="center"/>
                </w:tcPr>
                <w:p w14:paraId="20686351">
                  <w:pPr>
                    <w:jc w:val="center"/>
                    <w:contextualSpacing/>
                    <w:rPr>
                      <w:color w:val="auto"/>
                      <w:sz w:val="18"/>
                      <w:szCs w:val="18"/>
                    </w:rPr>
                  </w:pPr>
                  <w:r>
                    <w:rPr>
                      <w:color w:val="auto"/>
                      <w:sz w:val="18"/>
                      <w:szCs w:val="18"/>
                      <w:rFonts w:hint="eastAsia"/>
                    </w:rPr>
                    <w:t>1</w:t>
                  </w:r>
                  <w:r>
                    <w:rPr>
                      <w:color w:val="auto"/>
                      <w:sz w:val="18"/>
                      <w:lang w:val="en-US" w:eastAsia="zh-CN"/>
                      <w:szCs w:val="18"/>
                      <w:rFonts w:hint="eastAsia"/>
                    </w:rPr>
                    <w:t>157</w:t>
                  </w:r>
                </w:p>
              </w:tc>
              <w:tc>
                <w:tcPr>
                  <w:tcW w:w="503" w:type="pct"/>
                  <w:gridSpan w:val="3"/>
                  <w:vAlign w:val="center"/>
                </w:tcPr>
                <w:p w14:paraId="69903A9D">
                  <w:pPr>
                    <w:jc w:val="center"/>
                    <w:contextualSpacing/>
                    <w:rPr>
                      <w:color w:val="auto"/>
                      <w:sz w:val="18"/>
                      <w:lang w:val="en-US" w:eastAsia="zh-CN"/>
                      <w:szCs w:val="18"/>
                      <w:rFonts w:hint="eastAsia"/>
                    </w:rPr>
                  </w:pPr>
                  <w:r>
                    <w:rPr>
                      <w:color w:val="auto"/>
                      <w:sz w:val="18"/>
                      <w:lang w:val="en-US" w:eastAsia="zh-CN"/>
                      <w:szCs w:val="18"/>
                      <w:rFonts w:hint="eastAsia"/>
                    </w:rPr>
                    <w:t>16.2</w:t>
                  </w:r>
                </w:p>
              </w:tc>
              <w:tc>
                <w:tcPr>
                  <w:tcW w:w="430" w:type="pct"/>
                  <w:gridSpan w:val="2"/>
                  <w:vAlign w:val="center"/>
                </w:tcPr>
                <w:p w14:paraId="126F7714">
                  <w:pPr>
                    <w:jc w:val="center"/>
                    <w:contextualSpacing/>
                    <w:rPr>
                      <w:color w:val="auto"/>
                      <w:sz w:val="18"/>
                      <w:lang w:val="en-US" w:eastAsia="zh-CN"/>
                      <w:szCs w:val="18"/>
                      <w:rFonts w:hint="eastAsia"/>
                    </w:rPr>
                  </w:pPr>
                  <w:r>
                    <w:rPr>
                      <w:color w:val="auto"/>
                      <w:sz w:val="18"/>
                      <w:lang w:val="en-US" w:eastAsia="zh-CN"/>
                      <w:szCs w:val="18"/>
                      <w:rFonts w:hint="eastAsia"/>
                    </w:rPr>
                    <w:t>0.019</w:t>
                  </w:r>
                </w:p>
              </w:tc>
              <w:tc>
                <w:tcPr>
                  <w:tcW w:w="240" w:type="pct"/>
                  <w:gridSpan w:val="5"/>
                  <w:vMerge w:val="restart"/>
                  <w:vAlign w:val="center"/>
                  <w:shd w:val="clear" w:color="auto" w:fill="auto"/>
                </w:tcPr>
                <w:p w14:paraId="4906B588">
                  <w:pPr>
                    <w:jc w:val="center"/>
                    <w:contextualSpacing/>
                    <w:rPr>
                      <w:color w:val="auto"/>
                      <w:sz w:val="18"/>
                      <w:szCs w:val="18"/>
                    </w:rPr>
                  </w:pPr>
                  <w:r>
                    <w:rPr>
                      <w:color w:val="auto"/>
                      <w:sz w:val="18"/>
                      <w:szCs w:val="18"/>
                      <w:rFonts w:hint="eastAsia"/>
                    </w:rPr>
                    <w:t>2</w:t>
                  </w:r>
                  <w:r>
                    <w:rPr>
                      <w:color w:val="auto"/>
                      <w:sz w:val="18"/>
                      <w:lang w:val="en-US" w:eastAsia="zh-CN"/>
                      <w:szCs w:val="18"/>
                      <w:rFonts w:hint="eastAsia"/>
                    </w:rPr>
                    <w:t>4</w:t>
                  </w:r>
                  <w:r>
                    <w:rPr>
                      <w:color w:val="auto"/>
                      <w:sz w:val="18"/>
                      <w:szCs w:val="18"/>
                      <w:rFonts w:hint="eastAsia"/>
                    </w:rPr>
                    <w:t>00</w:t>
                  </w:r>
                </w:p>
              </w:tc>
            </w:tr>
            <w:tr w14:paraId="4834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continue"/>
                  <w:vAlign w:val="center"/>
                </w:tcPr>
                <w:p w14:paraId="095843ED">
                  <w:pPr>
                    <w:jc w:val="center"/>
                    <w:contextualSpacing/>
                    <w:ind w:firstLine="420"/>
                    <w:rPr>
                      <w:color w:val="auto"/>
                      <w:sz w:val="18"/>
                      <w:szCs w:val="18"/>
                    </w:rPr>
                  </w:pPr>
                </w:p>
              </w:tc>
              <w:tc>
                <w:tcPr>
                  <w:tcW w:w="161" w:type="pct"/>
                  <w:gridSpan w:val="3"/>
                  <w:vMerge w:val="continue"/>
                  <w:vAlign w:val="center"/>
                </w:tcPr>
                <w:p w14:paraId="4C410151">
                  <w:pPr>
                    <w:jc w:val="center"/>
                    <w:contextualSpacing/>
                    <w:rPr>
                      <w:color w:val="auto"/>
                      <w:sz w:val="18"/>
                      <w:szCs w:val="18"/>
                    </w:rPr>
                  </w:pPr>
                </w:p>
              </w:tc>
              <w:tc>
                <w:tcPr>
                  <w:tcW w:w="481" w:type="pct"/>
                  <w:gridSpan w:val="3"/>
                  <w:vMerge w:val="continue"/>
                  <w:vAlign w:val="center"/>
                  <w:shd w:val="clear" w:color="auto" w:fill="auto"/>
                </w:tcPr>
                <w:p w14:paraId="4E638CBC">
                  <w:pPr>
                    <w:jc w:val="center"/>
                    <w:contextualSpacing/>
                    <w:rPr>
                      <w:color w:val="auto"/>
                      <w:sz w:val="18"/>
                      <w:szCs w:val="18"/>
                    </w:rPr>
                  </w:pPr>
                </w:p>
              </w:tc>
              <w:tc>
                <w:tcPr>
                  <w:tcW w:w="237" w:type="pct"/>
                  <w:gridSpan w:val="3"/>
                  <w:vAlign w:val="center"/>
                  <w:shd w:val="clear" w:color="auto" w:fill="auto"/>
                </w:tcPr>
                <w:p w14:paraId="47165591">
                  <w:pPr>
                    <w:jc w:val="center"/>
                    <w:rPr>
                      <w:color w:val="auto"/>
                      <w:sz w:val="18"/>
                      <w:szCs w:val="18"/>
                    </w:rPr>
                  </w:pPr>
                  <w:r>
                    <w:rPr>
                      <w:color w:val="auto"/>
                      <w:sz w:val="18"/>
                      <w:szCs w:val="18"/>
                    </w:rPr>
                    <w:t>SO</w:t>
                  </w:r>
                  <w:r>
                    <w:rPr>
                      <w:vertAlign w:val="subscript"/>
                      <w:color w:val="auto"/>
                      <w:sz w:val="18"/>
                      <w:szCs w:val="18"/>
                    </w:rPr>
                    <w:t>2</w:t>
                  </w:r>
                </w:p>
              </w:tc>
              <w:tc>
                <w:tcPr>
                  <w:tcW w:w="344" w:type="pct"/>
                  <w:gridSpan w:val="3"/>
                  <w:vMerge w:val="continue"/>
                  <w:vAlign w:val="center"/>
                  <w:shd w:val="clear" w:color="auto" w:fill="FFFFFF"/>
                </w:tcPr>
                <w:p w14:paraId="036CC37B">
                  <w:pPr>
                    <w:jc w:val="center"/>
                    <w:contextualSpacing/>
                    <w:shd w:val="clear" w:color="auto" w:fill="FFFFFF"/>
                    <w:rPr>
                      <w:color w:val="auto"/>
                      <w:sz w:val="18"/>
                      <w:szCs w:val="18"/>
                    </w:rPr>
                  </w:pPr>
                </w:p>
              </w:tc>
              <w:tc>
                <w:tcPr>
                  <w:tcW w:w="403" w:type="pct"/>
                  <w:gridSpan w:val="2"/>
                  <w:vAlign w:val="center"/>
                </w:tcPr>
                <w:p w14:paraId="6901F79C">
                  <w:pPr>
                    <w:jc w:val="center"/>
                    <w:contextualSpacing/>
                    <w:rPr>
                      <w:color w:val="auto"/>
                      <w:sz w:val="18"/>
                      <w:lang w:val="en-US" w:eastAsia="zh-CN"/>
                      <w:szCs w:val="18"/>
                      <w:rFonts w:hint="eastAsia"/>
                    </w:rPr>
                  </w:pPr>
                  <w:r>
                    <w:rPr>
                      <w:color w:val="auto"/>
                      <w:sz w:val="18"/>
                      <w:lang w:val="en-US" w:eastAsia="zh-CN"/>
                      <w:szCs w:val="18"/>
                      <w:rFonts w:hint="eastAsia"/>
                    </w:rPr>
                    <w:t>0.25</w:t>
                  </w:r>
                </w:p>
              </w:tc>
              <w:tc>
                <w:tcPr>
                  <w:tcW w:w="419" w:type="pct"/>
                  <w:gridSpan w:val="2"/>
                  <w:vAlign w:val="center"/>
                </w:tcPr>
                <w:p w14:paraId="090DAC50">
                  <w:pPr>
                    <w:jc w:val="center"/>
                    <w:contextualSpacing/>
                    <w:rPr>
                      <w:color w:val="auto"/>
                      <w:sz w:val="18"/>
                      <w:lang w:val="en-US" w:eastAsia="zh-CN"/>
                      <w:szCs w:val="18"/>
                      <w:rFonts w:hint="eastAsia"/>
                    </w:rPr>
                  </w:pPr>
                  <w:r>
                    <w:rPr>
                      <w:color w:val="auto"/>
                      <w:sz w:val="18"/>
                      <w:lang w:val="en-US" w:eastAsia="zh-CN"/>
                      <w:szCs w:val="18"/>
                      <w:rFonts w:hint="eastAsia"/>
                    </w:rPr>
                    <w:t>0.0003</w:t>
                  </w:r>
                </w:p>
              </w:tc>
              <w:tc>
                <w:tcPr>
                  <w:tcW w:w="908" w:type="pct"/>
                  <w:gridSpan w:val="3"/>
                  <w:vMerge w:val="continue"/>
                  <w:vAlign w:val="center"/>
                </w:tcPr>
                <w:p w14:paraId="376229CE">
                  <w:pPr>
                    <w:jc w:val="center"/>
                    <w:contextualSpacing/>
                    <w:rPr>
                      <w:color w:val="auto"/>
                      <w:spacing w:val="-6"/>
                      <w:sz w:val="18"/>
                      <w:szCs w:val="18"/>
                    </w:rPr>
                  </w:pPr>
                </w:p>
              </w:tc>
              <w:tc>
                <w:tcPr>
                  <w:tcW w:w="318" w:type="pct"/>
                  <w:gridSpan w:val="3"/>
                  <w:vAlign w:val="center"/>
                </w:tcPr>
                <w:p w14:paraId="3FC9AD47">
                  <w:pPr>
                    <w:jc w:val="center"/>
                    <w:contextualSpacing/>
                    <w:rPr>
                      <w:color w:val="auto"/>
                      <w:spacing w:val="-6"/>
                      <w:sz w:val="18"/>
                      <w:szCs w:val="18"/>
                    </w:rPr>
                  </w:pPr>
                  <w:r>
                    <w:rPr>
                      <w:color w:val="auto"/>
                      <w:spacing w:val="-6"/>
                      <w:sz w:val="18"/>
                      <w:szCs w:val="18"/>
                    </w:rPr>
                    <w:t>/</w:t>
                  </w:r>
                </w:p>
              </w:tc>
              <w:tc>
                <w:tcPr>
                  <w:tcW w:w="356" w:type="pct"/>
                  <w:gridSpan w:val="4"/>
                  <w:vMerge w:val="continue"/>
                  <w:vAlign w:val="center"/>
                </w:tcPr>
                <w:p w14:paraId="06FFCA50">
                  <w:pPr>
                    <w:jc w:val="center"/>
                    <w:contextualSpacing/>
                    <w:rPr>
                      <w:color w:val="auto"/>
                      <w:sz w:val="18"/>
                      <w:szCs w:val="18"/>
                    </w:rPr>
                  </w:pPr>
                </w:p>
              </w:tc>
              <w:tc>
                <w:tcPr>
                  <w:tcW w:w="503" w:type="pct"/>
                  <w:gridSpan w:val="3"/>
                  <w:vAlign w:val="center"/>
                </w:tcPr>
                <w:p w14:paraId="0D07429A">
                  <w:pPr>
                    <w:jc w:val="center"/>
                    <w:contextualSpacing/>
                    <w:rPr>
                      <w:color w:val="auto"/>
                      <w:sz w:val="18"/>
                      <w:lang w:val="en-US" w:eastAsia="zh-CN"/>
                      <w:szCs w:val="18"/>
                      <w:rFonts w:hint="eastAsia"/>
                    </w:rPr>
                  </w:pPr>
                  <w:r>
                    <w:rPr>
                      <w:color w:val="auto"/>
                      <w:sz w:val="18"/>
                      <w:lang w:val="en-US" w:eastAsia="zh-CN"/>
                      <w:szCs w:val="18"/>
                      <w:rFonts w:hint="eastAsia"/>
                    </w:rPr>
                    <w:t>0.25</w:t>
                  </w:r>
                </w:p>
              </w:tc>
              <w:tc>
                <w:tcPr>
                  <w:tcW w:w="430" w:type="pct"/>
                  <w:gridSpan w:val="2"/>
                  <w:vAlign w:val="center"/>
                </w:tcPr>
                <w:p w14:paraId="621FFDB0">
                  <w:pPr>
                    <w:jc w:val="center"/>
                    <w:contextualSpacing/>
                    <w:rPr>
                      <w:color w:val="auto"/>
                      <w:sz w:val="18"/>
                      <w:lang w:val="en-US" w:eastAsia="zh-CN"/>
                      <w:szCs w:val="18"/>
                      <w:rFonts w:hint="eastAsia"/>
                    </w:rPr>
                  </w:pPr>
                  <w:r>
                    <w:rPr>
                      <w:color w:val="auto"/>
                      <w:sz w:val="18"/>
                      <w:lang w:val="en-US" w:eastAsia="zh-CN"/>
                      <w:szCs w:val="18"/>
                      <w:rFonts w:hint="eastAsia"/>
                    </w:rPr>
                    <w:t>0.0003</w:t>
                  </w:r>
                </w:p>
              </w:tc>
              <w:tc>
                <w:tcPr>
                  <w:tcW w:w="240" w:type="pct"/>
                  <w:gridSpan w:val="5"/>
                  <w:vMerge w:val="continue"/>
                  <w:vAlign w:val="center"/>
                  <w:shd w:val="clear" w:color="auto" w:fill="auto"/>
                </w:tcPr>
                <w:p w14:paraId="2EE3F7AB">
                  <w:pPr>
                    <w:jc w:val="center"/>
                    <w:contextualSpacing/>
                    <w:rPr>
                      <w:color w:val="auto"/>
                      <w:sz w:val="18"/>
                      <w:szCs w:val="18"/>
                    </w:rPr>
                  </w:pPr>
                </w:p>
              </w:tc>
            </w:tr>
            <w:tr w14:paraId="329A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2"/>
                <w:wBefore w:w="1" w:type="pct"/>
                <w:wAfter w:w="1" w:type="pct"/>
                <w:trHeight w:val="397" w:hRule="atLeast"/>
                <w:jc w:val="center"/>
              </w:trPr>
              <w:tc>
                <w:tcPr>
                  <w:tcW w:w="192" w:type="pct"/>
                  <w:gridSpan w:val="2"/>
                  <w:vMerge w:val="continue"/>
                  <w:vAlign w:val="center"/>
                </w:tcPr>
                <w:p w14:paraId="7D69CC72">
                  <w:pPr>
                    <w:jc w:val="center"/>
                    <w:contextualSpacing/>
                    <w:ind w:firstLine="420"/>
                    <w:rPr>
                      <w:color w:val="auto"/>
                      <w:sz w:val="18"/>
                      <w:szCs w:val="18"/>
                    </w:rPr>
                  </w:pPr>
                </w:p>
              </w:tc>
              <w:tc>
                <w:tcPr>
                  <w:tcW w:w="161" w:type="pct"/>
                  <w:gridSpan w:val="3"/>
                  <w:vMerge w:val="continue"/>
                  <w:vAlign w:val="center"/>
                </w:tcPr>
                <w:p w14:paraId="4D3A4FCE">
                  <w:pPr>
                    <w:jc w:val="center"/>
                    <w:contextualSpacing/>
                    <w:rPr>
                      <w:color w:val="auto"/>
                      <w:sz w:val="18"/>
                      <w:szCs w:val="18"/>
                    </w:rPr>
                  </w:pPr>
                </w:p>
              </w:tc>
              <w:tc>
                <w:tcPr>
                  <w:tcW w:w="481" w:type="pct"/>
                  <w:gridSpan w:val="3"/>
                  <w:vMerge w:val="continue"/>
                  <w:vAlign w:val="center"/>
                  <w:shd w:val="clear" w:color="auto" w:fill="auto"/>
                </w:tcPr>
                <w:p w14:paraId="6648A66B">
                  <w:pPr>
                    <w:jc w:val="center"/>
                    <w:contextualSpacing/>
                    <w:rPr>
                      <w:color w:val="auto"/>
                      <w:sz w:val="18"/>
                      <w:szCs w:val="18"/>
                    </w:rPr>
                  </w:pPr>
                </w:p>
              </w:tc>
              <w:tc>
                <w:tcPr>
                  <w:tcW w:w="237" w:type="pct"/>
                  <w:gridSpan w:val="3"/>
                  <w:vAlign w:val="center"/>
                  <w:shd w:val="clear" w:color="auto" w:fill="auto"/>
                </w:tcPr>
                <w:p w14:paraId="0B3DE8E1">
                  <w:pPr>
                    <w:jc w:val="center"/>
                    <w:rPr>
                      <w:color w:val="auto"/>
                      <w:sz w:val="18"/>
                      <w:szCs w:val="18"/>
                    </w:rPr>
                  </w:pPr>
                  <w:r>
                    <w:rPr>
                      <w:color w:val="auto"/>
                      <w:sz w:val="18"/>
                      <w:szCs w:val="18"/>
                    </w:rPr>
                    <w:t>NO</w:t>
                  </w:r>
                  <w:r>
                    <w:rPr>
                      <w:vertAlign w:val="subscript"/>
                      <w:color w:val="auto"/>
                      <w:sz w:val="18"/>
                      <w:szCs w:val="18"/>
                    </w:rPr>
                    <w:t>X</w:t>
                  </w:r>
                </w:p>
              </w:tc>
              <w:tc>
                <w:tcPr>
                  <w:tcW w:w="344" w:type="pct"/>
                  <w:gridSpan w:val="3"/>
                  <w:vMerge w:val="continue"/>
                  <w:vAlign w:val="center"/>
                  <w:shd w:val="clear" w:color="auto" w:fill="FFFFFF"/>
                </w:tcPr>
                <w:p w14:paraId="652354DD">
                  <w:pPr>
                    <w:jc w:val="center"/>
                    <w:contextualSpacing/>
                    <w:shd w:val="clear" w:color="auto" w:fill="FFFFFF"/>
                    <w:rPr>
                      <w:color w:val="auto"/>
                      <w:sz w:val="18"/>
                      <w:szCs w:val="18"/>
                    </w:rPr>
                  </w:pPr>
                </w:p>
              </w:tc>
              <w:tc>
                <w:tcPr>
                  <w:tcW w:w="403" w:type="pct"/>
                  <w:gridSpan w:val="2"/>
                  <w:vAlign w:val="center"/>
                </w:tcPr>
                <w:p w14:paraId="25ACB03E">
                  <w:pPr>
                    <w:jc w:val="center"/>
                    <w:rPr>
                      <w:color w:val="auto"/>
                      <w:sz w:val="18"/>
                      <w:szCs w:val="18"/>
                    </w:rPr>
                  </w:pPr>
                  <w:r>
                    <w:rPr>
                      <w:color w:val="auto"/>
                      <w:sz w:val="18"/>
                      <w:szCs w:val="18"/>
                      <w:rFonts w:hint="eastAsia"/>
                    </w:rPr>
                    <w:t>200</w:t>
                  </w:r>
                </w:p>
              </w:tc>
              <w:tc>
                <w:tcPr>
                  <w:tcW w:w="419" w:type="pct"/>
                  <w:gridSpan w:val="2"/>
                  <w:vAlign w:val="center"/>
                </w:tcPr>
                <w:p w14:paraId="3B39A3FE">
                  <w:pPr>
                    <w:jc w:val="center"/>
                    <w:contextualSpacing/>
                    <w:rPr>
                      <w:color w:val="auto"/>
                      <w:sz w:val="18"/>
                      <w:lang w:val="en-US" w:eastAsia="zh-CN"/>
                      <w:szCs w:val="18"/>
                      <w:rFonts w:hint="eastAsia"/>
                    </w:rPr>
                  </w:pPr>
                  <w:r>
                    <w:rPr>
                      <w:color w:val="auto"/>
                      <w:sz w:val="18"/>
                      <w:lang w:val="en-US" w:eastAsia="zh-CN"/>
                      <w:szCs w:val="18"/>
                      <w:rFonts w:hint="eastAsia"/>
                    </w:rPr>
                    <w:t>0.23</w:t>
                  </w:r>
                </w:p>
              </w:tc>
              <w:tc>
                <w:tcPr>
                  <w:tcW w:w="908" w:type="pct"/>
                  <w:gridSpan w:val="3"/>
                  <w:vMerge w:val="continue"/>
                  <w:vAlign w:val="center"/>
                </w:tcPr>
                <w:p w14:paraId="0386A8C0">
                  <w:pPr>
                    <w:jc w:val="center"/>
                    <w:contextualSpacing/>
                    <w:rPr>
                      <w:color w:val="auto"/>
                      <w:sz w:val="18"/>
                      <w:lang w:val="en-US" w:eastAsia="zh-CN"/>
                      <w:szCs w:val="18"/>
                      <w:rFonts w:hint="eastAsia"/>
                    </w:rPr>
                  </w:pPr>
                </w:p>
              </w:tc>
              <w:tc>
                <w:tcPr>
                  <w:tcW w:w="318" w:type="pct"/>
                  <w:gridSpan w:val="3"/>
                  <w:vAlign w:val="center"/>
                </w:tcPr>
                <w:p w14:paraId="05E04654">
                  <w:pPr>
                    <w:jc w:val="center"/>
                    <w:contextualSpacing/>
                    <w:rPr>
                      <w:color w:val="auto"/>
                      <w:sz w:val="18"/>
                      <w:lang w:val="en-US" w:eastAsia="zh-CN"/>
                      <w:szCs w:val="18"/>
                      <w:rFonts w:hint="eastAsia"/>
                    </w:rPr>
                  </w:pPr>
                  <w:r>
                    <w:rPr>
                      <w:color w:val="auto"/>
                      <w:sz w:val="18"/>
                      <w:lang w:val="en-US" w:eastAsia="zh-CN"/>
                      <w:szCs w:val="18"/>
                      <w:rFonts w:hint="eastAsia"/>
                    </w:rPr>
                    <w:t>30%</w:t>
                  </w:r>
                </w:p>
              </w:tc>
              <w:tc>
                <w:tcPr>
                  <w:tcW w:w="356" w:type="pct"/>
                  <w:gridSpan w:val="4"/>
                  <w:vMerge w:val="continue"/>
                  <w:vAlign w:val="center"/>
                </w:tcPr>
                <w:p w14:paraId="6CD088CD">
                  <w:pPr>
                    <w:jc w:val="center"/>
                    <w:contextualSpacing/>
                    <w:rPr>
                      <w:color w:val="auto"/>
                      <w:sz w:val="18"/>
                      <w:lang w:val="en-US" w:eastAsia="zh-CN"/>
                      <w:szCs w:val="18"/>
                      <w:rFonts w:hint="eastAsia"/>
                    </w:rPr>
                  </w:pPr>
                </w:p>
              </w:tc>
              <w:tc>
                <w:tcPr>
                  <w:tcW w:w="503" w:type="pct"/>
                  <w:gridSpan w:val="3"/>
                  <w:vAlign w:val="center"/>
                </w:tcPr>
                <w:p w14:paraId="3E9948AF">
                  <w:pPr>
                    <w:jc w:val="center"/>
                    <w:contextualSpacing/>
                    <w:rPr>
                      <w:color w:val="auto"/>
                      <w:sz w:val="18"/>
                      <w:lang w:val="en-US" w:eastAsia="zh-CN"/>
                      <w:szCs w:val="18"/>
                      <w:rFonts w:hint="eastAsia"/>
                    </w:rPr>
                  </w:pPr>
                  <w:r>
                    <w:rPr>
                      <w:color w:val="auto"/>
                      <w:sz w:val="18"/>
                      <w:lang w:val="en-US" w:eastAsia="zh-CN"/>
                      <w:szCs w:val="18"/>
                      <w:rFonts w:hint="eastAsia"/>
                    </w:rPr>
                    <w:t>139.3</w:t>
                  </w:r>
                </w:p>
              </w:tc>
              <w:tc>
                <w:tcPr>
                  <w:tcW w:w="430" w:type="pct"/>
                  <w:gridSpan w:val="2"/>
                  <w:vAlign w:val="center"/>
                </w:tcPr>
                <w:p w14:paraId="2B178762">
                  <w:pPr>
                    <w:jc w:val="center"/>
                    <w:contextualSpacing/>
                    <w:rPr>
                      <w:color w:val="auto"/>
                      <w:sz w:val="18"/>
                      <w:lang w:val="en-US" w:eastAsia="zh-CN"/>
                      <w:szCs w:val="18"/>
                      <w:rFonts w:hint="eastAsia"/>
                    </w:rPr>
                  </w:pPr>
                  <w:r>
                    <w:rPr>
                      <w:color w:val="auto"/>
                      <w:sz w:val="18"/>
                      <w:lang w:val="en-US" w:eastAsia="zh-CN"/>
                      <w:szCs w:val="18"/>
                      <w:rFonts w:hint="eastAsia"/>
                    </w:rPr>
                    <w:t>0.16</w:t>
                  </w:r>
                </w:p>
              </w:tc>
              <w:tc>
                <w:tcPr>
                  <w:tcW w:w="240" w:type="pct"/>
                  <w:gridSpan w:val="5"/>
                  <w:vMerge w:val="continue"/>
                  <w:vAlign w:val="center"/>
                  <w:shd w:val="clear" w:color="auto" w:fill="auto"/>
                </w:tcPr>
                <w:p w14:paraId="0D81888E">
                  <w:pPr>
                    <w:jc w:val="center"/>
                    <w:contextualSpacing/>
                    <w:rPr>
                      <w:color w:val="auto"/>
                      <w:sz w:val="18"/>
                      <w:szCs w:val="18"/>
                    </w:rPr>
                  </w:pPr>
                </w:p>
              </w:tc>
            </w:tr>
            <w:tr w14:paraId="6DBA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1" w:type="pct"/>
                <w:wAfter w:w="12" w:type="dxa"/>
                <w:trHeight w:val="397" w:hRule="atLeast"/>
                <w:jc w:val="center"/>
              </w:trPr>
              <w:tc>
                <w:tcPr>
                  <w:tcW w:w="192" w:type="pct"/>
                  <w:gridSpan w:val="2"/>
                  <w:vMerge w:val="continue"/>
                  <w:vAlign w:val="center"/>
                </w:tcPr>
                <w:p w14:paraId="74B1050E">
                  <w:pPr>
                    <w:jc w:val="center"/>
                    <w:contextualSpacing/>
                    <w:ind w:firstLine="420"/>
                    <w:rPr>
                      <w:color w:val="auto"/>
                      <w:sz w:val="18"/>
                      <w:szCs w:val="18"/>
                    </w:rPr>
                  </w:pPr>
                </w:p>
              </w:tc>
              <w:tc>
                <w:tcPr>
                  <w:tcW w:w="161" w:type="pct"/>
                  <w:gridSpan w:val="3"/>
                  <w:vMerge w:val="continue"/>
                  <w:vAlign w:val="center"/>
                </w:tcPr>
                <w:p w14:paraId="119D4A50">
                  <w:pPr>
                    <w:jc w:val="center"/>
                    <w:contextualSpacing/>
                    <w:rPr>
                      <w:color w:val="auto"/>
                      <w:sz w:val="18"/>
                      <w:szCs w:val="18"/>
                    </w:rPr>
                  </w:pPr>
                </w:p>
              </w:tc>
              <w:tc>
                <w:tcPr>
                  <w:tcW w:w="481" w:type="pct"/>
                  <w:gridSpan w:val="3"/>
                  <w:vMerge w:val="continue"/>
                  <w:vAlign w:val="center"/>
                  <w:shd w:val="clear" w:color="auto" w:fill="auto"/>
                </w:tcPr>
                <w:p w14:paraId="372A49D7">
                  <w:pPr>
                    <w:jc w:val="center"/>
                    <w:contextualSpacing/>
                    <w:rPr>
                      <w:color w:val="auto"/>
                      <w:sz w:val="18"/>
                      <w:szCs w:val="18"/>
                    </w:rPr>
                  </w:pPr>
                </w:p>
              </w:tc>
              <w:tc>
                <w:tcPr>
                  <w:tcW w:w="237" w:type="pct"/>
                  <w:gridSpan w:val="3"/>
                  <w:vAlign w:val="center"/>
                  <w:shd w:val="clear" w:color="auto" w:fill="auto"/>
                </w:tcPr>
                <w:p w14:paraId="414348CC">
                  <w:pPr>
                    <w:jc w:val="center"/>
                    <w:rPr>
                      <w:color w:val="auto"/>
                      <w:sz w:val="18"/>
                      <w:szCs w:val="18"/>
                    </w:rPr>
                  </w:pPr>
                  <w:r>
                    <w:rPr>
                      <w:color w:val="auto"/>
                      <w:sz w:val="18"/>
                      <w:szCs w:val="18"/>
                    </w:rPr>
                    <w:t>林格曼黑度</w:t>
                  </w:r>
                </w:p>
              </w:tc>
              <w:tc>
                <w:tcPr>
                  <w:tcW w:w="344" w:type="pct"/>
                  <w:gridSpan w:val="3"/>
                  <w:vMerge w:val="continue"/>
                  <w:vAlign w:val="center"/>
                  <w:shd w:val="clear" w:color="auto" w:fill="FFFFFF"/>
                </w:tcPr>
                <w:p w14:paraId="36E612C4">
                  <w:pPr>
                    <w:jc w:val="center"/>
                    <w:contextualSpacing/>
                    <w:shd w:val="clear" w:color="auto" w:fill="FFFFFF"/>
                    <w:rPr>
                      <w:color w:val="auto"/>
                      <w:sz w:val="18"/>
                      <w:szCs w:val="18"/>
                    </w:rPr>
                  </w:pPr>
                </w:p>
              </w:tc>
              <w:tc>
                <w:tcPr>
                  <w:tcW w:w="823" w:type="pct"/>
                  <w:gridSpan w:val="5"/>
                  <w:vAlign w:val="center"/>
                </w:tcPr>
                <w:p w14:paraId="0FDBDA0F">
                  <w:pPr>
                    <w:jc w:val="center"/>
                    <w:contextualSpacing/>
                    <w:rPr>
                      <w:color w:val="auto"/>
                      <w:sz w:val="18"/>
                      <w:szCs w:val="18"/>
                    </w:rPr>
                  </w:pPr>
                  <w:r>
                    <w:rPr>
                      <w:color w:val="auto"/>
                      <w:sz w:val="18"/>
                      <w:szCs w:val="18"/>
                      <w:rFonts w:hint="eastAsia"/>
                    </w:rPr>
                    <w:t>&lt;1</w:t>
                  </w:r>
                </w:p>
              </w:tc>
              <w:tc>
                <w:tcPr>
                  <w:tcW w:w="908" w:type="pct"/>
                  <w:gridSpan w:val="3"/>
                  <w:vAlign w:val="center"/>
                </w:tcPr>
                <w:p w14:paraId="63AAF055">
                  <w:pPr>
                    <w:jc w:val="center"/>
                    <w:contextualSpacing/>
                    <w:rPr>
                      <w:color w:val="auto"/>
                      <w:spacing w:val="-6"/>
                      <w:sz w:val="18"/>
                      <w:szCs w:val="18"/>
                    </w:rPr>
                  </w:pPr>
                </w:p>
              </w:tc>
              <w:tc>
                <w:tcPr>
                  <w:tcW w:w="318" w:type="pct"/>
                  <w:gridSpan w:val="3"/>
                  <w:vAlign w:val="center"/>
                </w:tcPr>
                <w:p w14:paraId="624DF027">
                  <w:pPr>
                    <w:jc w:val="center"/>
                    <w:contextualSpacing/>
                    <w:rPr>
                      <w:color w:val="auto"/>
                      <w:spacing w:val="-6"/>
                      <w:sz w:val="18"/>
                      <w:szCs w:val="18"/>
                    </w:rPr>
                  </w:pPr>
                  <w:r>
                    <w:rPr>
                      <w:color w:val="auto"/>
                      <w:spacing w:val="-6"/>
                      <w:sz w:val="18"/>
                      <w:szCs w:val="18"/>
                    </w:rPr>
                    <w:t>/</w:t>
                  </w:r>
                </w:p>
              </w:tc>
              <w:tc>
                <w:tcPr>
                  <w:tcW w:w="356" w:type="pct"/>
                  <w:gridSpan w:val="4"/>
                  <w:vAlign w:val="center"/>
                </w:tcPr>
                <w:p w14:paraId="4C501914">
                  <w:pPr>
                    <w:jc w:val="center"/>
                    <w:contextualSpacing/>
                    <w:rPr>
                      <w:color w:val="auto"/>
                      <w:sz w:val="18"/>
                      <w:szCs w:val="18"/>
                    </w:rPr>
                  </w:pPr>
                </w:p>
              </w:tc>
              <w:tc>
                <w:tcPr>
                  <w:tcW w:w="934" w:type="pct"/>
                  <w:gridSpan w:val="5"/>
                  <w:vAlign w:val="center"/>
                </w:tcPr>
                <w:p w14:paraId="72D0B526">
                  <w:pPr>
                    <w:jc w:val="center"/>
                    <w:contextualSpacing/>
                    <w:rPr>
                      <w:color w:val="auto"/>
                      <w:sz w:val="18"/>
                      <w:szCs w:val="18"/>
                    </w:rPr>
                  </w:pPr>
                  <w:r>
                    <w:rPr>
                      <w:color w:val="auto"/>
                      <w:sz w:val="18"/>
                      <w:szCs w:val="18"/>
                      <w:rFonts w:hint="eastAsia"/>
                    </w:rPr>
                    <w:t>&lt;1</w:t>
                  </w:r>
                </w:p>
              </w:tc>
              <w:tc>
                <w:tcPr>
                  <w:tcW w:w="240" w:type="pct"/>
                  <w:gridSpan w:val="5"/>
                  <w:vAlign w:val="center"/>
                  <w:shd w:val="clear" w:color="auto" w:fill="auto"/>
                </w:tcPr>
                <w:p w14:paraId="04253312">
                  <w:pPr>
                    <w:jc w:val="center"/>
                    <w:contextualSpacing/>
                    <w:rPr>
                      <w:color w:val="auto"/>
                      <w:sz w:val="18"/>
                      <w:szCs w:val="18"/>
                    </w:rPr>
                  </w:pPr>
                </w:p>
              </w:tc>
            </w:tr>
            <w:tr w14:paraId="31D3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continue"/>
                  <w:vAlign w:val="center"/>
                </w:tcPr>
                <w:p w14:paraId="48A0B910">
                  <w:pPr>
                    <w:jc w:val="center"/>
                    <w:contextualSpacing/>
                    <w:rPr>
                      <w:color w:val="auto"/>
                      <w:sz w:val="18"/>
                      <w:szCs w:val="18"/>
                    </w:rPr>
                  </w:pPr>
                </w:p>
              </w:tc>
              <w:tc>
                <w:tcPr>
                  <w:tcW w:w="161" w:type="pct"/>
                  <w:gridSpan w:val="3"/>
                  <w:vMerge w:val="restart"/>
                  <w:vAlign w:val="center"/>
                </w:tcPr>
                <w:p w14:paraId="6E91560F">
                  <w:pPr>
                    <w:jc w:val="center"/>
                    <w:contextualSpacing/>
                    <w:rPr>
                      <w:color w:val="auto"/>
                      <w:spacing w:val="-14"/>
                      <w:sz w:val="18"/>
                      <w:szCs w:val="18"/>
                      <w:rFonts w:hAnsi="宋体"/>
                    </w:rPr>
                  </w:pPr>
                  <w:r>
                    <w:rPr>
                      <w:color w:val="auto"/>
                      <w:spacing w:val="-14"/>
                      <w:sz w:val="18"/>
                      <w:szCs w:val="18"/>
                      <w:rFonts w:hAnsi="宋体"/>
                    </w:rPr>
                    <w:t>搅拌缸</w:t>
                  </w:r>
                </w:p>
                <w:p w14:paraId="2676ACEE">
                  <w:pPr>
                    <w:jc w:val="center"/>
                    <w:contextualSpacing/>
                    <w:rPr>
                      <w:color w:val="auto"/>
                      <w:sz w:val="18"/>
                      <w:szCs w:val="18"/>
                    </w:rPr>
                  </w:pPr>
                  <w:r>
                    <w:rPr>
                      <w:color w:val="auto"/>
                      <w:spacing w:val="-14"/>
                      <w:sz w:val="18"/>
                      <w:szCs w:val="18"/>
                      <w:rFonts w:hAnsi="宋体"/>
                    </w:rPr>
                    <w:t>沥青储罐</w:t>
                  </w:r>
                </w:p>
              </w:tc>
              <w:tc>
                <w:tcPr>
                  <w:tcW w:w="481" w:type="pct"/>
                  <w:gridSpan w:val="3"/>
                  <w:vMerge w:val="restart"/>
                  <w:vAlign w:val="center"/>
                  <w:shd w:val="clear" w:color="auto" w:fill="auto"/>
                </w:tcPr>
                <w:p w14:paraId="738E29BA">
                  <w:pPr>
                    <w:jc w:val="center"/>
                    <w:contextualSpacing/>
                    <w:rPr>
                      <w:color w:val="auto"/>
                      <w:sz w:val="18"/>
                      <w:szCs w:val="18"/>
                    </w:rPr>
                  </w:pPr>
                  <w:r>
                    <w:rPr>
                      <w:color w:val="auto"/>
                      <w:sz w:val="18"/>
                      <w:szCs w:val="18"/>
                    </w:rPr>
                    <w:t>沥青</w:t>
                  </w:r>
                  <w:r>
                    <w:rPr>
                      <w:color w:val="auto"/>
                      <w:sz w:val="18"/>
                      <w:szCs w:val="18"/>
                      <w:rFonts w:hint="eastAsia"/>
                    </w:rPr>
                    <w:t>搅拌</w:t>
                  </w:r>
                  <w:r>
                    <w:rPr>
                      <w:color w:val="auto"/>
                      <w:sz w:val="18"/>
                      <w:szCs w:val="18"/>
                    </w:rPr>
                    <w:t>排气筒（</w:t>
                  </w:r>
                  <w:r>
                    <w:rPr>
                      <w:color w:val="auto"/>
                      <w:sz w:val="18"/>
                      <w:szCs w:val="18"/>
                      <w:rFonts w:hint="eastAsia"/>
                    </w:rPr>
                    <w:t>DA003</w:t>
                  </w:r>
                  <w:r>
                    <w:rPr>
                      <w:color w:val="auto"/>
                      <w:sz w:val="18"/>
                      <w:szCs w:val="18"/>
                    </w:rPr>
                    <w:t>）</w:t>
                  </w:r>
                </w:p>
              </w:tc>
              <w:tc>
                <w:tcPr>
                  <w:tcW w:w="237" w:type="pct"/>
                  <w:gridSpan w:val="3"/>
                  <w:vAlign w:val="center"/>
                  <w:shd w:val="clear" w:color="auto" w:fill="auto"/>
                </w:tcPr>
                <w:p w14:paraId="3137EC17">
                  <w:pPr>
                    <w:jc w:val="center"/>
                    <w:contextualSpacing/>
                    <w:rPr>
                      <w:color w:val="auto"/>
                      <w:sz w:val="18"/>
                      <w:szCs w:val="18"/>
                      <w:rFonts w:hAnsi="宋体"/>
                    </w:rPr>
                  </w:pPr>
                  <w:r>
                    <w:rPr>
                      <w:color w:val="auto"/>
                      <w:sz w:val="18"/>
                      <w:szCs w:val="18"/>
                      <w:rFonts w:hAnsi="宋体"/>
                    </w:rPr>
                    <w:t>沥青烟</w:t>
                  </w:r>
                </w:p>
              </w:tc>
              <w:tc>
                <w:tcPr>
                  <w:tcW w:w="344" w:type="pct"/>
                  <w:gridSpan w:val="3"/>
                  <w:vMerge w:val="restart"/>
                  <w:vAlign w:val="center"/>
                  <w:shd w:val="clear" w:color="auto" w:fill="FFFFFF"/>
                </w:tcPr>
                <w:p w14:paraId="6FAE56B9">
                  <w:pPr>
                    <w:jc w:val="center"/>
                    <w:contextualSpacing/>
                    <w:shd w:val="clear" w:color="auto" w:fill="FFFFFF"/>
                    <w:rPr>
                      <w:color w:val="auto"/>
                      <w:sz w:val="18"/>
                      <w:szCs w:val="18"/>
                    </w:rPr>
                  </w:pPr>
                  <w:r>
                    <w:rPr>
                      <w:color w:val="auto"/>
                      <w:sz w:val="18"/>
                      <w:szCs w:val="18"/>
                      <w:rFonts w:hint="eastAsia"/>
                    </w:rPr>
                    <w:t>40000</w:t>
                  </w:r>
                </w:p>
              </w:tc>
              <w:tc>
                <w:tcPr>
                  <w:tcW w:w="403" w:type="pct"/>
                  <w:gridSpan w:val="2"/>
                  <w:vAlign w:val="center"/>
                </w:tcPr>
                <w:p w14:paraId="17D3D2B2">
                  <w:pPr>
                    <w:jc w:val="center"/>
                    <w:contextualSpacing/>
                    <w:rPr>
                      <w:color w:val="auto"/>
                      <w:spacing w:val="-14"/>
                      <w:sz w:val="18"/>
                      <w:szCs w:val="18"/>
                      <w:rFonts w:hAnsi="宋体"/>
                    </w:rPr>
                  </w:pPr>
                  <w:r>
                    <w:rPr>
                      <w:color w:val="auto"/>
                      <w:sz w:val="18"/>
                      <w:lang w:val="en-US" w:eastAsia="zh-CN"/>
                      <w:szCs w:val="18"/>
                      <w:rFonts w:hint="eastAsia"/>
                    </w:rPr>
                    <w:t>3</w:t>
                  </w:r>
                  <w:r>
                    <w:rPr>
                      <w:color w:val="auto"/>
                      <w:sz w:val="18"/>
                      <w:szCs w:val="18"/>
                      <w:rFonts w:hint="eastAsia"/>
                    </w:rPr>
                    <w:t>2</w:t>
                  </w:r>
                  <w:r>
                    <w:rPr>
                      <w:color w:val="auto"/>
                      <w:sz w:val="18"/>
                      <w:lang w:val="en-US" w:eastAsia="zh-CN"/>
                      <w:szCs w:val="18"/>
                      <w:rFonts w:hint="eastAsia"/>
                    </w:rPr>
                    <w:t>.1</w:t>
                  </w:r>
                </w:p>
              </w:tc>
              <w:tc>
                <w:tcPr>
                  <w:tcW w:w="419" w:type="pct"/>
                  <w:gridSpan w:val="2"/>
                  <w:vAlign w:val="center"/>
                </w:tcPr>
                <w:p w14:paraId="1353932F">
                  <w:pPr>
                    <w:jc w:val="center"/>
                    <w:contextualSpacing/>
                    <w:rPr>
                      <w:color w:val="auto"/>
                      <w:sz w:val="18"/>
                      <w:szCs w:val="18"/>
                    </w:rPr>
                  </w:pPr>
                  <w:r>
                    <w:rPr>
                      <w:color w:val="auto"/>
                      <w:sz w:val="18"/>
                      <w:lang w:val="en-US" w:eastAsia="zh-CN"/>
                      <w:szCs w:val="18"/>
                      <w:rFonts w:hint="eastAsia"/>
                    </w:rPr>
                    <w:t>1.286</w:t>
                  </w:r>
                </w:p>
              </w:tc>
              <w:tc>
                <w:tcPr>
                  <w:tcW w:w="908" w:type="pct"/>
                  <w:gridSpan w:val="3"/>
                  <w:vMerge w:val="restart"/>
                  <w:vAlign w:val="center"/>
                </w:tcPr>
                <w:p w14:paraId="64087821">
                  <w:pPr>
                    <w:jc w:val="center"/>
                    <w:contextualSpacing/>
                    <w:rPr>
                      <w:color w:val="auto"/>
                      <w:spacing w:val="-6"/>
                      <w:sz w:val="18"/>
                      <w:szCs w:val="18"/>
                    </w:rPr>
                  </w:pPr>
                  <w:r>
                    <w:rPr>
                      <w:color w:val="auto"/>
                      <w:sz w:val="18"/>
                      <w:bCs/>
                      <w:szCs w:val="18"/>
                      <w:rFonts w:hAnsi="宋体"/>
                    </w:rPr>
                    <w:t>搅拌机出料口处进行局部封闭，采用集气装置（收集效率9</w:t>
                  </w:r>
                  <w:r>
                    <w:rPr>
                      <w:color w:val="auto"/>
                      <w:sz w:val="18"/>
                      <w:bCs/>
                      <w:szCs w:val="18"/>
                      <w:rFonts w:hAnsi="宋体" w:hint="eastAsia"/>
                    </w:rPr>
                    <w:t>5</w:t>
                  </w:r>
                  <w:r>
                    <w:rPr>
                      <w:color w:val="auto"/>
                      <w:sz w:val="18"/>
                      <w:bCs/>
                      <w:szCs w:val="18"/>
                      <w:rFonts w:hAnsi="宋体"/>
                    </w:rPr>
                    <w:t>%）后经</w:t>
                  </w:r>
                  <w:r>
                    <w:rPr>
                      <w:color w:val="auto"/>
                      <w:sz w:val="18"/>
                      <w:bCs/>
                      <w:szCs w:val="18"/>
                      <w:rFonts w:hAnsi="宋体" w:hint="eastAsia"/>
                    </w:rPr>
                    <w:t>气浮旋流塔+三维一体化废气处理设备（由电离子+光催化+高碘值碳吸附组成）（处理效率95%）处理后，经15m高沥青搅拌排气筒（DA003）排放</w:t>
                  </w:r>
                </w:p>
              </w:tc>
              <w:tc>
                <w:tcPr>
                  <w:tcW w:w="318" w:type="pct"/>
                  <w:gridSpan w:val="3"/>
                  <w:vMerge w:val="restart"/>
                  <w:vAlign w:val="center"/>
                </w:tcPr>
                <w:p w14:paraId="13BEEFBC">
                  <w:pPr>
                    <w:jc w:val="center"/>
                    <w:rPr>
                      <w:color w:val="auto"/>
                      <w:sz w:val="18"/>
                      <w:szCs w:val="18"/>
                    </w:rPr>
                  </w:pPr>
                  <w:r>
                    <w:rPr>
                      <w:color w:val="auto"/>
                      <w:sz w:val="18"/>
                      <w:szCs w:val="18"/>
                      <w:rFonts w:hint="eastAsia"/>
                    </w:rPr>
                    <w:t>95</w:t>
                  </w:r>
                  <w:r>
                    <w:rPr>
                      <w:color w:val="auto"/>
                      <w:sz w:val="18"/>
                      <w:szCs w:val="18"/>
                    </w:rPr>
                    <w:t>%</w:t>
                  </w:r>
                </w:p>
              </w:tc>
              <w:tc>
                <w:tcPr>
                  <w:tcW w:w="356" w:type="pct"/>
                  <w:gridSpan w:val="4"/>
                  <w:vMerge w:val="restart"/>
                  <w:vAlign w:val="center"/>
                </w:tcPr>
                <w:p w14:paraId="084F44E9">
                  <w:pPr>
                    <w:jc w:val="center"/>
                    <w:contextualSpacing/>
                    <w:rPr>
                      <w:color w:val="auto"/>
                      <w:sz w:val="18"/>
                      <w:szCs w:val="18"/>
                    </w:rPr>
                  </w:pPr>
                  <w:r>
                    <w:rPr>
                      <w:color w:val="auto"/>
                      <w:sz w:val="18"/>
                      <w:szCs w:val="18"/>
                      <w:rFonts w:hint="eastAsia"/>
                    </w:rPr>
                    <w:t>40000</w:t>
                  </w:r>
                </w:p>
              </w:tc>
              <w:tc>
                <w:tcPr>
                  <w:tcW w:w="503" w:type="pct"/>
                  <w:gridSpan w:val="3"/>
                  <w:vAlign w:val="center"/>
                </w:tcPr>
                <w:p w14:paraId="7CD9B18C">
                  <w:pPr>
                    <w:jc w:val="center"/>
                    <w:contextualSpacing/>
                    <w:shd w:val="clear" w:color="auto" w:fill="FFFFFF"/>
                    <w:rPr>
                      <w:color w:val="auto"/>
                      <w:sz w:val="18"/>
                      <w:szCs w:val="18"/>
                    </w:rPr>
                  </w:pPr>
                  <w:r>
                    <w:rPr>
                      <w:color w:val="auto"/>
                      <w:sz w:val="18"/>
                      <w:szCs w:val="18"/>
                      <w:rFonts w:hint="eastAsia"/>
                    </w:rPr>
                    <w:t>1.</w:t>
                  </w:r>
                  <w:r>
                    <w:rPr>
                      <w:color w:val="auto"/>
                      <w:sz w:val="18"/>
                      <w:lang w:val="en-US" w:eastAsia="zh-CN"/>
                      <w:szCs w:val="18"/>
                      <w:rFonts w:hint="eastAsia"/>
                    </w:rPr>
                    <w:t>6</w:t>
                  </w:r>
                </w:p>
              </w:tc>
              <w:tc>
                <w:tcPr>
                  <w:tcW w:w="430" w:type="pct"/>
                  <w:gridSpan w:val="2"/>
                  <w:vAlign w:val="center"/>
                </w:tcPr>
                <w:p w14:paraId="203416D1">
                  <w:pPr>
                    <w:jc w:val="center"/>
                    <w:contextualSpacing/>
                    <w:rPr>
                      <w:color w:val="auto"/>
                      <w:sz w:val="18"/>
                      <w:szCs w:val="18"/>
                    </w:rPr>
                  </w:pPr>
                  <w:r>
                    <w:rPr>
                      <w:color w:val="auto"/>
                      <w:sz w:val="18"/>
                      <w:szCs w:val="18"/>
                      <w:rFonts w:hint="eastAsia"/>
                    </w:rPr>
                    <w:t>0.0</w:t>
                  </w:r>
                  <w:r>
                    <w:rPr>
                      <w:color w:val="auto"/>
                      <w:sz w:val="18"/>
                      <w:lang w:val="en-US" w:eastAsia="zh-CN"/>
                      <w:szCs w:val="18"/>
                      <w:rFonts w:hint="eastAsia"/>
                    </w:rPr>
                    <w:t>6</w:t>
                  </w:r>
                  <w:r>
                    <w:rPr>
                      <w:color w:val="auto"/>
                      <w:sz w:val="18"/>
                      <w:szCs w:val="18"/>
                      <w:rFonts w:hint="eastAsia"/>
                    </w:rPr>
                    <w:t>4</w:t>
                  </w:r>
                </w:p>
              </w:tc>
              <w:tc>
                <w:tcPr>
                  <w:tcW w:w="240" w:type="pct"/>
                  <w:gridSpan w:val="5"/>
                  <w:vMerge w:val="restart"/>
                  <w:vAlign w:val="center"/>
                  <w:shd w:val="clear" w:color="auto" w:fill="auto"/>
                </w:tcPr>
                <w:p w14:paraId="461DC033">
                  <w:pPr>
                    <w:jc w:val="center"/>
                    <w:contextualSpacing/>
                    <w:rPr>
                      <w:color w:val="auto"/>
                      <w:sz w:val="18"/>
                      <w:szCs w:val="18"/>
                    </w:rPr>
                  </w:pPr>
                  <w:r>
                    <w:rPr>
                      <w:color w:val="auto"/>
                      <w:sz w:val="18"/>
                      <w:szCs w:val="18"/>
                      <w:rFonts w:hint="eastAsia"/>
                    </w:rPr>
                    <w:t>2</w:t>
                  </w:r>
                  <w:r>
                    <w:rPr>
                      <w:color w:val="auto"/>
                      <w:sz w:val="18"/>
                      <w:lang w:val="en-US" w:eastAsia="zh-CN"/>
                      <w:szCs w:val="18"/>
                      <w:rFonts w:hint="eastAsia"/>
                    </w:rPr>
                    <w:t>4</w:t>
                  </w:r>
                  <w:r>
                    <w:rPr>
                      <w:color w:val="auto"/>
                      <w:sz w:val="18"/>
                      <w:szCs w:val="18"/>
                      <w:rFonts w:hint="eastAsia"/>
                    </w:rPr>
                    <w:t>00</w:t>
                  </w:r>
                </w:p>
              </w:tc>
            </w:tr>
            <w:tr w14:paraId="5609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continue"/>
                  <w:vAlign w:val="center"/>
                </w:tcPr>
                <w:p w14:paraId="244ADD44">
                  <w:pPr>
                    <w:jc w:val="center"/>
                    <w:contextualSpacing/>
                    <w:rPr>
                      <w:color w:val="auto"/>
                      <w:sz w:val="18"/>
                      <w:szCs w:val="18"/>
                    </w:rPr>
                  </w:pPr>
                </w:p>
              </w:tc>
              <w:tc>
                <w:tcPr>
                  <w:tcW w:w="161" w:type="pct"/>
                  <w:gridSpan w:val="3"/>
                  <w:vMerge w:val="continue"/>
                  <w:vAlign w:val="center"/>
                </w:tcPr>
                <w:p w14:paraId="35614240">
                  <w:pPr>
                    <w:jc w:val="center"/>
                    <w:contextualSpacing/>
                    <w:ind w:firstLine="420"/>
                    <w:rPr>
                      <w:color w:val="auto"/>
                      <w:sz w:val="18"/>
                      <w:szCs w:val="18"/>
                    </w:rPr>
                  </w:pPr>
                </w:p>
              </w:tc>
              <w:tc>
                <w:tcPr>
                  <w:tcW w:w="481" w:type="pct"/>
                  <w:gridSpan w:val="3"/>
                  <w:vMerge w:val="continue"/>
                  <w:vAlign w:val="center"/>
                  <w:shd w:val="clear" w:color="auto" w:fill="auto"/>
                </w:tcPr>
                <w:p w14:paraId="33C2C2C9">
                  <w:pPr>
                    <w:jc w:val="center"/>
                    <w:contextualSpacing/>
                    <w:ind w:firstLine="420"/>
                    <w:rPr>
                      <w:color w:val="auto"/>
                      <w:sz w:val="18"/>
                      <w:szCs w:val="18"/>
                    </w:rPr>
                  </w:pPr>
                </w:p>
              </w:tc>
              <w:tc>
                <w:tcPr>
                  <w:tcW w:w="237" w:type="pct"/>
                  <w:gridSpan w:val="3"/>
                  <w:vAlign w:val="center"/>
                  <w:shd w:val="clear" w:color="auto" w:fill="auto"/>
                </w:tcPr>
                <w:p w14:paraId="187FA9F6">
                  <w:pPr>
                    <w:jc w:val="center"/>
                    <w:contextualSpacing/>
                    <w:rPr>
                      <w:color w:val="auto"/>
                      <w:sz w:val="18"/>
                      <w:szCs w:val="18"/>
                      <w:rFonts w:hAnsi="宋体"/>
                    </w:rPr>
                  </w:pPr>
                  <w:r>
                    <w:rPr>
                      <w:color w:val="auto"/>
                      <w:sz w:val="18"/>
                      <w:szCs w:val="18"/>
                      <w:rFonts w:hAnsi="宋体"/>
                    </w:rPr>
                    <w:t>苯并[a]芘</w:t>
                  </w:r>
                </w:p>
              </w:tc>
              <w:tc>
                <w:tcPr>
                  <w:tcW w:w="344" w:type="pct"/>
                  <w:gridSpan w:val="3"/>
                  <w:vMerge w:val="continue"/>
                  <w:vAlign w:val="center"/>
                  <w:shd w:val="clear" w:color="auto" w:fill="FFFFFF"/>
                </w:tcPr>
                <w:p w14:paraId="5D7089E0">
                  <w:pPr>
                    <w:jc w:val="center"/>
                    <w:contextualSpacing/>
                    <w:shd w:val="clear" w:color="auto" w:fill="FFFFFF"/>
                    <w:rPr>
                      <w:color w:val="auto"/>
                      <w:sz w:val="18"/>
                      <w:szCs w:val="18"/>
                    </w:rPr>
                  </w:pPr>
                </w:p>
              </w:tc>
              <w:tc>
                <w:tcPr>
                  <w:tcW w:w="403" w:type="pct"/>
                  <w:gridSpan w:val="2"/>
                  <w:vAlign w:val="center"/>
                </w:tcPr>
                <w:p w14:paraId="5FB28A8F">
                  <w:pPr>
                    <w:jc w:val="center"/>
                    <w:contextualSpacing/>
                    <w:rPr>
                      <w:color w:val="auto"/>
                      <w:spacing w:val="-14"/>
                      <w:sz w:val="18"/>
                      <w:szCs w:val="18"/>
                      <w:rFonts w:hAnsi="宋体"/>
                    </w:rPr>
                  </w:pPr>
                  <w:r>
                    <w:rPr>
                      <w:color w:val="auto"/>
                      <w:sz w:val="18"/>
                      <w:szCs w:val="18"/>
                      <w:rFonts w:hint="eastAsia"/>
                    </w:rPr>
                    <w:t>0.00</w:t>
                  </w:r>
                  <w:r>
                    <w:rPr>
                      <w:color w:val="auto"/>
                      <w:sz w:val="18"/>
                      <w:lang w:val="en-US" w:eastAsia="zh-CN"/>
                      <w:szCs w:val="18"/>
                      <w:rFonts w:hint="eastAsia"/>
                    </w:rPr>
                    <w:t>64</w:t>
                  </w:r>
                </w:p>
              </w:tc>
              <w:tc>
                <w:tcPr>
                  <w:tcW w:w="419" w:type="pct"/>
                  <w:gridSpan w:val="2"/>
                  <w:vAlign w:val="center"/>
                </w:tcPr>
                <w:p w14:paraId="73433E42">
                  <w:pPr>
                    <w:jc w:val="center"/>
                    <w:contextualSpacing/>
                    <w:rPr>
                      <w:color w:val="auto"/>
                      <w:sz w:val="18"/>
                      <w:szCs w:val="18"/>
                    </w:rPr>
                  </w:pPr>
                  <w:r>
                    <w:rPr>
                      <w:color w:val="auto"/>
                      <w:sz w:val="18"/>
                      <w:lang w:val="en-US" w:eastAsia="zh-CN"/>
                      <w:szCs w:val="18"/>
                      <w:rFonts w:hint="eastAsia"/>
                    </w:rPr>
                    <w:t>2.57</w:t>
                  </w:r>
                  <w:r>
                    <w:rPr>
                      <w:color w:val="auto"/>
                      <w:sz w:val="18"/>
                      <w:szCs w:val="18"/>
                    </w:rPr>
                    <w:t>×10</w:t>
                  </w:r>
                  <w:r>
                    <w:rPr>
                      <w:vertAlign w:val="superscript"/>
                      <w:color w:val="auto"/>
                      <w:sz w:val="18"/>
                      <w:szCs w:val="18"/>
                    </w:rPr>
                    <w:t>-</w:t>
                  </w:r>
                  <w:r>
                    <w:rPr>
                      <w:vertAlign w:val="superscript"/>
                      <w:color w:val="auto"/>
                      <w:sz w:val="18"/>
                      <w:szCs w:val="18"/>
                      <w:rFonts w:hint="eastAsia"/>
                    </w:rPr>
                    <w:t>4</w:t>
                  </w:r>
                </w:p>
              </w:tc>
              <w:tc>
                <w:tcPr>
                  <w:tcW w:w="908" w:type="pct"/>
                  <w:gridSpan w:val="3"/>
                  <w:vMerge w:val="continue"/>
                  <w:vAlign w:val="center"/>
                </w:tcPr>
                <w:p w14:paraId="765CCBA1">
                  <w:pPr>
                    <w:jc w:val="center"/>
                    <w:contextualSpacing/>
                    <w:rPr>
                      <w:color w:val="auto"/>
                      <w:spacing w:val="-6"/>
                      <w:sz w:val="18"/>
                      <w:szCs w:val="18"/>
                    </w:rPr>
                  </w:pPr>
                </w:p>
              </w:tc>
              <w:tc>
                <w:tcPr>
                  <w:tcW w:w="318" w:type="pct"/>
                  <w:gridSpan w:val="3"/>
                  <w:vMerge w:val="continue"/>
                  <w:vAlign w:val="center"/>
                </w:tcPr>
                <w:p w14:paraId="7E55BDC7">
                  <w:pPr>
                    <w:jc w:val="center"/>
                    <w:rPr>
                      <w:color w:val="auto"/>
                      <w:sz w:val="18"/>
                      <w:szCs w:val="18"/>
                    </w:rPr>
                  </w:pPr>
                </w:p>
              </w:tc>
              <w:tc>
                <w:tcPr>
                  <w:tcW w:w="356" w:type="pct"/>
                  <w:gridSpan w:val="4"/>
                  <w:vMerge w:val="continue"/>
                  <w:vAlign w:val="center"/>
                </w:tcPr>
                <w:p w14:paraId="24037BD2">
                  <w:pPr>
                    <w:jc w:val="center"/>
                    <w:contextualSpacing/>
                    <w:rPr>
                      <w:color w:val="auto"/>
                      <w:sz w:val="18"/>
                      <w:szCs w:val="18"/>
                    </w:rPr>
                  </w:pPr>
                </w:p>
              </w:tc>
              <w:tc>
                <w:tcPr>
                  <w:tcW w:w="503" w:type="pct"/>
                  <w:gridSpan w:val="3"/>
                  <w:vAlign w:val="center"/>
                </w:tcPr>
                <w:p w14:paraId="7DA5D6CC">
                  <w:pPr>
                    <w:jc w:val="center"/>
                    <w:contextualSpacing/>
                    <w:shd w:val="clear" w:color="auto" w:fill="FFFFFF"/>
                    <w:rPr>
                      <w:color w:val="auto"/>
                      <w:sz w:val="18"/>
                      <w:szCs w:val="18"/>
                    </w:rPr>
                  </w:pPr>
                  <w:r>
                    <w:rPr>
                      <w:color w:val="auto"/>
                      <w:sz w:val="18"/>
                      <w:szCs w:val="18"/>
                      <w:rFonts w:hint="eastAsia"/>
                    </w:rPr>
                    <w:t>0.000</w:t>
                  </w:r>
                  <w:r>
                    <w:rPr>
                      <w:color w:val="auto"/>
                      <w:sz w:val="18"/>
                      <w:lang w:val="en-US" w:eastAsia="zh-CN"/>
                      <w:szCs w:val="18"/>
                      <w:rFonts w:hint="eastAsia"/>
                    </w:rPr>
                    <w:t>32</w:t>
                  </w:r>
                </w:p>
              </w:tc>
              <w:tc>
                <w:tcPr>
                  <w:tcW w:w="430" w:type="pct"/>
                  <w:gridSpan w:val="2"/>
                  <w:vAlign w:val="center"/>
                </w:tcPr>
                <w:p w14:paraId="5A9A1009">
                  <w:pPr>
                    <w:jc w:val="center"/>
                    <w:contextualSpacing/>
                    <w:rPr>
                      <w:color w:val="auto"/>
                      <w:sz w:val="18"/>
                      <w:lang w:eastAsia="zh-CN"/>
                      <w:szCs w:val="18"/>
                      <w:rFonts w:eastAsia="宋体" w:hint="eastAsia"/>
                    </w:rPr>
                  </w:pPr>
                  <w:r>
                    <w:rPr>
                      <w:color w:val="auto"/>
                      <w:sz w:val="18"/>
                      <w:lang w:val="en-US" w:eastAsia="zh-CN"/>
                      <w:szCs w:val="18"/>
                      <w:rFonts w:hint="eastAsia"/>
                    </w:rPr>
                    <w:t>1.28</w:t>
                  </w:r>
                  <w:r>
                    <w:rPr>
                      <w:color w:val="auto"/>
                      <w:sz w:val="18"/>
                      <w:szCs w:val="18"/>
                    </w:rPr>
                    <w:t>×10</w:t>
                  </w:r>
                  <w:r>
                    <w:rPr>
                      <w:vertAlign w:val="superscript"/>
                      <w:color w:val="auto"/>
                      <w:sz w:val="18"/>
                      <w:szCs w:val="18"/>
                    </w:rPr>
                    <w:t>-</w:t>
                  </w:r>
                  <w:r>
                    <w:rPr>
                      <w:vertAlign w:val="superscript"/>
                      <w:color w:val="auto"/>
                      <w:sz w:val="18"/>
                      <w:lang w:val="en-US" w:eastAsia="zh-CN"/>
                      <w:szCs w:val="18"/>
                      <w:rFonts w:hint="eastAsia"/>
                    </w:rPr>
                    <w:t>5</w:t>
                  </w:r>
                </w:p>
              </w:tc>
              <w:tc>
                <w:tcPr>
                  <w:tcW w:w="240" w:type="pct"/>
                  <w:gridSpan w:val="5"/>
                  <w:vMerge w:val="continue"/>
                  <w:vAlign w:val="center"/>
                  <w:shd w:val="clear" w:color="auto" w:fill="auto"/>
                </w:tcPr>
                <w:p w14:paraId="595C0C41">
                  <w:pPr>
                    <w:jc w:val="center"/>
                    <w:contextualSpacing/>
                    <w:rPr>
                      <w:color w:val="auto"/>
                      <w:sz w:val="18"/>
                      <w:szCs w:val="18"/>
                    </w:rPr>
                  </w:pPr>
                </w:p>
              </w:tc>
            </w:tr>
            <w:tr w14:paraId="537C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continue"/>
                  <w:vAlign w:val="center"/>
                </w:tcPr>
                <w:p w14:paraId="017258C7">
                  <w:pPr>
                    <w:jc w:val="center"/>
                    <w:contextualSpacing/>
                    <w:rPr>
                      <w:color w:val="auto"/>
                      <w:sz w:val="18"/>
                      <w:szCs w:val="18"/>
                    </w:rPr>
                  </w:pPr>
                </w:p>
              </w:tc>
              <w:tc>
                <w:tcPr>
                  <w:tcW w:w="161" w:type="pct"/>
                  <w:gridSpan w:val="3"/>
                  <w:vMerge w:val="continue"/>
                  <w:vAlign w:val="center"/>
                </w:tcPr>
                <w:p w14:paraId="16BFA954">
                  <w:pPr>
                    <w:jc w:val="center"/>
                    <w:contextualSpacing/>
                    <w:ind w:firstLine="420"/>
                    <w:rPr>
                      <w:color w:val="auto"/>
                      <w:sz w:val="18"/>
                      <w:szCs w:val="18"/>
                    </w:rPr>
                  </w:pPr>
                </w:p>
              </w:tc>
              <w:tc>
                <w:tcPr>
                  <w:tcW w:w="481" w:type="pct"/>
                  <w:gridSpan w:val="3"/>
                  <w:vMerge w:val="continue"/>
                  <w:vAlign w:val="center"/>
                  <w:shd w:val="clear" w:color="auto" w:fill="auto"/>
                </w:tcPr>
                <w:p w14:paraId="73604FD8">
                  <w:pPr>
                    <w:jc w:val="center"/>
                    <w:contextualSpacing/>
                    <w:ind w:firstLine="420"/>
                    <w:rPr>
                      <w:color w:val="auto"/>
                      <w:sz w:val="18"/>
                      <w:szCs w:val="18"/>
                    </w:rPr>
                  </w:pPr>
                </w:p>
              </w:tc>
              <w:tc>
                <w:tcPr>
                  <w:tcW w:w="237" w:type="pct"/>
                  <w:gridSpan w:val="3"/>
                  <w:vAlign w:val="center"/>
                  <w:shd w:val="clear" w:color="auto" w:fill="auto"/>
                </w:tcPr>
                <w:p w14:paraId="51039E73">
                  <w:pPr>
                    <w:jc w:val="center"/>
                    <w:contextualSpacing/>
                    <w:rPr>
                      <w:color w:val="auto"/>
                      <w:sz w:val="18"/>
                      <w:szCs w:val="18"/>
                      <w:rFonts w:hAnsi="宋体"/>
                    </w:rPr>
                  </w:pPr>
                  <w:r>
                    <w:rPr>
                      <w:color w:val="auto"/>
                      <w:sz w:val="18"/>
                      <w:szCs w:val="18"/>
                      <w:rFonts w:hAnsi="宋体"/>
                    </w:rPr>
                    <w:t>非甲烷总烃</w:t>
                  </w:r>
                </w:p>
              </w:tc>
              <w:tc>
                <w:tcPr>
                  <w:tcW w:w="344" w:type="pct"/>
                  <w:gridSpan w:val="3"/>
                  <w:vMerge w:val="continue"/>
                  <w:vAlign w:val="center"/>
                  <w:shd w:val="clear" w:color="auto" w:fill="FFFFFF"/>
                </w:tcPr>
                <w:p w14:paraId="5551F484">
                  <w:pPr>
                    <w:jc w:val="center"/>
                    <w:contextualSpacing/>
                    <w:shd w:val="clear" w:color="auto" w:fill="FFFFFF"/>
                    <w:rPr>
                      <w:color w:val="auto"/>
                      <w:sz w:val="18"/>
                      <w:szCs w:val="18"/>
                    </w:rPr>
                  </w:pPr>
                </w:p>
              </w:tc>
              <w:tc>
                <w:tcPr>
                  <w:tcW w:w="403" w:type="pct"/>
                  <w:gridSpan w:val="2"/>
                  <w:vAlign w:val="center"/>
                </w:tcPr>
                <w:p w14:paraId="3F7A11BE">
                  <w:pPr>
                    <w:jc w:val="center"/>
                    <w:contextualSpacing/>
                    <w:rPr>
                      <w:color w:val="auto"/>
                      <w:spacing w:val="-14"/>
                      <w:sz w:val="18"/>
                      <w:szCs w:val="18"/>
                      <w:rFonts w:hAnsi="宋体"/>
                    </w:rPr>
                  </w:pPr>
                  <w:r>
                    <w:rPr>
                      <w:color w:val="auto"/>
                      <w:sz w:val="18"/>
                      <w:szCs w:val="18"/>
                      <w:rFonts w:hint="eastAsia"/>
                    </w:rPr>
                    <w:t>1.</w:t>
                  </w:r>
                  <w:r>
                    <w:rPr>
                      <w:color w:val="auto"/>
                      <w:sz w:val="18"/>
                      <w:lang w:val="en-US" w:eastAsia="zh-CN"/>
                      <w:szCs w:val="18"/>
                      <w:rFonts w:hint="eastAsia"/>
                    </w:rPr>
                    <w:t>8</w:t>
                  </w:r>
                </w:p>
              </w:tc>
              <w:tc>
                <w:tcPr>
                  <w:tcW w:w="419" w:type="pct"/>
                  <w:gridSpan w:val="2"/>
                  <w:vAlign w:val="center"/>
                </w:tcPr>
                <w:p w14:paraId="09F3F20A">
                  <w:pPr>
                    <w:jc w:val="center"/>
                    <w:contextualSpacing/>
                    <w:rPr>
                      <w:color w:val="auto"/>
                      <w:sz w:val="18"/>
                      <w:szCs w:val="18"/>
                    </w:rPr>
                  </w:pPr>
                  <w:r>
                    <w:rPr>
                      <w:color w:val="auto"/>
                      <w:sz w:val="18"/>
                      <w:szCs w:val="18"/>
                    </w:rPr>
                    <w:t>0.</w:t>
                  </w:r>
                  <w:r>
                    <w:rPr>
                      <w:color w:val="auto"/>
                      <w:sz w:val="18"/>
                      <w:szCs w:val="18"/>
                      <w:rFonts w:hint="eastAsia"/>
                    </w:rPr>
                    <w:t>0</w:t>
                  </w:r>
                  <w:r>
                    <w:rPr>
                      <w:color w:val="auto"/>
                      <w:sz w:val="18"/>
                      <w:lang w:val="en-US" w:eastAsia="zh-CN"/>
                      <w:szCs w:val="18"/>
                      <w:rFonts w:hint="eastAsia"/>
                    </w:rPr>
                    <w:t>72</w:t>
                  </w:r>
                </w:p>
              </w:tc>
              <w:tc>
                <w:tcPr>
                  <w:tcW w:w="908" w:type="pct"/>
                  <w:gridSpan w:val="3"/>
                  <w:vMerge w:val="continue"/>
                  <w:vAlign w:val="center"/>
                </w:tcPr>
                <w:p w14:paraId="704EFA86">
                  <w:pPr>
                    <w:jc w:val="center"/>
                    <w:contextualSpacing/>
                    <w:rPr>
                      <w:color w:val="auto"/>
                      <w:spacing w:val="-6"/>
                      <w:sz w:val="18"/>
                      <w:szCs w:val="18"/>
                    </w:rPr>
                  </w:pPr>
                </w:p>
              </w:tc>
              <w:tc>
                <w:tcPr>
                  <w:tcW w:w="318" w:type="pct"/>
                  <w:gridSpan w:val="3"/>
                  <w:vMerge w:val="continue"/>
                  <w:vAlign w:val="center"/>
                </w:tcPr>
                <w:p w14:paraId="64C99EEE">
                  <w:pPr>
                    <w:jc w:val="center"/>
                    <w:rPr>
                      <w:color w:val="auto"/>
                      <w:sz w:val="18"/>
                      <w:szCs w:val="18"/>
                    </w:rPr>
                  </w:pPr>
                </w:p>
              </w:tc>
              <w:tc>
                <w:tcPr>
                  <w:tcW w:w="356" w:type="pct"/>
                  <w:gridSpan w:val="4"/>
                  <w:vMerge w:val="continue"/>
                  <w:vAlign w:val="center"/>
                </w:tcPr>
                <w:p w14:paraId="1C470509">
                  <w:pPr>
                    <w:jc w:val="center"/>
                    <w:contextualSpacing/>
                    <w:rPr>
                      <w:color w:val="auto"/>
                      <w:sz w:val="18"/>
                      <w:szCs w:val="18"/>
                    </w:rPr>
                  </w:pPr>
                </w:p>
              </w:tc>
              <w:tc>
                <w:tcPr>
                  <w:tcW w:w="503" w:type="pct"/>
                  <w:gridSpan w:val="3"/>
                  <w:vAlign w:val="center"/>
                </w:tcPr>
                <w:p w14:paraId="7B7C8E5F">
                  <w:pPr>
                    <w:jc w:val="center"/>
                    <w:contextualSpacing/>
                    <w:shd w:val="clear" w:color="auto" w:fill="FFFFFF"/>
                    <w:rPr>
                      <w:color w:val="auto"/>
                      <w:sz w:val="18"/>
                      <w:szCs w:val="18"/>
                    </w:rPr>
                  </w:pPr>
                  <w:r>
                    <w:rPr>
                      <w:color w:val="auto"/>
                      <w:sz w:val="18"/>
                      <w:szCs w:val="18"/>
                      <w:rFonts w:hint="eastAsia"/>
                    </w:rPr>
                    <w:t>0.0</w:t>
                  </w:r>
                  <w:r>
                    <w:rPr>
                      <w:color w:val="auto"/>
                      <w:sz w:val="18"/>
                      <w:lang w:val="en-US" w:eastAsia="zh-CN"/>
                      <w:szCs w:val="18"/>
                      <w:rFonts w:hint="eastAsia"/>
                    </w:rPr>
                    <w:t>9</w:t>
                  </w:r>
                </w:p>
              </w:tc>
              <w:tc>
                <w:tcPr>
                  <w:tcW w:w="430" w:type="pct"/>
                  <w:gridSpan w:val="2"/>
                  <w:vAlign w:val="center"/>
                </w:tcPr>
                <w:p w14:paraId="60E2A6DB">
                  <w:pPr>
                    <w:jc w:val="center"/>
                    <w:contextualSpacing/>
                    <w:rPr>
                      <w:color w:val="auto"/>
                      <w:sz w:val="18"/>
                      <w:szCs w:val="18"/>
                    </w:rPr>
                  </w:pPr>
                  <w:r>
                    <w:rPr>
                      <w:color w:val="auto"/>
                      <w:sz w:val="18"/>
                      <w:szCs w:val="18"/>
                      <w:rFonts w:hint="eastAsia"/>
                    </w:rPr>
                    <w:t>0.003</w:t>
                  </w:r>
                  <w:r>
                    <w:rPr>
                      <w:color w:val="auto"/>
                      <w:sz w:val="18"/>
                      <w:lang w:val="en-US" w:eastAsia="zh-CN"/>
                      <w:szCs w:val="18"/>
                      <w:rFonts w:hint="eastAsia"/>
                    </w:rPr>
                    <w:t>6</w:t>
                  </w:r>
                </w:p>
              </w:tc>
              <w:tc>
                <w:tcPr>
                  <w:tcW w:w="240" w:type="pct"/>
                  <w:gridSpan w:val="5"/>
                  <w:vMerge w:val="continue"/>
                  <w:vAlign w:val="center"/>
                  <w:shd w:val="clear" w:color="auto" w:fill="auto"/>
                </w:tcPr>
                <w:p w14:paraId="40108E0C">
                  <w:pPr>
                    <w:jc w:val="center"/>
                    <w:contextualSpacing/>
                    <w:rPr>
                      <w:color w:val="auto"/>
                      <w:sz w:val="18"/>
                      <w:szCs w:val="18"/>
                    </w:rPr>
                  </w:pPr>
                </w:p>
              </w:tc>
            </w:tr>
            <w:tr w14:paraId="751E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restart"/>
                  <w:vAlign w:val="center"/>
                </w:tcPr>
                <w:p w14:paraId="775AE8DD">
                  <w:pPr>
                    <w:jc w:val="center"/>
                    <w:contextualSpacing/>
                    <w:rPr>
                      <w:color w:val="auto"/>
                      <w:sz w:val="18"/>
                      <w:lang w:val="en-US" w:eastAsia="zh-CN"/>
                      <w:szCs w:val="18"/>
                      <w:rFonts w:eastAsia="宋体" w:hint="eastAsia"/>
                    </w:rPr>
                  </w:pPr>
                  <w:r>
                    <w:rPr>
                      <w:color w:val="auto"/>
                      <w:sz w:val="18"/>
                      <w:lang w:val="en-US" w:eastAsia="zh-CN"/>
                      <w:szCs w:val="18"/>
                      <w:rFonts w:hint="eastAsia"/>
                    </w:rPr>
                    <w:t>无组织</w:t>
                  </w:r>
                </w:p>
              </w:tc>
              <w:tc>
                <w:tcPr>
                  <w:tcW w:w="161" w:type="pct"/>
                  <w:gridSpan w:val="3"/>
                  <w:vAlign w:val="center"/>
                </w:tcPr>
                <w:p w14:paraId="7E0D588E">
                  <w:pPr>
                    <w:jc w:val="center"/>
                    <w:contextualSpacing/>
                    <w:rPr>
                      <w:color w:val="auto"/>
                      <w:sz w:val="18"/>
                      <w:szCs w:val="18"/>
                    </w:rPr>
                  </w:pPr>
                  <w:r>
                    <w:rPr>
                      <w:color w:val="auto"/>
                      <w:sz w:val="18"/>
                      <w:szCs w:val="18"/>
                    </w:rPr>
                    <w:t>堆场</w:t>
                  </w:r>
                </w:p>
              </w:tc>
              <w:tc>
                <w:tcPr>
                  <w:tcW w:w="481" w:type="pct"/>
                  <w:gridSpan w:val="3"/>
                  <w:vAlign w:val="center"/>
                  <w:shd w:val="clear" w:color="auto" w:fill="auto"/>
                </w:tcPr>
                <w:p w14:paraId="498A4464">
                  <w:pPr>
                    <w:jc w:val="center"/>
                    <w:contextualSpacing/>
                    <w:rPr>
                      <w:color w:val="auto"/>
                      <w:sz w:val="18"/>
                      <w:szCs w:val="18"/>
                    </w:rPr>
                  </w:pPr>
                  <w:r>
                    <w:rPr>
                      <w:color w:val="auto"/>
                      <w:sz w:val="18"/>
                      <w:szCs w:val="18"/>
                    </w:rPr>
                    <w:t>无组织</w:t>
                  </w:r>
                </w:p>
              </w:tc>
              <w:tc>
                <w:tcPr>
                  <w:tcW w:w="237" w:type="pct"/>
                  <w:gridSpan w:val="3"/>
                  <w:vAlign w:val="center"/>
                  <w:shd w:val="clear" w:color="auto" w:fill="auto"/>
                </w:tcPr>
                <w:p w14:paraId="301B43C8">
                  <w:pPr>
                    <w:jc w:val="center"/>
                    <w:contextualSpacing/>
                    <w:rPr>
                      <w:color w:val="auto"/>
                      <w:sz w:val="18"/>
                      <w:szCs w:val="18"/>
                      <w:rFonts w:hAnsi="宋体"/>
                    </w:rPr>
                  </w:pPr>
                  <w:r>
                    <w:rPr>
                      <w:color w:val="auto"/>
                      <w:sz w:val="18"/>
                      <w:szCs w:val="18"/>
                      <w:rFonts w:hAnsi="宋体"/>
                    </w:rPr>
                    <w:t>颗粒物</w:t>
                  </w:r>
                </w:p>
              </w:tc>
              <w:tc>
                <w:tcPr>
                  <w:tcW w:w="344" w:type="pct"/>
                  <w:gridSpan w:val="3"/>
                  <w:vAlign w:val="center"/>
                  <w:shd w:val="clear" w:color="auto" w:fill="FFFFFF"/>
                </w:tcPr>
                <w:p w14:paraId="6287A3A9">
                  <w:pPr>
                    <w:jc w:val="center"/>
                    <w:contextualSpacing/>
                    <w:shd w:val="clear" w:color="auto" w:fill="FFFFFF"/>
                    <w:rPr>
                      <w:color w:val="auto"/>
                      <w:sz w:val="18"/>
                      <w:szCs w:val="18"/>
                    </w:rPr>
                  </w:pPr>
                  <w:r>
                    <w:rPr>
                      <w:color w:val="auto"/>
                      <w:sz w:val="18"/>
                      <w:szCs w:val="18"/>
                      <w:rFonts w:hint="eastAsia"/>
                    </w:rPr>
                    <w:t>/</w:t>
                  </w:r>
                </w:p>
              </w:tc>
              <w:tc>
                <w:tcPr>
                  <w:tcW w:w="403" w:type="pct"/>
                  <w:gridSpan w:val="2"/>
                  <w:vAlign w:val="center"/>
                </w:tcPr>
                <w:p w14:paraId="66F0323E">
                  <w:pPr>
                    <w:jc w:val="center"/>
                    <w:contextualSpacing/>
                    <w:rPr>
                      <w:color w:val="auto"/>
                      <w:spacing w:val="-14"/>
                      <w:sz w:val="18"/>
                      <w:szCs w:val="18"/>
                      <w:rFonts w:hAnsi="宋体"/>
                    </w:rPr>
                  </w:pPr>
                  <w:r>
                    <w:rPr>
                      <w:color w:val="auto"/>
                      <w:spacing w:val="-14"/>
                      <w:sz w:val="18"/>
                      <w:szCs w:val="18"/>
                      <w:rFonts w:hAnsi="宋体" w:hint="eastAsia"/>
                    </w:rPr>
                    <w:t>/</w:t>
                  </w:r>
                </w:p>
              </w:tc>
              <w:tc>
                <w:tcPr>
                  <w:tcW w:w="419" w:type="pct"/>
                  <w:gridSpan w:val="2"/>
                  <w:vAlign w:val="center"/>
                </w:tcPr>
                <w:p w14:paraId="79F2221B">
                  <w:pPr>
                    <w:jc w:val="center"/>
                    <w:contextualSpacing/>
                    <w:rPr>
                      <w:color w:val="auto"/>
                      <w:sz w:val="18"/>
                      <w:lang w:val="en-US" w:eastAsia="zh-CN"/>
                      <w:szCs w:val="18"/>
                      <w:rFonts w:hint="default"/>
                    </w:rPr>
                  </w:pPr>
                  <w:r>
                    <w:rPr>
                      <w:color w:val="auto"/>
                      <w:sz w:val="18"/>
                      <w:lang w:val="en-US" w:eastAsia="zh-CN"/>
                      <w:szCs w:val="18"/>
                      <w:rFonts w:hint="eastAsia"/>
                    </w:rPr>
                    <w:t>0.4t/a</w:t>
                  </w:r>
                </w:p>
              </w:tc>
              <w:tc>
                <w:tcPr>
                  <w:tcW w:w="908" w:type="pct"/>
                  <w:gridSpan w:val="3"/>
                  <w:vAlign w:val="center"/>
                </w:tcPr>
                <w:p w14:paraId="65FEE68A">
                  <w:pPr>
                    <w:jc w:val="center"/>
                    <w:contextualSpacing/>
                    <w:rPr>
                      <w:color w:val="auto"/>
                      <w:sz w:val="18"/>
                      <w:bCs/>
                      <w:szCs w:val="18"/>
                    </w:rPr>
                  </w:pPr>
                  <w:r>
                    <w:rPr>
                      <w:color w:val="auto"/>
                      <w:spacing w:val="-6"/>
                      <w:sz w:val="18"/>
                      <w:bCs/>
                      <w:szCs w:val="18"/>
                      <w:rFonts w:hAnsi="宋体" w:hint="eastAsia"/>
                    </w:rPr>
                    <w:t>洒水抑尘</w:t>
                  </w:r>
                  <w:r>
                    <w:rPr>
                      <w:color w:val="auto"/>
                      <w:spacing w:val="-6"/>
                      <w:sz w:val="18"/>
                      <w:bCs/>
                      <w:szCs w:val="18"/>
                      <w:rFonts w:hAnsi="宋体"/>
                    </w:rPr>
                    <w:t>防风抑尘网</w:t>
                  </w:r>
                </w:p>
              </w:tc>
              <w:tc>
                <w:tcPr>
                  <w:tcW w:w="318" w:type="pct"/>
                  <w:gridSpan w:val="3"/>
                  <w:vAlign w:val="center"/>
                </w:tcPr>
                <w:p w14:paraId="10DC5409">
                  <w:pPr>
                    <w:jc w:val="center"/>
                    <w:rPr>
                      <w:color w:val="auto"/>
                      <w:sz w:val="18"/>
                      <w:szCs w:val="18"/>
                    </w:rPr>
                  </w:pPr>
                  <w:r>
                    <w:rPr>
                      <w:color w:val="auto"/>
                      <w:sz w:val="18"/>
                      <w:szCs w:val="18"/>
                      <w:rFonts w:hint="eastAsia"/>
                    </w:rPr>
                    <w:t>52</w:t>
                  </w:r>
                  <w:r>
                    <w:rPr>
                      <w:color w:val="auto"/>
                      <w:sz w:val="18"/>
                      <w:szCs w:val="18"/>
                    </w:rPr>
                    <w:t>%</w:t>
                  </w:r>
                </w:p>
              </w:tc>
              <w:tc>
                <w:tcPr>
                  <w:tcW w:w="356" w:type="pct"/>
                  <w:gridSpan w:val="4"/>
                  <w:vAlign w:val="center"/>
                </w:tcPr>
                <w:p w14:paraId="4D9A0C28">
                  <w:pPr>
                    <w:jc w:val="center"/>
                    <w:contextualSpacing/>
                    <w:rPr>
                      <w:color w:val="auto"/>
                      <w:sz w:val="18"/>
                      <w:szCs w:val="18"/>
                    </w:rPr>
                  </w:pPr>
                  <w:r>
                    <w:rPr>
                      <w:color w:val="auto"/>
                      <w:sz w:val="18"/>
                      <w:szCs w:val="18"/>
                      <w:rFonts w:hint="eastAsia"/>
                    </w:rPr>
                    <w:t>/</w:t>
                  </w:r>
                </w:p>
              </w:tc>
              <w:tc>
                <w:tcPr>
                  <w:tcW w:w="503" w:type="pct"/>
                  <w:gridSpan w:val="3"/>
                  <w:vAlign w:val="center"/>
                </w:tcPr>
                <w:p w14:paraId="6EBEA964">
                  <w:pPr>
                    <w:jc w:val="center"/>
                    <w:contextualSpacing/>
                    <w:shd w:val="clear" w:color="auto" w:fill="FFFFFF"/>
                    <w:rPr>
                      <w:color w:val="auto"/>
                      <w:sz w:val="18"/>
                      <w:szCs w:val="18"/>
                    </w:rPr>
                  </w:pPr>
                  <w:r>
                    <w:rPr>
                      <w:color w:val="auto"/>
                      <w:sz w:val="18"/>
                      <w:szCs w:val="18"/>
                      <w:rFonts w:hint="eastAsia"/>
                    </w:rPr>
                    <w:t>/</w:t>
                  </w:r>
                </w:p>
              </w:tc>
              <w:tc>
                <w:tcPr>
                  <w:tcW w:w="430" w:type="pct"/>
                  <w:gridSpan w:val="2"/>
                  <w:vAlign w:val="center"/>
                </w:tcPr>
                <w:p w14:paraId="455F80B9">
                  <w:pPr>
                    <w:jc w:val="center"/>
                    <w:contextualSpacing/>
                    <w:rPr>
                      <w:color w:val="auto"/>
                      <w:sz w:val="18"/>
                      <w:lang w:val="en-US" w:eastAsia="zh-CN"/>
                      <w:szCs w:val="18"/>
                      <w:rFonts w:hint="eastAsia"/>
                    </w:rPr>
                  </w:pPr>
                  <w:r>
                    <w:rPr>
                      <w:color w:val="auto"/>
                      <w:sz w:val="18"/>
                      <w:lang w:val="en-US" w:eastAsia="zh-CN"/>
                      <w:szCs w:val="18"/>
                      <w:rFonts w:hint="eastAsia"/>
                    </w:rPr>
                    <w:t>0.192t/a</w:t>
                  </w:r>
                </w:p>
              </w:tc>
              <w:tc>
                <w:tcPr>
                  <w:tcW w:w="240" w:type="pct"/>
                  <w:gridSpan w:val="5"/>
                  <w:vAlign w:val="center"/>
                  <w:shd w:val="clear" w:color="auto" w:fill="auto"/>
                </w:tcPr>
                <w:p w14:paraId="614BD32B">
                  <w:pPr>
                    <w:jc w:val="center"/>
                    <w:contextualSpacing/>
                    <w:rPr>
                      <w:color w:val="auto"/>
                      <w:sz w:val="18"/>
                      <w:szCs w:val="18"/>
                    </w:rPr>
                  </w:pPr>
                  <w:r>
                    <w:rPr>
                      <w:color w:val="auto"/>
                      <w:sz w:val="18"/>
                      <w:lang w:val="en-US" w:eastAsia="zh-CN"/>
                      <w:szCs w:val="18"/>
                      <w:rFonts w:hint="eastAsia"/>
                    </w:rPr>
                    <w:t>576</w:t>
                  </w:r>
                  <w:r>
                    <w:rPr>
                      <w:color w:val="auto"/>
                      <w:sz w:val="18"/>
                      <w:szCs w:val="18"/>
                      <w:rFonts w:hint="eastAsia"/>
                    </w:rPr>
                    <w:t>0</w:t>
                  </w:r>
                </w:p>
              </w:tc>
            </w:tr>
            <w:tr w14:paraId="6EB6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continue"/>
                  <w:vAlign w:val="center"/>
                </w:tcPr>
                <w:p w14:paraId="7230F891">
                  <w:pPr>
                    <w:jc w:val="center"/>
                    <w:contextualSpacing/>
                    <w:rPr>
                      <w:color w:val="auto"/>
                      <w:sz w:val="18"/>
                      <w:szCs w:val="18"/>
                    </w:rPr>
                  </w:pPr>
                </w:p>
              </w:tc>
              <w:tc>
                <w:tcPr>
                  <w:tcW w:w="161" w:type="pct"/>
                  <w:gridSpan w:val="3"/>
                  <w:vAlign w:val="center"/>
                </w:tcPr>
                <w:p w14:paraId="1D436C81">
                  <w:pPr>
                    <w:jc w:val="center"/>
                    <w:contextualSpacing/>
                    <w:rPr>
                      <w:color w:val="auto"/>
                      <w:sz w:val="18"/>
                      <w:szCs w:val="18"/>
                    </w:rPr>
                  </w:pPr>
                  <w:r>
                    <w:rPr>
                      <w:color w:val="auto"/>
                      <w:sz w:val="18"/>
                      <w:szCs w:val="18"/>
                    </w:rPr>
                    <w:t>铲装集堆</w:t>
                  </w:r>
                </w:p>
              </w:tc>
              <w:tc>
                <w:tcPr>
                  <w:tcW w:w="481" w:type="pct"/>
                  <w:gridSpan w:val="3"/>
                  <w:vAlign w:val="center"/>
                  <w:shd w:val="clear" w:color="auto" w:fill="auto"/>
                </w:tcPr>
                <w:p w14:paraId="444E7B40">
                  <w:pPr>
                    <w:jc w:val="center"/>
                    <w:contextualSpacing/>
                    <w:rPr>
                      <w:color w:val="auto"/>
                      <w:sz w:val="18"/>
                      <w:szCs w:val="18"/>
                    </w:rPr>
                  </w:pPr>
                  <w:r>
                    <w:rPr>
                      <w:color w:val="auto"/>
                      <w:sz w:val="18"/>
                      <w:szCs w:val="18"/>
                    </w:rPr>
                    <w:t>无组织</w:t>
                  </w:r>
                </w:p>
              </w:tc>
              <w:tc>
                <w:tcPr>
                  <w:tcW w:w="237" w:type="pct"/>
                  <w:gridSpan w:val="3"/>
                  <w:vAlign w:val="center"/>
                  <w:shd w:val="clear" w:color="auto" w:fill="auto"/>
                </w:tcPr>
                <w:p w14:paraId="4B2E8543">
                  <w:pPr>
                    <w:widowControl w:val="0"/>
                    <w:keepNext w:val="0"/>
                    <w:keepLines w:val="0"/>
                    <w:pageBreakBefore w:val="0"/>
                    <w:wordWrap w:val="1"/>
                    <w:overflowPunct w:val="1"/>
                    <w:topLinePunct w:val="0"/>
                    <w:kinsoku w:val="1"/>
                    <w:autoSpaceDE w:val="1"/>
                    <w:autoSpaceDN w:val="1"/>
                    <w:bidi w:val="0"/>
                    <w:adjustRightInd w:val="1"/>
                    <w:snapToGrid w:val="1"/>
                    <w:jc w:val="center"/>
                    <w:contextualSpacing/>
                    <w:spacing w:line="240" w:lineRule="atLeast"/>
                    <w:rPr>
                      <w:color w:val="auto"/>
                      <w:spacing w:val="-28"/>
                      <w:sz w:val="18"/>
                      <w:szCs w:val="18"/>
                      <w:rFonts w:hAnsi="宋体"/>
                    </w:rPr>
                  </w:pPr>
                  <w:r>
                    <w:rPr>
                      <w:color w:val="auto"/>
                      <w:spacing w:val="-28"/>
                      <w:sz w:val="18"/>
                      <w:szCs w:val="18"/>
                      <w:rFonts w:hAnsi="宋体"/>
                    </w:rPr>
                    <w:t>颗粒物</w:t>
                  </w:r>
                </w:p>
              </w:tc>
              <w:tc>
                <w:tcPr>
                  <w:tcW w:w="344" w:type="pct"/>
                  <w:gridSpan w:val="3"/>
                  <w:vAlign w:val="center"/>
                  <w:shd w:val="clear" w:color="auto" w:fill="FFFFFF"/>
                </w:tcPr>
                <w:p w14:paraId="2E8AF932">
                  <w:pPr>
                    <w:jc w:val="center"/>
                    <w:contextualSpacing/>
                    <w:shd w:val="clear" w:color="auto" w:fill="FFFFFF"/>
                    <w:rPr>
                      <w:color w:val="auto"/>
                      <w:sz w:val="18"/>
                      <w:szCs w:val="18"/>
                    </w:rPr>
                  </w:pPr>
                  <w:r>
                    <w:rPr>
                      <w:color w:val="auto"/>
                      <w:sz w:val="18"/>
                      <w:szCs w:val="18"/>
                      <w:rFonts w:hint="eastAsia"/>
                    </w:rPr>
                    <w:t>/</w:t>
                  </w:r>
                </w:p>
              </w:tc>
              <w:tc>
                <w:tcPr>
                  <w:tcW w:w="403" w:type="pct"/>
                  <w:gridSpan w:val="2"/>
                  <w:vAlign w:val="center"/>
                </w:tcPr>
                <w:p w14:paraId="131E39BE">
                  <w:pPr>
                    <w:jc w:val="center"/>
                    <w:contextualSpacing/>
                    <w:rPr>
                      <w:color w:val="auto"/>
                      <w:spacing w:val="-14"/>
                      <w:sz w:val="18"/>
                      <w:szCs w:val="18"/>
                      <w:rFonts w:hAnsi="宋体"/>
                    </w:rPr>
                  </w:pPr>
                  <w:r>
                    <w:rPr>
                      <w:color w:val="auto"/>
                      <w:spacing w:val="-14"/>
                      <w:sz w:val="18"/>
                      <w:szCs w:val="18"/>
                      <w:rFonts w:hAnsi="宋体" w:hint="eastAsia"/>
                    </w:rPr>
                    <w:t>/</w:t>
                  </w:r>
                </w:p>
              </w:tc>
              <w:tc>
                <w:tcPr>
                  <w:tcW w:w="419" w:type="pct"/>
                  <w:gridSpan w:val="2"/>
                  <w:vAlign w:val="center"/>
                </w:tcPr>
                <w:p w14:paraId="0E8864AD">
                  <w:pPr>
                    <w:jc w:val="center"/>
                    <w:contextualSpacing/>
                    <w:rPr>
                      <w:color w:val="auto"/>
                      <w:sz w:val="18"/>
                      <w:lang w:val="en-US" w:eastAsia="zh-CN"/>
                      <w:szCs w:val="18"/>
                      <w:rFonts w:hint="eastAsia"/>
                    </w:rPr>
                  </w:pPr>
                  <w:r>
                    <w:rPr>
                      <w:color w:val="auto"/>
                      <w:sz w:val="18"/>
                      <w:lang w:val="en-US" w:eastAsia="zh-CN"/>
                      <w:szCs w:val="18"/>
                      <w:rFonts w:hint="eastAsia"/>
                    </w:rPr>
                    <w:t>1.22t/a</w:t>
                  </w:r>
                </w:p>
              </w:tc>
              <w:tc>
                <w:tcPr>
                  <w:tcW w:w="908" w:type="pct"/>
                  <w:gridSpan w:val="3"/>
                  <w:vAlign w:val="center"/>
                </w:tcPr>
                <w:p w14:paraId="46195BC1">
                  <w:pPr>
                    <w:jc w:val="center"/>
                    <w:contextualSpacing/>
                    <w:rPr>
                      <w:color w:val="auto"/>
                      <w:sz w:val="18"/>
                      <w:bCs/>
                      <w:szCs w:val="18"/>
                    </w:rPr>
                  </w:pPr>
                  <w:r>
                    <w:rPr>
                      <w:color w:val="auto"/>
                      <w:spacing w:val="-6"/>
                      <w:sz w:val="18"/>
                      <w:bCs/>
                      <w:szCs w:val="18"/>
                      <w:rFonts w:hAnsi="宋体"/>
                    </w:rPr>
                    <w:t>洒水喷淋</w:t>
                  </w:r>
                </w:p>
              </w:tc>
              <w:tc>
                <w:tcPr>
                  <w:tcW w:w="318" w:type="pct"/>
                  <w:gridSpan w:val="3"/>
                  <w:vAlign w:val="center"/>
                </w:tcPr>
                <w:p w14:paraId="345AE7F0">
                  <w:pPr>
                    <w:jc w:val="center"/>
                    <w:rPr>
                      <w:color w:val="auto"/>
                      <w:sz w:val="18"/>
                      <w:szCs w:val="18"/>
                    </w:rPr>
                  </w:pPr>
                  <w:r>
                    <w:rPr>
                      <w:color w:val="auto"/>
                      <w:sz w:val="18"/>
                      <w:szCs w:val="18"/>
                      <w:rFonts w:hint="eastAsia"/>
                    </w:rPr>
                    <w:t>74</w:t>
                  </w:r>
                  <w:r>
                    <w:rPr>
                      <w:color w:val="auto"/>
                      <w:sz w:val="18"/>
                      <w:szCs w:val="18"/>
                    </w:rPr>
                    <w:t>%</w:t>
                  </w:r>
                </w:p>
              </w:tc>
              <w:tc>
                <w:tcPr>
                  <w:tcW w:w="356" w:type="pct"/>
                  <w:gridSpan w:val="4"/>
                  <w:vAlign w:val="center"/>
                </w:tcPr>
                <w:p w14:paraId="3AD21A81">
                  <w:pPr>
                    <w:jc w:val="center"/>
                    <w:contextualSpacing/>
                    <w:rPr>
                      <w:color w:val="auto"/>
                      <w:sz w:val="18"/>
                      <w:szCs w:val="18"/>
                    </w:rPr>
                  </w:pPr>
                  <w:r>
                    <w:rPr>
                      <w:color w:val="auto"/>
                      <w:sz w:val="18"/>
                      <w:szCs w:val="18"/>
                      <w:rFonts w:hint="eastAsia"/>
                    </w:rPr>
                    <w:t>/</w:t>
                  </w:r>
                </w:p>
              </w:tc>
              <w:tc>
                <w:tcPr>
                  <w:tcW w:w="503" w:type="pct"/>
                  <w:gridSpan w:val="3"/>
                  <w:vAlign w:val="center"/>
                </w:tcPr>
                <w:p w14:paraId="28BE673C">
                  <w:pPr>
                    <w:jc w:val="center"/>
                    <w:contextualSpacing/>
                    <w:shd w:val="clear" w:color="auto" w:fill="FFFFFF"/>
                    <w:rPr>
                      <w:color w:val="auto"/>
                      <w:sz w:val="18"/>
                      <w:szCs w:val="18"/>
                    </w:rPr>
                  </w:pPr>
                  <w:r>
                    <w:rPr>
                      <w:color w:val="auto"/>
                      <w:sz w:val="18"/>
                      <w:szCs w:val="18"/>
                      <w:rFonts w:hint="eastAsia"/>
                    </w:rPr>
                    <w:t>/</w:t>
                  </w:r>
                </w:p>
              </w:tc>
              <w:tc>
                <w:tcPr>
                  <w:tcW w:w="430" w:type="pct"/>
                  <w:gridSpan w:val="2"/>
                  <w:vAlign w:val="center"/>
                </w:tcPr>
                <w:p w14:paraId="235D7A92">
                  <w:pPr>
                    <w:jc w:val="center"/>
                    <w:contextualSpacing/>
                    <w:rPr>
                      <w:color w:val="auto"/>
                      <w:sz w:val="18"/>
                      <w:lang w:val="en-US" w:eastAsia="zh-CN"/>
                      <w:szCs w:val="18"/>
                      <w:rFonts w:hint="eastAsia"/>
                    </w:rPr>
                  </w:pPr>
                  <w:r>
                    <w:rPr>
                      <w:color w:val="auto"/>
                      <w:sz w:val="18"/>
                      <w:lang w:val="en-US" w:eastAsia="zh-CN"/>
                      <w:szCs w:val="18"/>
                      <w:rFonts w:hint="eastAsia"/>
                    </w:rPr>
                    <w:t>0.32t/a</w:t>
                  </w:r>
                </w:p>
              </w:tc>
              <w:tc>
                <w:tcPr>
                  <w:tcW w:w="240" w:type="pct"/>
                  <w:gridSpan w:val="5"/>
                  <w:vAlign w:val="center"/>
                  <w:shd w:val="clear" w:color="auto" w:fill="auto"/>
                </w:tcPr>
                <w:p w14:paraId="7C1C63FB">
                  <w:pPr>
                    <w:jc w:val="center"/>
                    <w:contextualSpacing/>
                    <w:rPr>
                      <w:color w:val="auto"/>
                      <w:sz w:val="18"/>
                      <w:szCs w:val="18"/>
                    </w:rPr>
                  </w:pPr>
                  <w:r>
                    <w:rPr>
                      <w:color w:val="auto"/>
                      <w:sz w:val="18"/>
                      <w:szCs w:val="18"/>
                      <w:rFonts w:hint="eastAsia"/>
                    </w:rPr>
                    <w:t>2</w:t>
                  </w:r>
                  <w:r>
                    <w:rPr>
                      <w:color w:val="auto"/>
                      <w:sz w:val="18"/>
                      <w:lang w:val="en-US" w:eastAsia="zh-CN"/>
                      <w:szCs w:val="18"/>
                      <w:rFonts w:hint="eastAsia"/>
                    </w:rPr>
                    <w:t>4</w:t>
                  </w:r>
                  <w:r>
                    <w:rPr>
                      <w:color w:val="auto"/>
                      <w:sz w:val="18"/>
                      <w:szCs w:val="18"/>
                      <w:rFonts w:hint="eastAsia"/>
                    </w:rPr>
                    <w:t>00</w:t>
                  </w:r>
                </w:p>
              </w:tc>
            </w:tr>
            <w:tr w14:paraId="2BD5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gridAfter w:val="2"/>
                <w:wBefore w:w="1" w:type="pct"/>
                <w:wAfter w:w="1" w:type="pct"/>
                <w:trHeight w:val="397" w:hRule="atLeast"/>
                <w:jc w:val="center"/>
              </w:trPr>
              <w:tc>
                <w:tcPr>
                  <w:tcW w:w="192" w:type="pct"/>
                  <w:gridSpan w:val="2"/>
                  <w:vMerge w:val="continue"/>
                  <w:vAlign w:val="center"/>
                </w:tcPr>
                <w:p w14:paraId="7E39D8CF">
                  <w:pPr>
                    <w:contextualSpacing/>
                    <w:rPr>
                      <w:color w:val="auto"/>
                      <w:sz w:val="18"/>
                      <w:szCs w:val="18"/>
                    </w:rPr>
                  </w:pPr>
                </w:p>
              </w:tc>
              <w:tc>
                <w:tcPr>
                  <w:tcW w:w="161" w:type="pct"/>
                  <w:gridSpan w:val="3"/>
                  <w:vAlign w:val="center"/>
                </w:tcPr>
                <w:p w14:paraId="7D1345C1">
                  <w:pPr>
                    <w:jc w:val="center"/>
                    <w:contextualSpacing/>
                    <w:rPr>
                      <w:color w:val="auto"/>
                      <w:sz w:val="18"/>
                      <w:szCs w:val="18"/>
                    </w:rPr>
                  </w:pPr>
                  <w:r>
                    <w:rPr>
                      <w:color w:val="auto"/>
                      <w:sz w:val="18"/>
                      <w:szCs w:val="18"/>
                    </w:rPr>
                    <w:t>上料</w:t>
                  </w:r>
                </w:p>
              </w:tc>
              <w:tc>
                <w:tcPr>
                  <w:tcW w:w="481" w:type="pct"/>
                  <w:gridSpan w:val="3"/>
                  <w:vAlign w:val="center"/>
                  <w:shd w:val="clear" w:color="auto" w:fill="auto"/>
                </w:tcPr>
                <w:p w14:paraId="2919A60E">
                  <w:pPr>
                    <w:jc w:val="center"/>
                    <w:contextualSpacing/>
                    <w:rPr>
                      <w:color w:val="auto"/>
                      <w:sz w:val="18"/>
                      <w:szCs w:val="18"/>
                    </w:rPr>
                  </w:pPr>
                  <w:r>
                    <w:rPr>
                      <w:color w:val="auto"/>
                      <w:sz w:val="18"/>
                      <w:szCs w:val="18"/>
                    </w:rPr>
                    <w:t>无组织</w:t>
                  </w:r>
                </w:p>
              </w:tc>
              <w:tc>
                <w:tcPr>
                  <w:tcW w:w="237" w:type="pct"/>
                  <w:gridSpan w:val="3"/>
                  <w:vAlign w:val="center"/>
                  <w:shd w:val="clear" w:color="auto" w:fill="auto"/>
                </w:tcPr>
                <w:p w14:paraId="2E1A5D6E">
                  <w:pPr>
                    <w:widowControl w:val="0"/>
                    <w:keepNext w:val="0"/>
                    <w:keepLines w:val="0"/>
                    <w:pageBreakBefore w:val="0"/>
                    <w:wordWrap w:val="1"/>
                    <w:overflowPunct w:val="1"/>
                    <w:topLinePunct w:val="0"/>
                    <w:kinsoku w:val="1"/>
                    <w:autoSpaceDE w:val="1"/>
                    <w:autoSpaceDN w:val="1"/>
                    <w:bidi w:val="0"/>
                    <w:adjustRightInd w:val="1"/>
                    <w:snapToGrid w:val="1"/>
                    <w:contextualSpacing/>
                    <w:spacing w:line="240" w:lineRule="atLeast"/>
                    <w:rPr>
                      <w:color w:val="auto"/>
                      <w:spacing w:val="-28"/>
                      <w:sz w:val="18"/>
                      <w:szCs w:val="18"/>
                      <w:rFonts w:hAnsi="宋体"/>
                    </w:rPr>
                  </w:pPr>
                  <w:r>
                    <w:rPr>
                      <w:color w:val="auto"/>
                      <w:spacing w:val="-28"/>
                      <w:sz w:val="18"/>
                      <w:szCs w:val="18"/>
                      <w:rFonts w:hAnsi="宋体"/>
                    </w:rPr>
                    <w:t>颗粒物</w:t>
                  </w:r>
                </w:p>
              </w:tc>
              <w:tc>
                <w:tcPr>
                  <w:tcW w:w="344" w:type="pct"/>
                  <w:gridSpan w:val="3"/>
                  <w:vAlign w:val="center"/>
                  <w:shd w:val="clear" w:color="auto" w:fill="FFFFFF"/>
                </w:tcPr>
                <w:p w14:paraId="2A836A8F">
                  <w:pPr>
                    <w:jc w:val="center"/>
                    <w:contextualSpacing/>
                    <w:shd w:val="clear" w:color="auto" w:fill="FFFFFF"/>
                    <w:rPr>
                      <w:color w:val="auto"/>
                      <w:sz w:val="18"/>
                      <w:szCs w:val="18"/>
                    </w:rPr>
                  </w:pPr>
                  <w:r>
                    <w:rPr>
                      <w:color w:val="auto"/>
                      <w:sz w:val="18"/>
                      <w:szCs w:val="18"/>
                      <w:rFonts w:hint="eastAsia"/>
                    </w:rPr>
                    <w:t>/</w:t>
                  </w:r>
                </w:p>
              </w:tc>
              <w:tc>
                <w:tcPr>
                  <w:tcW w:w="403" w:type="pct"/>
                  <w:gridSpan w:val="2"/>
                  <w:vAlign w:val="center"/>
                </w:tcPr>
                <w:p w14:paraId="78C69D0D">
                  <w:pPr>
                    <w:jc w:val="center"/>
                    <w:contextualSpacing/>
                    <w:rPr>
                      <w:color w:val="auto"/>
                      <w:spacing w:val="-14"/>
                      <w:sz w:val="18"/>
                      <w:szCs w:val="18"/>
                      <w:rFonts w:hAnsi="宋体"/>
                    </w:rPr>
                  </w:pPr>
                  <w:r>
                    <w:rPr>
                      <w:color w:val="auto"/>
                      <w:spacing w:val="-14"/>
                      <w:sz w:val="18"/>
                      <w:szCs w:val="18"/>
                      <w:rFonts w:hAnsi="宋体" w:hint="eastAsia"/>
                    </w:rPr>
                    <w:t>/</w:t>
                  </w:r>
                </w:p>
              </w:tc>
              <w:tc>
                <w:tcPr>
                  <w:tcW w:w="419" w:type="pct"/>
                  <w:gridSpan w:val="2"/>
                  <w:vAlign w:val="center"/>
                </w:tcPr>
                <w:p w14:paraId="38A695ED">
                  <w:pPr>
                    <w:jc w:val="center"/>
                    <w:contextualSpacing/>
                    <w:rPr>
                      <w:color w:val="auto"/>
                      <w:sz w:val="18"/>
                      <w:lang w:val="en-US" w:eastAsia="zh-CN"/>
                      <w:szCs w:val="18"/>
                      <w:rFonts w:hint="eastAsia"/>
                    </w:rPr>
                  </w:pPr>
                  <w:r>
                    <w:rPr>
                      <w:color w:val="auto"/>
                      <w:sz w:val="18"/>
                      <w:lang w:val="en-US" w:eastAsia="zh-CN"/>
                      <w:szCs w:val="18"/>
                      <w:rFonts w:hint="eastAsia"/>
                    </w:rPr>
                    <w:t>0.21t/a</w:t>
                  </w:r>
                </w:p>
              </w:tc>
              <w:tc>
                <w:tcPr>
                  <w:tcW w:w="908" w:type="pct"/>
                  <w:gridSpan w:val="3"/>
                  <w:vAlign w:val="center"/>
                </w:tcPr>
                <w:p w14:paraId="488762CE">
                  <w:pPr>
                    <w:jc w:val="center"/>
                    <w:contextualSpacing/>
                    <w:rPr>
                      <w:color w:val="auto"/>
                      <w:spacing w:val="-6"/>
                      <w:sz w:val="18"/>
                      <w:bCs/>
                      <w:szCs w:val="18"/>
                      <w:rFonts w:hAnsi="宋体"/>
                    </w:rPr>
                  </w:pPr>
                  <w:r>
                    <w:rPr>
                      <w:color w:val="auto"/>
                      <w:sz w:val="18"/>
                      <w:szCs w:val="18"/>
                    </w:rPr>
                    <w:t>/</w:t>
                  </w:r>
                </w:p>
              </w:tc>
              <w:tc>
                <w:tcPr>
                  <w:tcW w:w="318" w:type="pct"/>
                  <w:gridSpan w:val="3"/>
                  <w:vAlign w:val="center"/>
                </w:tcPr>
                <w:p w14:paraId="53B2FFAE">
                  <w:pPr>
                    <w:jc w:val="center"/>
                    <w:rPr>
                      <w:color w:val="auto"/>
                      <w:sz w:val="18"/>
                      <w:szCs w:val="18"/>
                    </w:rPr>
                  </w:pPr>
                  <w:r>
                    <w:rPr>
                      <w:color w:val="auto"/>
                      <w:sz w:val="18"/>
                      <w:szCs w:val="18"/>
                    </w:rPr>
                    <w:t>/</w:t>
                  </w:r>
                </w:p>
              </w:tc>
              <w:tc>
                <w:tcPr>
                  <w:tcW w:w="356" w:type="pct"/>
                  <w:gridSpan w:val="4"/>
                  <w:vAlign w:val="center"/>
                </w:tcPr>
                <w:p w14:paraId="175F011C">
                  <w:pPr>
                    <w:jc w:val="center"/>
                    <w:contextualSpacing/>
                    <w:rPr>
                      <w:color w:val="auto"/>
                      <w:sz w:val="18"/>
                      <w:szCs w:val="18"/>
                    </w:rPr>
                  </w:pPr>
                  <w:r>
                    <w:rPr>
                      <w:color w:val="auto"/>
                      <w:sz w:val="18"/>
                      <w:szCs w:val="18"/>
                      <w:rFonts w:hint="eastAsia"/>
                    </w:rPr>
                    <w:t>/</w:t>
                  </w:r>
                </w:p>
              </w:tc>
              <w:tc>
                <w:tcPr>
                  <w:tcW w:w="503" w:type="pct"/>
                  <w:gridSpan w:val="3"/>
                  <w:vAlign w:val="center"/>
                </w:tcPr>
                <w:p w14:paraId="2CBE6BDD">
                  <w:pPr>
                    <w:jc w:val="center"/>
                    <w:contextualSpacing/>
                    <w:shd w:val="clear" w:color="auto" w:fill="FFFFFF"/>
                    <w:rPr>
                      <w:color w:val="auto"/>
                      <w:sz w:val="18"/>
                      <w:szCs w:val="18"/>
                    </w:rPr>
                  </w:pPr>
                  <w:r>
                    <w:rPr>
                      <w:color w:val="auto"/>
                      <w:sz w:val="18"/>
                      <w:szCs w:val="18"/>
                    </w:rPr>
                    <w:t>/</w:t>
                  </w:r>
                </w:p>
              </w:tc>
              <w:tc>
                <w:tcPr>
                  <w:tcW w:w="430" w:type="pct"/>
                  <w:gridSpan w:val="2"/>
                  <w:vAlign w:val="center"/>
                </w:tcPr>
                <w:p w14:paraId="3FDA6471">
                  <w:pPr>
                    <w:jc w:val="center"/>
                    <w:contextualSpacing/>
                    <w:rPr>
                      <w:color w:val="auto"/>
                      <w:sz w:val="18"/>
                      <w:lang w:val="en-US" w:eastAsia="zh-CN"/>
                      <w:szCs w:val="18"/>
                      <w:rFonts w:hint="eastAsia"/>
                    </w:rPr>
                  </w:pPr>
                  <w:r>
                    <w:rPr>
                      <w:color w:val="auto"/>
                      <w:sz w:val="18"/>
                      <w:lang w:val="en-US" w:eastAsia="zh-CN"/>
                      <w:szCs w:val="18"/>
                      <w:rFonts w:hint="eastAsia"/>
                    </w:rPr>
                    <w:t>0.021t/a</w:t>
                  </w:r>
                </w:p>
              </w:tc>
              <w:tc>
                <w:tcPr>
                  <w:tcW w:w="240" w:type="pct"/>
                  <w:gridSpan w:val="5"/>
                  <w:vAlign w:val="center"/>
                  <w:shd w:val="clear" w:color="auto" w:fill="auto"/>
                </w:tcPr>
                <w:p w14:paraId="2FC9928D">
                  <w:pPr>
                    <w:jc w:val="center"/>
                    <w:contextualSpacing/>
                    <w:rPr>
                      <w:color w:val="auto"/>
                      <w:sz w:val="18"/>
                      <w:szCs w:val="18"/>
                    </w:rPr>
                  </w:pPr>
                  <w:r>
                    <w:rPr>
                      <w:color w:val="auto"/>
                      <w:sz w:val="18"/>
                      <w:szCs w:val="18"/>
                      <w:rFonts w:hint="eastAsia"/>
                    </w:rPr>
                    <w:t>2</w:t>
                  </w:r>
                  <w:r>
                    <w:rPr>
                      <w:color w:val="auto"/>
                      <w:sz w:val="18"/>
                      <w:lang w:val="en-US" w:eastAsia="zh-CN"/>
                      <w:szCs w:val="18"/>
                      <w:rFonts w:hint="eastAsia"/>
                    </w:rPr>
                    <w:t>4</w:t>
                  </w:r>
                  <w:r>
                    <w:rPr>
                      <w:color w:val="auto"/>
                      <w:sz w:val="18"/>
                      <w:szCs w:val="18"/>
                      <w:rFonts w:hint="eastAsia"/>
                    </w:rPr>
                    <w:t>00</w:t>
                  </w:r>
                </w:p>
              </w:tc>
            </w:tr>
            <w:tr w14:paraId="2B74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wBefore w:w="1" w:type="pct"/>
                <w:trHeight w:val="397" w:hRule="atLeast"/>
                <w:jc w:val="center"/>
              </w:trPr>
              <w:tc>
                <w:tcPr>
                  <w:tcW w:w="192" w:type="pct"/>
                  <w:gridSpan w:val="3"/>
                  <w:vMerge w:val="continue"/>
                  <w:vAlign w:val="center"/>
                </w:tcPr>
                <w:p w14:paraId="0912048B">
                  <w:pPr>
                    <w:jc w:val="center"/>
                    <w:contextualSpacing/>
                    <w:rPr>
                      <w:color w:val="auto"/>
                      <w:sz w:val="18"/>
                      <w:szCs w:val="18"/>
                    </w:rPr>
                  </w:pPr>
                </w:p>
              </w:tc>
              <w:tc>
                <w:tcPr>
                  <w:tcW w:w="161" w:type="pct"/>
                  <w:gridSpan w:val="3"/>
                  <w:vMerge w:val="restart"/>
                  <w:vAlign w:val="center"/>
                </w:tcPr>
                <w:p w14:paraId="46E11F67">
                  <w:pPr>
                    <w:jc w:val="center"/>
                    <w:contextualSpacing/>
                    <w:rPr>
                      <w:color w:val="auto"/>
                      <w:sz w:val="18"/>
                      <w:szCs w:val="18"/>
                    </w:rPr>
                  </w:pPr>
                  <w:r>
                    <w:rPr>
                      <w:color w:val="auto"/>
                      <w:sz w:val="18"/>
                      <w:szCs w:val="18"/>
                    </w:rPr>
                    <w:t>放料口</w:t>
                  </w:r>
                </w:p>
              </w:tc>
              <w:tc>
                <w:tcPr>
                  <w:tcW w:w="481" w:type="pct"/>
                  <w:gridSpan w:val="3"/>
                  <w:vMerge w:val="restart"/>
                  <w:vAlign w:val="center"/>
                  <w:shd w:val="clear" w:color="auto" w:fill="auto"/>
                </w:tcPr>
                <w:p w14:paraId="2F6FC992">
                  <w:pPr>
                    <w:jc w:val="center"/>
                    <w:contextualSpacing/>
                    <w:rPr>
                      <w:color w:val="auto"/>
                      <w:sz w:val="18"/>
                      <w:szCs w:val="18"/>
                    </w:rPr>
                  </w:pPr>
                  <w:r>
                    <w:rPr>
                      <w:color w:val="auto"/>
                      <w:sz w:val="18"/>
                      <w:szCs w:val="18"/>
                      <w:rFonts w:hAnsi="宋体"/>
                    </w:rPr>
                    <w:t>无组织</w:t>
                  </w:r>
                </w:p>
              </w:tc>
              <w:tc>
                <w:tcPr>
                  <w:tcW w:w="237" w:type="pct"/>
                  <w:gridSpan w:val="3"/>
                  <w:vAlign w:val="center"/>
                  <w:shd w:val="clear" w:color="auto" w:fill="auto"/>
                </w:tcPr>
                <w:p w14:paraId="1F8B178F">
                  <w:pPr>
                    <w:jc w:val="center"/>
                    <w:contextualSpacing/>
                    <w:rPr>
                      <w:color w:val="auto"/>
                      <w:spacing w:val="-40"/>
                      <w:sz w:val="18"/>
                      <w:bCs/>
                      <w:szCs w:val="18"/>
                      <w:rFonts w:hAnsi="宋体" w:hint="eastAsia"/>
                    </w:rPr>
                  </w:pPr>
                  <w:r>
                    <w:rPr>
                      <w:color w:val="auto"/>
                      <w:spacing w:val="-40"/>
                      <w:sz w:val="18"/>
                      <w:bCs/>
                      <w:szCs w:val="18"/>
                      <w:rFonts w:hAnsi="宋体" w:hint="eastAsia"/>
                    </w:rPr>
                    <w:t>沥青烟</w:t>
                  </w:r>
                </w:p>
              </w:tc>
              <w:tc>
                <w:tcPr>
                  <w:tcW w:w="344" w:type="pct"/>
                  <w:gridSpan w:val="3"/>
                  <w:vAlign w:val="center"/>
                  <w:shd w:val="clear" w:color="auto" w:fill="FFFFFF"/>
                </w:tcPr>
                <w:p w14:paraId="702A1A16">
                  <w:pPr>
                    <w:jc w:val="center"/>
                    <w:contextualSpacing/>
                    <w:shd w:val="clear" w:color="auto" w:fill="FFFFFF"/>
                    <w:rPr>
                      <w:color w:val="auto"/>
                      <w:sz w:val="18"/>
                      <w:szCs w:val="18"/>
                    </w:rPr>
                  </w:pPr>
                  <w:r>
                    <w:rPr>
                      <w:color w:val="auto"/>
                      <w:sz w:val="18"/>
                      <w:szCs w:val="18"/>
                    </w:rPr>
                    <w:t>/</w:t>
                  </w:r>
                </w:p>
              </w:tc>
              <w:tc>
                <w:tcPr>
                  <w:tcW w:w="403" w:type="pct"/>
                  <w:gridSpan w:val="2"/>
                  <w:vAlign w:val="center"/>
                </w:tcPr>
                <w:p w14:paraId="50614ACB">
                  <w:pPr>
                    <w:jc w:val="center"/>
                    <w:contextualSpacing/>
                    <w:rPr>
                      <w:color w:val="auto"/>
                      <w:spacing w:val="-14"/>
                      <w:sz w:val="18"/>
                      <w:szCs w:val="18"/>
                      <w:rFonts w:hAnsi="宋体"/>
                    </w:rPr>
                  </w:pPr>
                  <w:r>
                    <w:rPr>
                      <w:color w:val="auto"/>
                      <w:spacing w:val="-14"/>
                      <w:sz w:val="18"/>
                      <w:szCs w:val="18"/>
                      <w:rFonts w:hAnsi="宋体"/>
                    </w:rPr>
                    <w:t>/</w:t>
                  </w:r>
                </w:p>
              </w:tc>
              <w:tc>
                <w:tcPr>
                  <w:tcW w:w="703" w:type="dxa"/>
                  <w:gridSpan w:val="3"/>
                  <w:vAlign w:val="center"/>
                </w:tcPr>
                <w:p w14:paraId="709803F3">
                  <w:pPr>
                    <w:jc w:val="center"/>
                    <w:contextualSpacing/>
                    <w:rPr>
                      <w:color w:val="auto"/>
                      <w:sz w:val="18"/>
                      <w:szCs w:val="18"/>
                    </w:rPr>
                  </w:pPr>
                  <w:r>
                    <w:rPr>
                      <w:color w:val="auto"/>
                      <w:sz w:val="18"/>
                      <w:szCs w:val="18"/>
                    </w:rPr>
                    <w:t>0.</w:t>
                  </w:r>
                  <w:r>
                    <w:rPr>
                      <w:color w:val="auto"/>
                      <w:sz w:val="18"/>
                      <w:szCs w:val="18"/>
                      <w:rFonts w:hint="eastAsia"/>
                    </w:rPr>
                    <w:t>1</w:t>
                  </w:r>
                  <w:r>
                    <w:rPr>
                      <w:color w:val="auto"/>
                      <w:sz w:val="18"/>
                      <w:lang w:val="en-US" w:eastAsia="zh-CN"/>
                      <w:szCs w:val="18"/>
                      <w:rFonts w:hint="eastAsia"/>
                    </w:rPr>
                    <w:t>6</w:t>
                  </w:r>
                  <w:r>
                    <w:rPr>
                      <w:color w:val="auto"/>
                      <w:sz w:val="18"/>
                      <w:szCs w:val="18"/>
                      <w:rFonts w:hint="eastAsia"/>
                    </w:rPr>
                    <w:t>25</w:t>
                  </w:r>
                  <w:r>
                    <w:rPr>
                      <w:color w:val="auto"/>
                      <w:sz w:val="18"/>
                      <w:szCs w:val="18"/>
                    </w:rPr>
                    <w:t>t/a</w:t>
                  </w:r>
                </w:p>
              </w:tc>
              <w:tc>
                <w:tcPr>
                  <w:tcW w:w="908" w:type="pct"/>
                  <w:gridSpan w:val="3"/>
                  <w:vMerge w:val="restart"/>
                  <w:vAlign w:val="center"/>
                </w:tcPr>
                <w:p w14:paraId="3B1C1C88">
                  <w:pPr>
                    <w:jc w:val="center"/>
                    <w:contextualSpacing/>
                    <w:rPr>
                      <w:color w:val="auto"/>
                      <w:sz w:val="18"/>
                      <w:szCs w:val="18"/>
                    </w:rPr>
                  </w:pPr>
                  <w:r>
                    <w:rPr>
                      <w:color w:val="auto"/>
                      <w:sz w:val="18"/>
                      <w:szCs w:val="18"/>
                    </w:rPr>
                    <w:t>/</w:t>
                  </w:r>
                </w:p>
              </w:tc>
              <w:tc>
                <w:tcPr>
                  <w:tcW w:w="318" w:type="pct"/>
                  <w:gridSpan w:val="4"/>
                  <w:vAlign w:val="center"/>
                </w:tcPr>
                <w:p w14:paraId="25549AFD">
                  <w:pPr>
                    <w:jc w:val="center"/>
                    <w:rPr>
                      <w:color w:val="auto"/>
                      <w:sz w:val="18"/>
                      <w:szCs w:val="18"/>
                    </w:rPr>
                  </w:pPr>
                  <w:r>
                    <w:rPr>
                      <w:color w:val="auto"/>
                      <w:sz w:val="18"/>
                      <w:szCs w:val="18"/>
                    </w:rPr>
                    <w:t>/</w:t>
                  </w:r>
                </w:p>
              </w:tc>
              <w:tc>
                <w:tcPr>
                  <w:tcW w:w="356" w:type="pct"/>
                  <w:gridSpan w:val="3"/>
                  <w:vAlign w:val="center"/>
                </w:tcPr>
                <w:p w14:paraId="01F18D72">
                  <w:pPr>
                    <w:jc w:val="center"/>
                    <w:contextualSpacing/>
                    <w:rPr>
                      <w:color w:val="auto"/>
                      <w:sz w:val="18"/>
                      <w:szCs w:val="18"/>
                    </w:rPr>
                  </w:pPr>
                  <w:r>
                    <w:rPr>
                      <w:color w:val="auto"/>
                      <w:sz w:val="18"/>
                      <w:szCs w:val="18"/>
                      <w:rFonts w:hint="eastAsia"/>
                    </w:rPr>
                    <w:t>/</w:t>
                  </w:r>
                </w:p>
              </w:tc>
              <w:tc>
                <w:tcPr>
                  <w:tcW w:w="503" w:type="pct"/>
                  <w:gridSpan w:val="2"/>
                  <w:vAlign w:val="center"/>
                </w:tcPr>
                <w:p w14:paraId="4EAD1456">
                  <w:pPr>
                    <w:jc w:val="center"/>
                    <w:contextualSpacing/>
                    <w:shd w:val="clear" w:color="auto" w:fill="FFFFFF"/>
                    <w:rPr>
                      <w:color w:val="auto"/>
                      <w:sz w:val="18"/>
                      <w:szCs w:val="18"/>
                    </w:rPr>
                  </w:pPr>
                  <w:r>
                    <w:rPr>
                      <w:color w:val="auto"/>
                      <w:sz w:val="18"/>
                      <w:szCs w:val="18"/>
                    </w:rPr>
                    <w:t>/</w:t>
                  </w:r>
                </w:p>
              </w:tc>
              <w:tc>
                <w:tcPr>
                  <w:tcW w:w="430" w:type="pct"/>
                  <w:gridSpan w:val="4"/>
                  <w:vAlign w:val="center"/>
                </w:tcPr>
                <w:p w14:paraId="5C598A96">
                  <w:pPr>
                    <w:jc w:val="center"/>
                    <w:contextualSpacing/>
                    <w:rPr>
                      <w:color w:val="auto"/>
                      <w:sz w:val="18"/>
                      <w:szCs w:val="18"/>
                    </w:rPr>
                  </w:pPr>
                  <w:r>
                    <w:rPr>
                      <w:color w:val="auto"/>
                      <w:sz w:val="18"/>
                      <w:szCs w:val="18"/>
                    </w:rPr>
                    <w:t>0.</w:t>
                  </w:r>
                  <w:r>
                    <w:rPr>
                      <w:color w:val="auto"/>
                      <w:sz w:val="18"/>
                      <w:szCs w:val="18"/>
                      <w:rFonts w:hint="eastAsia"/>
                    </w:rPr>
                    <w:t>1</w:t>
                  </w:r>
                  <w:r>
                    <w:rPr>
                      <w:color w:val="auto"/>
                      <w:sz w:val="18"/>
                      <w:lang w:val="en-US" w:eastAsia="zh-CN"/>
                      <w:szCs w:val="18"/>
                      <w:rFonts w:hint="eastAsia"/>
                    </w:rPr>
                    <w:t>6</w:t>
                  </w:r>
                  <w:r>
                    <w:rPr>
                      <w:color w:val="auto"/>
                      <w:sz w:val="18"/>
                      <w:szCs w:val="18"/>
                      <w:rFonts w:hint="eastAsia"/>
                    </w:rPr>
                    <w:t>25</w:t>
                  </w:r>
                  <w:r>
                    <w:rPr>
                      <w:color w:val="auto"/>
                      <w:sz w:val="18"/>
                      <w:szCs w:val="18"/>
                    </w:rPr>
                    <w:t>t/a</w:t>
                  </w:r>
                </w:p>
              </w:tc>
              <w:tc>
                <w:tcPr>
                  <w:tcW w:w="240" w:type="pct"/>
                  <w:gridSpan w:val="4"/>
                  <w:vMerge w:val="restart"/>
                  <w:vAlign w:val="center"/>
                  <w:shd w:val="clear" w:color="auto" w:fill="auto"/>
                </w:tcPr>
                <w:p w14:paraId="1845C8C6">
                  <w:pPr>
                    <w:jc w:val="center"/>
                    <w:contextualSpacing/>
                    <w:rPr>
                      <w:color w:val="auto"/>
                      <w:sz w:val="18"/>
                      <w:szCs w:val="18"/>
                    </w:rPr>
                  </w:pPr>
                  <w:r>
                    <w:rPr>
                      <w:color w:val="auto"/>
                      <w:sz w:val="18"/>
                      <w:szCs w:val="18"/>
                      <w:rFonts w:hint="eastAsia"/>
                    </w:rPr>
                    <w:t>2</w:t>
                  </w:r>
                  <w:r>
                    <w:rPr>
                      <w:color w:val="auto"/>
                      <w:sz w:val="18"/>
                      <w:lang w:val="en-US" w:eastAsia="zh-CN"/>
                      <w:szCs w:val="18"/>
                      <w:rFonts w:hint="eastAsia"/>
                    </w:rPr>
                    <w:t>4</w:t>
                  </w:r>
                  <w:r>
                    <w:rPr>
                      <w:color w:val="auto"/>
                      <w:sz w:val="18"/>
                      <w:szCs w:val="18"/>
                      <w:rFonts w:hint="eastAsia"/>
                    </w:rPr>
                    <w:t>00</w:t>
                  </w:r>
                </w:p>
              </w:tc>
            </w:tr>
            <w:tr w14:paraId="79AD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wBefore w:w="1" w:type="pct"/>
                <w:trHeight w:val="397" w:hRule="atLeast"/>
                <w:jc w:val="center"/>
              </w:trPr>
              <w:tc>
                <w:tcPr>
                  <w:tcW w:w="192" w:type="pct"/>
                  <w:gridSpan w:val="3"/>
                  <w:vMerge w:val="continue"/>
                  <w:vAlign w:val="center"/>
                </w:tcPr>
                <w:p w14:paraId="437C5EF5">
                  <w:pPr>
                    <w:jc w:val="center"/>
                    <w:contextualSpacing/>
                    <w:rPr>
                      <w:color w:val="auto"/>
                      <w:sz w:val="18"/>
                      <w:szCs w:val="18"/>
                    </w:rPr>
                  </w:pPr>
                </w:p>
              </w:tc>
              <w:tc>
                <w:tcPr>
                  <w:tcW w:w="161" w:type="pct"/>
                  <w:gridSpan w:val="3"/>
                  <w:vMerge w:val="continue"/>
                  <w:vAlign w:val="center"/>
                </w:tcPr>
                <w:p w14:paraId="7B97A034">
                  <w:pPr>
                    <w:jc w:val="center"/>
                    <w:contextualSpacing/>
                    <w:rPr>
                      <w:color w:val="auto"/>
                      <w:sz w:val="18"/>
                      <w:szCs w:val="18"/>
                    </w:rPr>
                  </w:pPr>
                </w:p>
              </w:tc>
              <w:tc>
                <w:tcPr>
                  <w:tcW w:w="481" w:type="pct"/>
                  <w:gridSpan w:val="3"/>
                  <w:vMerge w:val="continue"/>
                  <w:vAlign w:val="center"/>
                  <w:shd w:val="clear" w:color="auto" w:fill="auto"/>
                </w:tcPr>
                <w:p w14:paraId="053CFD1F">
                  <w:pPr>
                    <w:jc w:val="center"/>
                    <w:contextualSpacing/>
                    <w:rPr>
                      <w:color w:val="auto"/>
                      <w:sz w:val="18"/>
                      <w:szCs w:val="18"/>
                    </w:rPr>
                  </w:pPr>
                </w:p>
              </w:tc>
              <w:tc>
                <w:tcPr>
                  <w:tcW w:w="237" w:type="pct"/>
                  <w:gridSpan w:val="3"/>
                  <w:vAlign w:val="center"/>
                  <w:shd w:val="clear" w:color="auto" w:fill="auto"/>
                </w:tcPr>
                <w:p w14:paraId="783D3078">
                  <w:pPr>
                    <w:jc w:val="center"/>
                    <w:contextualSpacing/>
                    <w:rPr>
                      <w:color w:val="auto"/>
                      <w:spacing w:val="-40"/>
                      <w:sz w:val="18"/>
                      <w:bCs/>
                      <w:szCs w:val="18"/>
                      <w:rFonts w:hAnsi="宋体" w:hint="eastAsia"/>
                    </w:rPr>
                  </w:pPr>
                  <w:r>
                    <w:rPr>
                      <w:color w:val="auto"/>
                      <w:spacing w:val="-40"/>
                      <w:sz w:val="18"/>
                      <w:bCs/>
                      <w:szCs w:val="18"/>
                      <w:rFonts w:hAnsi="宋体" w:hint="eastAsia"/>
                    </w:rPr>
                    <w:t>苯并[a]芘</w:t>
                  </w:r>
                </w:p>
              </w:tc>
              <w:tc>
                <w:tcPr>
                  <w:tcW w:w="344" w:type="pct"/>
                  <w:gridSpan w:val="3"/>
                  <w:vAlign w:val="center"/>
                  <w:shd w:val="clear" w:color="auto" w:fill="FFFFFF"/>
                </w:tcPr>
                <w:p w14:paraId="50D4A7BC">
                  <w:pPr>
                    <w:jc w:val="center"/>
                    <w:contextualSpacing/>
                    <w:shd w:val="clear" w:color="auto" w:fill="FFFFFF"/>
                    <w:rPr>
                      <w:color w:val="auto"/>
                      <w:sz w:val="18"/>
                      <w:szCs w:val="18"/>
                    </w:rPr>
                  </w:pPr>
                  <w:r>
                    <w:rPr>
                      <w:color w:val="auto"/>
                      <w:sz w:val="18"/>
                      <w:szCs w:val="18"/>
                    </w:rPr>
                    <w:t>/</w:t>
                  </w:r>
                </w:p>
              </w:tc>
              <w:tc>
                <w:tcPr>
                  <w:tcW w:w="403" w:type="pct"/>
                  <w:gridSpan w:val="2"/>
                  <w:vAlign w:val="center"/>
                </w:tcPr>
                <w:p w14:paraId="4E52E9D8">
                  <w:pPr>
                    <w:jc w:val="center"/>
                    <w:contextualSpacing/>
                    <w:rPr>
                      <w:color w:val="auto"/>
                      <w:spacing w:val="-14"/>
                      <w:sz w:val="18"/>
                      <w:szCs w:val="18"/>
                      <w:rFonts w:hAnsi="宋体"/>
                    </w:rPr>
                  </w:pPr>
                  <w:r>
                    <w:rPr>
                      <w:color w:val="auto"/>
                      <w:spacing w:val="-14"/>
                      <w:sz w:val="18"/>
                      <w:szCs w:val="18"/>
                      <w:rFonts w:hAnsi="宋体"/>
                    </w:rPr>
                    <w:t>/</w:t>
                  </w:r>
                </w:p>
              </w:tc>
              <w:tc>
                <w:tcPr>
                  <w:tcW w:w="703" w:type="dxa"/>
                  <w:gridSpan w:val="3"/>
                  <w:vAlign w:val="center"/>
                </w:tcPr>
                <w:p w14:paraId="733B37F9">
                  <w:pPr>
                    <w:jc w:val="center"/>
                    <w:contextualSpacing/>
                    <w:rPr>
                      <w:color w:val="auto"/>
                      <w:sz w:val="18"/>
                      <w:szCs w:val="18"/>
                    </w:rPr>
                  </w:pPr>
                  <w:r>
                    <w:rPr>
                      <w:color w:val="auto"/>
                      <w:sz w:val="18"/>
                      <w:lang w:val="en-US" w:eastAsia="zh-CN"/>
                      <w:szCs w:val="18"/>
                      <w:rFonts w:hint="eastAsia"/>
                    </w:rPr>
                    <w:t>3</w:t>
                  </w:r>
                  <w:r>
                    <w:rPr>
                      <w:color w:val="auto"/>
                      <w:sz w:val="18"/>
                      <w:szCs w:val="18"/>
                      <w:rFonts w:hint="eastAsia"/>
                    </w:rPr>
                    <w:t>.25</w:t>
                  </w:r>
                  <w:r>
                    <w:rPr>
                      <w:color w:val="auto"/>
                      <w:sz w:val="18"/>
                      <w:szCs w:val="18"/>
                      <w:rFonts w:ascii="宋体" w:hAnsi="宋体" w:cs="宋体" w:hint="eastAsia"/>
                    </w:rPr>
                    <w:t>×</w:t>
                  </w:r>
                  <w:r>
                    <w:rPr>
                      <w:color w:val="auto"/>
                      <w:sz w:val="18"/>
                      <w:szCs w:val="18"/>
                    </w:rPr>
                    <w:t>10</w:t>
                  </w:r>
                  <w:r>
                    <w:rPr>
                      <w:vertAlign w:val="superscript"/>
                      <w:color w:val="auto"/>
                      <w:sz w:val="18"/>
                      <w:szCs w:val="18"/>
                    </w:rPr>
                    <w:t>-</w:t>
                  </w:r>
                  <w:r>
                    <w:rPr>
                      <w:vertAlign w:val="superscript"/>
                      <w:color w:val="auto"/>
                      <w:sz w:val="18"/>
                      <w:szCs w:val="18"/>
                      <w:rFonts w:hint="eastAsia"/>
                    </w:rPr>
                    <w:t>5</w:t>
                  </w:r>
                </w:p>
              </w:tc>
              <w:tc>
                <w:tcPr>
                  <w:tcW w:w="908" w:type="pct"/>
                  <w:gridSpan w:val="3"/>
                  <w:vMerge w:val="continue"/>
                  <w:vAlign w:val="center"/>
                </w:tcPr>
                <w:p w14:paraId="011C744D">
                  <w:pPr>
                    <w:jc w:val="center"/>
                    <w:contextualSpacing/>
                    <w:rPr>
                      <w:color w:val="auto"/>
                      <w:sz w:val="18"/>
                      <w:szCs w:val="18"/>
                    </w:rPr>
                  </w:pPr>
                </w:p>
              </w:tc>
              <w:tc>
                <w:tcPr>
                  <w:tcW w:w="318" w:type="pct"/>
                  <w:gridSpan w:val="4"/>
                  <w:vAlign w:val="center"/>
                </w:tcPr>
                <w:p w14:paraId="12DCA880">
                  <w:pPr>
                    <w:jc w:val="center"/>
                    <w:rPr>
                      <w:color w:val="auto"/>
                      <w:sz w:val="18"/>
                      <w:szCs w:val="18"/>
                    </w:rPr>
                  </w:pPr>
                  <w:r>
                    <w:rPr>
                      <w:color w:val="auto"/>
                      <w:sz w:val="18"/>
                      <w:szCs w:val="18"/>
                    </w:rPr>
                    <w:t>/</w:t>
                  </w:r>
                </w:p>
              </w:tc>
              <w:tc>
                <w:tcPr>
                  <w:tcW w:w="356" w:type="pct"/>
                  <w:gridSpan w:val="3"/>
                  <w:vAlign w:val="center"/>
                </w:tcPr>
                <w:p w14:paraId="14B06D33">
                  <w:pPr>
                    <w:jc w:val="center"/>
                    <w:contextualSpacing/>
                    <w:rPr>
                      <w:color w:val="auto"/>
                      <w:sz w:val="18"/>
                      <w:szCs w:val="18"/>
                    </w:rPr>
                  </w:pPr>
                  <w:r>
                    <w:rPr>
                      <w:color w:val="auto"/>
                      <w:sz w:val="18"/>
                      <w:szCs w:val="18"/>
                    </w:rPr>
                    <w:t>/</w:t>
                  </w:r>
                </w:p>
              </w:tc>
              <w:tc>
                <w:tcPr>
                  <w:tcW w:w="503" w:type="pct"/>
                  <w:gridSpan w:val="2"/>
                  <w:vAlign w:val="center"/>
                </w:tcPr>
                <w:p w14:paraId="6B9FF0E1">
                  <w:pPr>
                    <w:jc w:val="center"/>
                    <w:contextualSpacing/>
                    <w:shd w:val="clear" w:color="auto" w:fill="FFFFFF"/>
                    <w:rPr>
                      <w:color w:val="auto"/>
                      <w:sz w:val="18"/>
                      <w:szCs w:val="18"/>
                    </w:rPr>
                  </w:pPr>
                  <w:r>
                    <w:rPr>
                      <w:color w:val="auto"/>
                      <w:sz w:val="18"/>
                      <w:szCs w:val="18"/>
                    </w:rPr>
                    <w:t>/</w:t>
                  </w:r>
                </w:p>
              </w:tc>
              <w:tc>
                <w:tcPr>
                  <w:tcW w:w="430" w:type="pct"/>
                  <w:gridSpan w:val="4"/>
                  <w:vAlign w:val="center"/>
                </w:tcPr>
                <w:p w14:paraId="1424BFED">
                  <w:pPr>
                    <w:jc w:val="center"/>
                    <w:contextualSpacing/>
                    <w:rPr>
                      <w:color w:val="auto"/>
                      <w:sz w:val="18"/>
                      <w:szCs w:val="18"/>
                    </w:rPr>
                  </w:pPr>
                  <w:r>
                    <w:rPr>
                      <w:color w:val="auto"/>
                      <w:sz w:val="18"/>
                      <w:lang w:val="en-US" w:eastAsia="zh-CN"/>
                      <w:szCs w:val="18"/>
                      <w:rFonts w:hint="eastAsia"/>
                    </w:rPr>
                    <w:t>3</w:t>
                  </w:r>
                  <w:r>
                    <w:rPr>
                      <w:color w:val="auto"/>
                      <w:sz w:val="18"/>
                      <w:szCs w:val="18"/>
                      <w:rFonts w:hint="eastAsia"/>
                    </w:rPr>
                    <w:t>.25</w:t>
                  </w:r>
                  <w:r>
                    <w:rPr>
                      <w:color w:val="auto"/>
                      <w:sz w:val="18"/>
                      <w:szCs w:val="18"/>
                      <w:rFonts w:ascii="宋体" w:hAnsi="宋体" w:cs="宋体" w:hint="eastAsia"/>
                    </w:rPr>
                    <w:t>×</w:t>
                  </w:r>
                  <w:r>
                    <w:rPr>
                      <w:color w:val="auto"/>
                      <w:sz w:val="18"/>
                      <w:szCs w:val="18"/>
                    </w:rPr>
                    <w:t>10</w:t>
                  </w:r>
                  <w:r>
                    <w:rPr>
                      <w:vertAlign w:val="superscript"/>
                      <w:color w:val="auto"/>
                      <w:sz w:val="18"/>
                      <w:szCs w:val="18"/>
                    </w:rPr>
                    <w:t>-</w:t>
                  </w:r>
                  <w:r>
                    <w:rPr>
                      <w:vertAlign w:val="superscript"/>
                      <w:color w:val="auto"/>
                      <w:sz w:val="18"/>
                      <w:szCs w:val="18"/>
                      <w:rFonts w:hint="eastAsia"/>
                    </w:rPr>
                    <w:t>5</w:t>
                  </w:r>
                </w:p>
              </w:tc>
              <w:tc>
                <w:tcPr>
                  <w:tcW w:w="240" w:type="pct"/>
                  <w:gridSpan w:val="4"/>
                  <w:vMerge w:val="continue"/>
                  <w:vAlign w:val="center"/>
                  <w:shd w:val="clear" w:color="auto" w:fill="auto"/>
                </w:tcPr>
                <w:p w14:paraId="3206C778">
                  <w:pPr>
                    <w:jc w:val="center"/>
                    <w:contextualSpacing/>
                    <w:rPr>
                      <w:color w:val="auto"/>
                      <w:sz w:val="18"/>
                      <w:szCs w:val="18"/>
                    </w:rPr>
                  </w:pPr>
                </w:p>
              </w:tc>
            </w:tr>
            <w:tr w14:paraId="6132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Ex>
              <w:trPr>
                <w:gridBefore w:val="1"/>
                <w:wBefore w:w="1" w:type="pct"/>
                <w:trHeight w:val="397" w:hRule="atLeast"/>
                <w:jc w:val="center"/>
              </w:trPr>
              <w:tc>
                <w:tcPr>
                  <w:tcW w:w="192" w:type="pct"/>
                  <w:gridSpan w:val="3"/>
                  <w:vMerge w:val="continue"/>
                  <w:vAlign w:val="center"/>
                </w:tcPr>
                <w:p w14:paraId="2EEFB3DB">
                  <w:pPr>
                    <w:jc w:val="center"/>
                    <w:contextualSpacing/>
                    <w:rPr>
                      <w:color w:val="auto"/>
                      <w:sz w:val="18"/>
                      <w:szCs w:val="18"/>
                    </w:rPr>
                  </w:pPr>
                </w:p>
              </w:tc>
              <w:tc>
                <w:tcPr>
                  <w:tcW w:w="161" w:type="pct"/>
                  <w:gridSpan w:val="3"/>
                  <w:vMerge w:val="continue"/>
                  <w:vAlign w:val="center"/>
                </w:tcPr>
                <w:p w14:paraId="5401F373">
                  <w:pPr>
                    <w:jc w:val="center"/>
                    <w:contextualSpacing/>
                    <w:rPr>
                      <w:color w:val="auto"/>
                      <w:sz w:val="18"/>
                      <w:szCs w:val="18"/>
                    </w:rPr>
                  </w:pPr>
                </w:p>
              </w:tc>
              <w:tc>
                <w:tcPr>
                  <w:tcW w:w="481" w:type="pct"/>
                  <w:gridSpan w:val="3"/>
                  <w:vMerge w:val="continue"/>
                  <w:vAlign w:val="center"/>
                  <w:shd w:val="clear" w:color="auto" w:fill="auto"/>
                </w:tcPr>
                <w:p w14:paraId="154A5783">
                  <w:pPr>
                    <w:jc w:val="center"/>
                    <w:contextualSpacing/>
                    <w:rPr>
                      <w:color w:val="auto"/>
                      <w:sz w:val="18"/>
                      <w:szCs w:val="18"/>
                    </w:rPr>
                  </w:pPr>
                </w:p>
              </w:tc>
              <w:tc>
                <w:tcPr>
                  <w:tcW w:w="237" w:type="pct"/>
                  <w:gridSpan w:val="3"/>
                  <w:vAlign w:val="center"/>
                  <w:shd w:val="clear" w:color="auto" w:fill="auto"/>
                </w:tcPr>
                <w:p w14:paraId="3E7A4E79">
                  <w:pPr>
                    <w:jc w:val="center"/>
                    <w:contextualSpacing/>
                    <w:rPr>
                      <w:color w:val="auto"/>
                      <w:spacing w:val="-40"/>
                      <w:sz w:val="18"/>
                      <w:bCs/>
                      <w:szCs w:val="18"/>
                      <w:rFonts w:hAnsi="宋体" w:hint="eastAsia"/>
                    </w:rPr>
                  </w:pPr>
                  <w:r>
                    <w:rPr>
                      <w:color w:val="auto"/>
                      <w:spacing w:val="-40"/>
                      <w:sz w:val="18"/>
                      <w:bCs/>
                      <w:szCs w:val="18"/>
                      <w:rFonts w:hAnsi="宋体" w:hint="eastAsia"/>
                    </w:rPr>
                    <w:t>非甲烷总烃</w:t>
                  </w:r>
                </w:p>
              </w:tc>
              <w:tc>
                <w:tcPr>
                  <w:tcW w:w="344" w:type="pct"/>
                  <w:gridSpan w:val="3"/>
                  <w:vAlign w:val="center"/>
                  <w:shd w:val="clear" w:color="auto" w:fill="FFFFFF"/>
                </w:tcPr>
                <w:p w14:paraId="357D6CAC">
                  <w:pPr>
                    <w:jc w:val="center"/>
                    <w:contextualSpacing/>
                    <w:shd w:val="clear" w:color="auto" w:fill="FFFFFF"/>
                    <w:rPr>
                      <w:color w:val="auto"/>
                      <w:sz w:val="18"/>
                      <w:szCs w:val="18"/>
                    </w:rPr>
                  </w:pPr>
                  <w:r>
                    <w:rPr>
                      <w:color w:val="auto"/>
                      <w:sz w:val="18"/>
                      <w:szCs w:val="18"/>
                    </w:rPr>
                    <w:t>/</w:t>
                  </w:r>
                </w:p>
              </w:tc>
              <w:tc>
                <w:tcPr>
                  <w:tcW w:w="403" w:type="pct"/>
                  <w:gridSpan w:val="2"/>
                  <w:vAlign w:val="center"/>
                </w:tcPr>
                <w:p w14:paraId="2BF5B425">
                  <w:pPr>
                    <w:jc w:val="center"/>
                    <w:contextualSpacing/>
                    <w:rPr>
                      <w:color w:val="auto"/>
                      <w:spacing w:val="-14"/>
                      <w:sz w:val="18"/>
                      <w:szCs w:val="18"/>
                      <w:rFonts w:hAnsi="宋体"/>
                    </w:rPr>
                  </w:pPr>
                  <w:r>
                    <w:rPr>
                      <w:color w:val="auto"/>
                      <w:spacing w:val="-14"/>
                      <w:sz w:val="18"/>
                      <w:szCs w:val="18"/>
                      <w:rFonts w:hAnsi="宋体"/>
                    </w:rPr>
                    <w:t>/</w:t>
                  </w:r>
                </w:p>
              </w:tc>
              <w:tc>
                <w:tcPr>
                  <w:tcW w:w="703" w:type="dxa"/>
                  <w:gridSpan w:val="3"/>
                  <w:vAlign w:val="center"/>
                </w:tcPr>
                <w:p w14:paraId="024E3368">
                  <w:pPr>
                    <w:jc w:val="center"/>
                    <w:contextualSpacing/>
                    <w:rPr>
                      <w:color w:val="auto"/>
                      <w:sz w:val="18"/>
                      <w:szCs w:val="18"/>
                    </w:rPr>
                  </w:pPr>
                  <w:r>
                    <w:rPr>
                      <w:color w:val="auto"/>
                      <w:sz w:val="18"/>
                      <w:szCs w:val="18"/>
                      <w:rFonts w:hint="eastAsia"/>
                    </w:rPr>
                    <w:t>0.00</w:t>
                  </w:r>
                  <w:r>
                    <w:rPr>
                      <w:color w:val="auto"/>
                      <w:sz w:val="18"/>
                      <w:lang w:val="en-US" w:eastAsia="zh-CN"/>
                      <w:szCs w:val="18"/>
                      <w:rFonts w:hint="eastAsia"/>
                    </w:rPr>
                    <w:t>9</w:t>
                  </w:r>
                  <w:r>
                    <w:rPr>
                      <w:color w:val="auto"/>
                      <w:sz w:val="18"/>
                      <w:szCs w:val="18"/>
                    </w:rPr>
                    <w:t>t/a</w:t>
                  </w:r>
                </w:p>
              </w:tc>
              <w:tc>
                <w:tcPr>
                  <w:tcW w:w="908" w:type="pct"/>
                  <w:gridSpan w:val="3"/>
                  <w:vAlign w:val="center"/>
                </w:tcPr>
                <w:p w14:paraId="2B60EB18">
                  <w:pPr>
                    <w:jc w:val="center"/>
                    <w:contextualSpacing/>
                    <w:rPr>
                      <w:color w:val="auto"/>
                      <w:sz w:val="18"/>
                      <w:szCs w:val="18"/>
                    </w:rPr>
                  </w:pPr>
                  <w:r>
                    <w:rPr>
                      <w:color w:val="auto"/>
                      <w:sz w:val="18"/>
                      <w:szCs w:val="18"/>
                    </w:rPr>
                    <w:t>/</w:t>
                  </w:r>
                </w:p>
              </w:tc>
              <w:tc>
                <w:tcPr>
                  <w:tcW w:w="318" w:type="pct"/>
                  <w:gridSpan w:val="4"/>
                  <w:vAlign w:val="center"/>
                </w:tcPr>
                <w:p w14:paraId="7C8BAA52">
                  <w:pPr>
                    <w:jc w:val="center"/>
                    <w:rPr>
                      <w:color w:val="auto"/>
                      <w:sz w:val="18"/>
                      <w:szCs w:val="18"/>
                    </w:rPr>
                  </w:pPr>
                  <w:r>
                    <w:rPr>
                      <w:color w:val="auto"/>
                      <w:sz w:val="18"/>
                      <w:szCs w:val="18"/>
                    </w:rPr>
                    <w:t>/</w:t>
                  </w:r>
                </w:p>
              </w:tc>
              <w:tc>
                <w:tcPr>
                  <w:tcW w:w="356" w:type="pct"/>
                  <w:gridSpan w:val="3"/>
                  <w:vAlign w:val="center"/>
                </w:tcPr>
                <w:p w14:paraId="756E39E2">
                  <w:pPr>
                    <w:jc w:val="center"/>
                    <w:contextualSpacing/>
                    <w:rPr>
                      <w:color w:val="auto"/>
                      <w:sz w:val="18"/>
                      <w:szCs w:val="18"/>
                    </w:rPr>
                  </w:pPr>
                  <w:r>
                    <w:rPr>
                      <w:color w:val="auto"/>
                      <w:sz w:val="18"/>
                      <w:szCs w:val="18"/>
                    </w:rPr>
                    <w:t>/</w:t>
                  </w:r>
                </w:p>
              </w:tc>
              <w:tc>
                <w:tcPr>
                  <w:tcW w:w="503" w:type="pct"/>
                  <w:gridSpan w:val="2"/>
                  <w:vAlign w:val="center"/>
                </w:tcPr>
                <w:p w14:paraId="2F85EA84">
                  <w:pPr>
                    <w:jc w:val="center"/>
                    <w:contextualSpacing/>
                    <w:shd w:val="clear" w:color="auto" w:fill="FFFFFF"/>
                    <w:rPr>
                      <w:color w:val="auto"/>
                      <w:sz w:val="18"/>
                      <w:szCs w:val="18"/>
                    </w:rPr>
                  </w:pPr>
                  <w:r>
                    <w:rPr>
                      <w:color w:val="auto"/>
                      <w:sz w:val="18"/>
                      <w:szCs w:val="18"/>
                    </w:rPr>
                    <w:t>/</w:t>
                  </w:r>
                </w:p>
              </w:tc>
              <w:tc>
                <w:tcPr>
                  <w:tcW w:w="430" w:type="pct"/>
                  <w:gridSpan w:val="4"/>
                  <w:vAlign w:val="center"/>
                </w:tcPr>
                <w:p w14:paraId="6AE01791">
                  <w:pPr>
                    <w:jc w:val="center"/>
                    <w:contextualSpacing/>
                    <w:rPr>
                      <w:color w:val="auto"/>
                      <w:sz w:val="18"/>
                      <w:szCs w:val="18"/>
                    </w:rPr>
                  </w:pPr>
                  <w:r>
                    <w:rPr>
                      <w:color w:val="auto"/>
                      <w:sz w:val="18"/>
                      <w:szCs w:val="18"/>
                      <w:rFonts w:hint="eastAsia"/>
                    </w:rPr>
                    <w:t>0.00</w:t>
                  </w:r>
                  <w:r>
                    <w:rPr>
                      <w:color w:val="auto"/>
                      <w:sz w:val="18"/>
                      <w:lang w:val="en-US" w:eastAsia="zh-CN"/>
                      <w:szCs w:val="18"/>
                      <w:rFonts w:hint="eastAsia"/>
                    </w:rPr>
                    <w:t>9</w:t>
                  </w:r>
                  <w:r>
                    <w:rPr>
                      <w:color w:val="auto"/>
                      <w:sz w:val="18"/>
                      <w:szCs w:val="18"/>
                    </w:rPr>
                    <w:t>t/a</w:t>
                  </w:r>
                </w:p>
              </w:tc>
              <w:tc>
                <w:tcPr>
                  <w:tcW w:w="240" w:type="pct"/>
                  <w:gridSpan w:val="4"/>
                  <w:vMerge w:val="continue"/>
                  <w:vAlign w:val="center"/>
                  <w:shd w:val="clear" w:color="auto" w:fill="auto"/>
                </w:tcPr>
                <w:p w14:paraId="79B42715">
                  <w:pPr>
                    <w:jc w:val="center"/>
                    <w:contextualSpacing/>
                    <w:rPr>
                      <w:color w:val="auto"/>
                      <w:sz w:val="18"/>
                      <w:szCs w:val="18"/>
                    </w:rPr>
                  </w:pPr>
                </w:p>
              </w:tc>
            </w:tr>
          </w:tbl>
          <w:p w14:paraId="2D256139">
            <w:pPr>
              <w:pStyle w:val="90"/>
              <w:jc w:val="both"/>
              <w:spacing w:line="240" w:lineRule="auto"/>
              <w:rPr>
                <w:b w:val="1"/>
                <w:color w:val="auto"/>
                <w:szCs w:val="24"/>
                <w:rFonts w:eastAsia="宋体"/>
              </w:rPr>
            </w:pPr>
          </w:p>
          <w:p w14:paraId="4EE5069C">
            <w:pPr>
              <w:pStyle w:val="90"/>
              <w:spacing w:line="240" w:lineRule="auto"/>
              <w:rPr>
                <w:b w:val="1"/>
                <w:color w:val="auto"/>
                <w:szCs w:val="24"/>
                <w:rFonts w:eastAsia="宋体"/>
              </w:rPr>
            </w:pPr>
            <w:r>
              <w:rPr>
                <w:b w:val="1"/>
                <w:color w:val="auto"/>
                <w:szCs w:val="24"/>
                <w:rFonts w:eastAsia="宋体"/>
              </w:rPr>
              <w:t>表</w:t>
            </w:r>
            <w:r>
              <w:rPr>
                <w:b w:val="1"/>
                <w:color w:val="auto"/>
                <w:lang w:val="en-US" w:eastAsia="zh-CN"/>
                <w:szCs w:val="24"/>
                <w:rFonts w:eastAsia="宋体" w:hint="eastAsia"/>
              </w:rPr>
              <w:t>4</w:t>
            </w:r>
            <w:r>
              <w:rPr>
                <w:b w:val="1"/>
                <w:color w:val="auto"/>
                <w:szCs w:val="24"/>
                <w:rFonts w:eastAsia="宋体"/>
              </w:rPr>
              <w:t>-</w:t>
            </w:r>
            <w:r>
              <w:rPr>
                <w:b w:val="1"/>
                <w:color w:val="auto"/>
                <w:szCs w:val="24"/>
                <w:rFonts w:eastAsia="宋体" w:hint="eastAsia"/>
              </w:rPr>
              <w:t xml:space="preserve">4 </w:t>
            </w:r>
            <w:r>
              <w:rPr>
                <w:b w:val="1"/>
                <w:color w:val="auto"/>
                <w:szCs w:val="24"/>
                <w:rFonts w:eastAsia="宋体"/>
              </w:rPr>
              <w:t>非正常工况排放参数表</w:t>
            </w:r>
          </w:p>
          <w:tbl>
            <w:tblPr>
              <w:tblStyle w:val="27"/>
              <w:tblW w:w="13454" w:type="dxa"/>
              <w:jc w:val="center"/>
              <w:tblLayout w:type="fixed"/>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
            <w:tblGrid>
              <w:gridCol w:w="2055.000000"/>
              <w:gridCol w:w="2986.000000"/>
              <w:gridCol w:w="1510.000000"/>
              <w:gridCol w:w="2062.000000"/>
              <w:gridCol w:w="1859.000000"/>
              <w:gridCol w:w="1461.000000"/>
              <w:gridCol w:w="1521.000000"/>
            </w:tblGrid>
            <w:tr w14:paraId="18C59C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471" w:hRule="atLeast"/>
                <w:jc w:val="center"/>
              </w:trPr>
              <w:tc>
                <w:tcPr>
                  <w:tcW w:w="2055" w:type="dxa"/>
                  <w:vAlign w:val="center"/>
                </w:tcPr>
                <w:p w14:paraId="6B62CE15">
                  <w:pPr>
                    <w:pStyle w:val="65"/>
                    <w:jc w:val="center"/>
                    <w:spacing w:line="240" w:lineRule="auto"/>
                    <w:ind w:firstLine="0" w:firstLineChars="0"/>
                    <w:rPr>
                      <w:color w:val="auto"/>
                      <w:sz w:val="21"/>
                      <w:szCs w:val="21"/>
                    </w:rPr>
                  </w:pPr>
                  <w:r>
                    <w:rPr>
                      <w:color w:val="auto"/>
                      <w:sz w:val="21"/>
                      <w:szCs w:val="21"/>
                      <w:rFonts w:hAnsi="宋体"/>
                    </w:rPr>
                    <w:t>非正常排放源</w:t>
                  </w:r>
                </w:p>
              </w:tc>
              <w:tc>
                <w:tcPr>
                  <w:tcW w:w="2986" w:type="dxa"/>
                  <w:vAlign w:val="center"/>
                </w:tcPr>
                <w:p w14:paraId="70A4FEF3">
                  <w:pPr>
                    <w:pStyle w:val="65"/>
                    <w:jc w:val="center"/>
                    <w:spacing w:line="240" w:lineRule="auto"/>
                    <w:ind w:firstLine="0" w:firstLineChars="0"/>
                    <w:rPr>
                      <w:color w:val="auto"/>
                      <w:sz w:val="21"/>
                      <w:szCs w:val="21"/>
                    </w:rPr>
                  </w:pPr>
                  <w:r>
                    <w:rPr>
                      <w:color w:val="auto"/>
                      <w:sz w:val="21"/>
                      <w:szCs w:val="21"/>
                      <w:rFonts w:hAnsi="宋体"/>
                    </w:rPr>
                    <w:t>非正常排放原因</w:t>
                  </w:r>
                </w:p>
              </w:tc>
              <w:tc>
                <w:tcPr>
                  <w:tcW w:w="1510" w:type="dxa"/>
                  <w:vAlign w:val="center"/>
                </w:tcPr>
                <w:p w14:paraId="21C45D8D">
                  <w:pPr>
                    <w:pStyle w:val="65"/>
                    <w:jc w:val="center"/>
                    <w:spacing w:line="240" w:lineRule="auto"/>
                    <w:ind w:firstLine="0" w:firstLineChars="0"/>
                    <w:rPr>
                      <w:color w:val="auto"/>
                      <w:sz w:val="21"/>
                      <w:szCs w:val="21"/>
                    </w:rPr>
                  </w:pPr>
                  <w:r>
                    <w:rPr>
                      <w:color w:val="auto"/>
                      <w:sz w:val="21"/>
                      <w:szCs w:val="21"/>
                      <w:rFonts w:hAnsi="宋体"/>
                    </w:rPr>
                    <w:t>污染物</w:t>
                  </w:r>
                </w:p>
              </w:tc>
              <w:tc>
                <w:tcPr>
                  <w:tcW w:w="2062" w:type="dxa"/>
                  <w:vAlign w:val="center"/>
                </w:tcPr>
                <w:p w14:paraId="17670DAC">
                  <w:pPr>
                    <w:pStyle w:val="65"/>
                    <w:jc w:val="center"/>
                    <w:spacing w:line="240" w:lineRule="auto"/>
                    <w:ind w:firstLine="0" w:firstLineChars="0"/>
                    <w:rPr>
                      <w:color w:val="auto"/>
                      <w:sz w:val="21"/>
                      <w:szCs w:val="21"/>
                    </w:rPr>
                  </w:pPr>
                  <w:r>
                    <w:rPr>
                      <w:color w:val="auto"/>
                      <w:sz w:val="21"/>
                      <w:szCs w:val="21"/>
                      <w:rFonts w:hAnsi="宋体"/>
                    </w:rPr>
                    <w:t>非正常排放速率（</w:t>
                  </w:r>
                  <w:r>
                    <w:rPr>
                      <w:color w:val="auto"/>
                      <w:sz w:val="21"/>
                      <w:szCs w:val="21"/>
                    </w:rPr>
                    <w:t>kg/h</w:t>
                  </w:r>
                  <w:r>
                    <w:rPr>
                      <w:color w:val="auto"/>
                      <w:sz w:val="21"/>
                      <w:szCs w:val="21"/>
                      <w:rFonts w:hAnsi="宋体"/>
                    </w:rPr>
                    <w:t>）</w:t>
                  </w:r>
                </w:p>
              </w:tc>
              <w:tc>
                <w:tcPr>
                  <w:tcW w:w="1859" w:type="dxa"/>
                  <w:vAlign w:val="center"/>
                </w:tcPr>
                <w:p w14:paraId="21CBF746">
                  <w:pPr>
                    <w:adjustRightInd w:val="0"/>
                    <w:snapToGrid w:val="0"/>
                    <w:jc w:val="center"/>
                    <w:rPr>
                      <w:color w:val="auto"/>
                      <w:szCs w:val="21"/>
                    </w:rPr>
                  </w:pPr>
                  <w:r>
                    <w:rPr>
                      <w:color w:val="auto"/>
                      <w:szCs w:val="21"/>
                    </w:rPr>
                    <w:t>非正常排放浓度/</w:t>
                  </w:r>
                  <w:r>
                    <w:rPr>
                      <w:color w:val="auto"/>
                      <w:szCs w:val="21"/>
                      <w:rFonts w:hint="eastAsia"/>
                    </w:rPr>
                    <w:t>m</w:t>
                  </w:r>
                  <w:r>
                    <w:rPr>
                      <w:color w:val="auto"/>
                      <w:szCs w:val="21"/>
                    </w:rPr>
                    <w:t>g/m</w:t>
                  </w:r>
                  <w:r>
                    <w:rPr>
                      <w:vertAlign w:val="superscript"/>
                      <w:color w:val="auto"/>
                      <w:szCs w:val="21"/>
                    </w:rPr>
                    <w:t>3</w:t>
                  </w:r>
                </w:p>
              </w:tc>
              <w:tc>
                <w:tcPr>
                  <w:tcW w:w="1461" w:type="dxa"/>
                  <w:vAlign w:val="center"/>
                </w:tcPr>
                <w:p w14:paraId="4F21C511">
                  <w:pPr>
                    <w:pStyle w:val="65"/>
                    <w:jc w:val="center"/>
                    <w:spacing w:line="240" w:lineRule="auto"/>
                    <w:ind w:firstLine="0" w:firstLineChars="0"/>
                    <w:rPr>
                      <w:color w:val="auto"/>
                      <w:sz w:val="21"/>
                      <w:szCs w:val="21"/>
                    </w:rPr>
                  </w:pPr>
                  <w:r>
                    <w:rPr>
                      <w:color w:val="auto"/>
                      <w:sz w:val="21"/>
                      <w:szCs w:val="21"/>
                      <w:rFonts w:hAnsi="宋体"/>
                    </w:rPr>
                    <w:t>单次持续时间</w:t>
                  </w:r>
                  <w:r>
                    <w:rPr>
                      <w:color w:val="auto"/>
                      <w:sz w:val="21"/>
                      <w:szCs w:val="21"/>
                    </w:rPr>
                    <w:t>/</w:t>
                  </w:r>
                </w:p>
              </w:tc>
              <w:tc>
                <w:tcPr>
                  <w:tcW w:w="1521" w:type="dxa"/>
                  <w:vAlign w:val="center"/>
                </w:tcPr>
                <w:p w14:paraId="5EB9EB3E">
                  <w:pPr>
                    <w:pStyle w:val="65"/>
                    <w:jc w:val="center"/>
                    <w:spacing w:line="240" w:lineRule="auto"/>
                    <w:ind w:firstLine="0" w:firstLineChars="0"/>
                    <w:rPr>
                      <w:color w:val="auto"/>
                      <w:sz w:val="21"/>
                      <w:szCs w:val="21"/>
                    </w:rPr>
                  </w:pPr>
                  <w:r>
                    <w:rPr>
                      <w:color w:val="auto"/>
                      <w:sz w:val="21"/>
                      <w:szCs w:val="21"/>
                      <w:rFonts w:hAnsi="宋体"/>
                    </w:rPr>
                    <w:t>年发生频次</w:t>
                  </w:r>
                  <w:r>
                    <w:rPr>
                      <w:color w:val="auto"/>
                      <w:sz w:val="21"/>
                      <w:szCs w:val="21"/>
                    </w:rPr>
                    <w:t>/</w:t>
                  </w:r>
                  <w:r>
                    <w:rPr>
                      <w:color w:val="auto"/>
                      <w:sz w:val="21"/>
                      <w:szCs w:val="21"/>
                      <w:rFonts w:hAnsi="宋体"/>
                    </w:rPr>
                    <w:t>次</w:t>
                  </w:r>
                </w:p>
              </w:tc>
            </w:tr>
            <w:tr w14:paraId="118E66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993" w:hRule="atLeast"/>
                <w:jc w:val="center"/>
              </w:trPr>
              <w:tc>
                <w:tcPr>
                  <w:tcW w:w="2055" w:type="dxa"/>
                  <w:vAlign w:val="center"/>
                </w:tcPr>
                <w:p w14:paraId="2C8DCC23">
                  <w:pPr>
                    <w:jc w:val="center"/>
                    <w:contextualSpacing/>
                    <w:spacing w:line="0" w:lineRule="atLeast"/>
                    <w:rPr>
                      <w:color w:val="auto"/>
                      <w:szCs w:val="21"/>
                    </w:rPr>
                  </w:pPr>
                  <w:r>
                    <w:rPr>
                      <w:color w:val="auto"/>
                      <w:szCs w:val="21"/>
                      <w:rFonts w:hint="eastAsia"/>
                    </w:rPr>
                    <w:t>除尘系统</w:t>
                  </w:r>
                  <w:r>
                    <w:rPr>
                      <w:color w:val="auto"/>
                      <w:szCs w:val="21"/>
                    </w:rPr>
                    <w:t>烟囱（</w:t>
                  </w:r>
                  <w:r>
                    <w:rPr>
                      <w:color w:val="auto"/>
                      <w:szCs w:val="21"/>
                      <w:rFonts w:hint="eastAsia"/>
                    </w:rPr>
                    <w:t>DA001</w:t>
                  </w:r>
                  <w:r>
                    <w:rPr>
                      <w:color w:val="auto"/>
                      <w:szCs w:val="21"/>
                    </w:rPr>
                    <w:t>）</w:t>
                  </w:r>
                </w:p>
              </w:tc>
              <w:tc>
                <w:tcPr>
                  <w:tcW w:w="2986" w:type="dxa"/>
                  <w:vAlign w:val="center"/>
                </w:tcPr>
                <w:p w14:paraId="7CC3F570">
                  <w:pPr>
                    <w:pStyle w:val="65"/>
                    <w:jc w:val="center"/>
                    <w:spacing w:line="240" w:lineRule="auto"/>
                    <w:ind w:firstLine="0" w:firstLineChars="0"/>
                    <w:rPr>
                      <w:color w:val="auto"/>
                      <w:sz w:val="21"/>
                      <w:lang w:val="en-US" w:eastAsia="zh-CN"/>
                      <w:szCs w:val="21"/>
                      <w:rFonts w:eastAsia="宋体" w:hint="default"/>
                    </w:rPr>
                  </w:pPr>
                  <w:r>
                    <w:rPr>
                      <w:color w:val="auto"/>
                      <w:sz w:val="21"/>
                      <w:szCs w:val="21"/>
                      <w:rFonts w:hAnsi="宋体"/>
                    </w:rPr>
                    <w:t>当</w:t>
                  </w:r>
                  <w:r>
                    <w:rPr>
                      <w:color w:val="auto"/>
                      <w:sz w:val="21"/>
                      <w:szCs w:val="21"/>
                      <w:rFonts w:hAnsi="宋体" w:hint="eastAsia"/>
                    </w:rPr>
                    <w:t>除尘系统</w:t>
                  </w:r>
                  <w:r>
                    <w:rPr>
                      <w:color w:val="auto"/>
                      <w:sz w:val="21"/>
                      <w:szCs w:val="21"/>
                      <w:rFonts w:hAnsi="宋体"/>
                    </w:rPr>
                    <w:t>滤袋破口</w:t>
                  </w:r>
                  <w:r>
                    <w:rPr>
                      <w:color w:val="auto"/>
                      <w:sz w:val="21"/>
                      <w:lang w:eastAsia="zh-CN"/>
                      <w:szCs w:val="21"/>
                      <w:rFonts w:hAnsi="宋体" w:hint="eastAsia"/>
                    </w:rPr>
                    <w:t>，</w:t>
                  </w:r>
                  <w:r>
                    <w:rPr>
                      <w:color w:val="auto"/>
                      <w:sz w:val="21"/>
                      <w:szCs w:val="21"/>
                      <w:rFonts w:hAnsi="宋体" w:hint="eastAsia"/>
                    </w:rPr>
                    <w:t>除尘系统</w:t>
                  </w:r>
                  <w:r>
                    <w:rPr>
                      <w:color w:val="auto"/>
                      <w:sz w:val="21"/>
                      <w:szCs w:val="21"/>
                      <w:rFonts w:hAnsi="宋体"/>
                    </w:rPr>
                    <w:t>处理效率下降</w:t>
                  </w:r>
                  <w:r>
                    <w:rPr>
                      <w:color w:val="auto"/>
                      <w:sz w:val="21"/>
                      <w:lang w:val="en-US" w:eastAsia="zh-CN"/>
                      <w:szCs w:val="21"/>
                      <w:rFonts w:hAnsi="宋体" w:hint="eastAsia"/>
                    </w:rPr>
                    <w:t>50%</w:t>
                  </w:r>
                </w:p>
              </w:tc>
              <w:tc>
                <w:tcPr>
                  <w:tcW w:w="1510" w:type="dxa"/>
                  <w:vAlign w:val="center"/>
                </w:tcPr>
                <w:p w14:paraId="064B363A">
                  <w:pPr>
                    <w:pStyle w:val="65"/>
                    <w:jc w:val="center"/>
                    <w:spacing w:line="240" w:lineRule="auto"/>
                    <w:ind w:firstLine="0" w:firstLineChars="0"/>
                    <w:rPr>
                      <w:color w:val="auto"/>
                      <w:sz w:val="21"/>
                      <w:szCs w:val="21"/>
                    </w:rPr>
                  </w:pPr>
                  <w:r>
                    <w:rPr>
                      <w:color w:val="auto"/>
                      <w:sz w:val="21"/>
                      <w:szCs w:val="21"/>
                      <w:rFonts w:hAnsi="宋体"/>
                    </w:rPr>
                    <w:t>颗粒物</w:t>
                  </w:r>
                </w:p>
              </w:tc>
              <w:tc>
                <w:tcPr>
                  <w:tcW w:w="2062" w:type="dxa"/>
                  <w:vAlign w:val="center"/>
                </w:tcPr>
                <w:p w14:paraId="0D9E15EF">
                  <w:pPr>
                    <w:jc w:val="center"/>
                    <w:contextualSpacing/>
                    <w:spacing w:line="0" w:lineRule="atLeast"/>
                    <w:rPr>
                      <w:color w:val="auto"/>
                      <w:lang w:val="en-US" w:eastAsia="zh-CN"/>
                      <w:szCs w:val="21"/>
                      <w:rFonts w:hAnsi="宋体" w:eastAsia="宋体" w:hint="default"/>
                    </w:rPr>
                  </w:pPr>
                  <w:r>
                    <w:rPr>
                      <w:color w:val="auto"/>
                      <w:lang w:val="en-US" w:eastAsia="zh-CN"/>
                      <w:szCs w:val="21"/>
                      <w:rFonts w:hAnsi="宋体" w:hint="eastAsia"/>
                    </w:rPr>
                    <w:t>84.23</w:t>
                  </w:r>
                </w:p>
              </w:tc>
              <w:tc>
                <w:tcPr>
                  <w:tcW w:w="1859" w:type="dxa"/>
                  <w:vAlign w:val="center"/>
                </w:tcPr>
                <w:p w14:paraId="6ED9D07C">
                  <w:pPr>
                    <w:pStyle w:val="83"/>
                    <w:rPr>
                      <w:color w:val="auto"/>
                      <w:sz w:val="21"/>
                      <w:lang w:val="en-US" w:eastAsia="zh-CN"/>
                      <w:szCs w:val="21"/>
                      <w:rFonts w:eastAsia="宋体" w:hint="default"/>
                    </w:rPr>
                  </w:pPr>
                  <w:r>
                    <w:rPr>
                      <w:color w:val="auto"/>
                      <w:sz w:val="21"/>
                      <w:lang w:val="en-US" w:eastAsia="zh-CN"/>
                      <w:szCs w:val="21"/>
                      <w:rFonts w:hint="eastAsia"/>
                    </w:rPr>
                    <w:t>2159.6</w:t>
                  </w:r>
                </w:p>
              </w:tc>
              <w:tc>
                <w:tcPr>
                  <w:tcW w:w="1461" w:type="dxa"/>
                  <w:vMerge w:val="restart"/>
                  <w:vAlign w:val="center"/>
                </w:tcPr>
                <w:p w14:paraId="79DD957E">
                  <w:pPr>
                    <w:pStyle w:val="65"/>
                    <w:jc w:val="center"/>
                    <w:spacing w:line="240" w:lineRule="auto"/>
                    <w:ind w:firstLine="0" w:firstLineChars="0"/>
                    <w:rPr>
                      <w:color w:val="auto"/>
                      <w:sz w:val="21"/>
                      <w:szCs w:val="21"/>
                    </w:rPr>
                  </w:pPr>
                  <w:r>
                    <w:rPr>
                      <w:color w:val="auto"/>
                      <w:sz w:val="21"/>
                      <w:szCs w:val="21"/>
                      <w:rFonts w:hAnsi="宋体"/>
                    </w:rPr>
                    <w:t>＜</w:t>
                  </w:r>
                  <w:r>
                    <w:rPr>
                      <w:color w:val="auto"/>
                      <w:sz w:val="21"/>
                      <w:szCs w:val="21"/>
                    </w:rPr>
                    <w:t>1</w:t>
                  </w:r>
                </w:p>
              </w:tc>
              <w:tc>
                <w:tcPr>
                  <w:tcW w:w="1521" w:type="dxa"/>
                  <w:vMerge w:val="restart"/>
                  <w:vAlign w:val="center"/>
                </w:tcPr>
                <w:p w14:paraId="0EB27C18">
                  <w:pPr>
                    <w:pStyle w:val="65"/>
                    <w:jc w:val="center"/>
                    <w:spacing w:line="240" w:lineRule="auto"/>
                    <w:ind w:firstLine="0" w:firstLineChars="0"/>
                    <w:rPr>
                      <w:color w:val="auto"/>
                      <w:sz w:val="21"/>
                      <w:szCs w:val="21"/>
                    </w:rPr>
                  </w:pPr>
                  <w:r>
                    <w:rPr>
                      <w:color w:val="auto"/>
                      <w:sz w:val="21"/>
                      <w:szCs w:val="21"/>
                    </w:rPr>
                    <w:t>1</w:t>
                  </w:r>
                </w:p>
              </w:tc>
            </w:tr>
            <w:tr w14:paraId="6A3831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505" w:hRule="atLeast"/>
                <w:jc w:val="center"/>
              </w:trPr>
              <w:tc>
                <w:tcPr>
                  <w:tcW w:w="2055" w:type="dxa"/>
                  <w:vMerge w:val="restart"/>
                  <w:vAlign w:val="center"/>
                </w:tcPr>
                <w:p w14:paraId="15E3FF97">
                  <w:pPr>
                    <w:jc w:val="center"/>
                    <w:contextualSpacing/>
                    <w:spacing w:line="0" w:lineRule="atLeast"/>
                    <w:rPr>
                      <w:color w:val="auto"/>
                      <w:szCs w:val="21"/>
                      <w:rFonts w:hAnsi="宋体"/>
                    </w:rPr>
                  </w:pPr>
                  <w:r>
                    <w:rPr>
                      <w:color w:val="auto"/>
                      <w:szCs w:val="21"/>
                      <w:rFonts w:hAnsi="宋体"/>
                    </w:rPr>
                    <w:t>沥青搅拌排气筒（</w:t>
                  </w:r>
                  <w:r>
                    <w:rPr>
                      <w:color w:val="auto"/>
                      <w:szCs w:val="21"/>
                      <w:rFonts w:hAnsi="宋体" w:hint="eastAsia"/>
                    </w:rPr>
                    <w:t>DA003</w:t>
                  </w:r>
                  <w:r>
                    <w:rPr>
                      <w:color w:val="auto"/>
                      <w:szCs w:val="21"/>
                      <w:rFonts w:hAnsi="宋体"/>
                    </w:rPr>
                    <w:t>）</w:t>
                  </w:r>
                </w:p>
              </w:tc>
              <w:tc>
                <w:tcPr>
                  <w:tcW w:w="2986" w:type="dxa"/>
                  <w:vMerge w:val="restart"/>
                  <w:vAlign w:val="center"/>
                </w:tcPr>
                <w:p w14:paraId="468972B3">
                  <w:pPr>
                    <w:pStyle w:val="65"/>
                    <w:jc w:val="center"/>
                    <w:spacing w:line="240" w:lineRule="auto"/>
                    <w:ind w:firstLine="0" w:firstLineChars="0"/>
                    <w:rPr>
                      <w:color w:val="auto"/>
                      <w:sz w:val="21"/>
                      <w:szCs w:val="21"/>
                    </w:rPr>
                  </w:pPr>
                  <w:r>
                    <w:rPr>
                      <w:color w:val="auto"/>
                      <w:sz w:val="21"/>
                      <w:szCs w:val="21"/>
                      <w:rFonts w:hAnsi="宋体" w:hint="eastAsia"/>
                    </w:rPr>
                    <w:t>气浮旋流塔+三维一体化废气处理设备故障，处理</w:t>
                  </w:r>
                  <w:r>
                    <w:rPr>
                      <w:color w:val="auto"/>
                      <w:sz w:val="21"/>
                      <w:szCs w:val="21"/>
                      <w:rFonts w:hAnsi="宋体"/>
                    </w:rPr>
                    <w:t>装置异味处理效率下降，本项目异味</w:t>
                  </w:r>
                  <w:r>
                    <w:rPr>
                      <w:color w:val="auto"/>
                      <w:sz w:val="21"/>
                      <w:szCs w:val="21"/>
                      <w:rFonts w:hAnsi="宋体" w:hint="eastAsia"/>
                    </w:rPr>
                    <w:t>处理</w:t>
                  </w:r>
                  <w:r>
                    <w:rPr>
                      <w:color w:val="auto"/>
                      <w:sz w:val="21"/>
                      <w:szCs w:val="21"/>
                      <w:rFonts w:hAnsi="宋体"/>
                    </w:rPr>
                    <w:t>效率按</w:t>
                  </w:r>
                  <w:r>
                    <w:rPr>
                      <w:color w:val="auto"/>
                      <w:sz w:val="21"/>
                      <w:szCs w:val="21"/>
                    </w:rPr>
                    <w:t>50%</w:t>
                  </w:r>
                  <w:r>
                    <w:rPr>
                      <w:color w:val="auto"/>
                      <w:sz w:val="21"/>
                      <w:szCs w:val="21"/>
                      <w:rFonts w:hAnsi="宋体"/>
                    </w:rPr>
                    <w:t>考虑</w:t>
                  </w:r>
                </w:p>
              </w:tc>
              <w:tc>
                <w:tcPr>
                  <w:tcW w:w="1510" w:type="dxa"/>
                  <w:vAlign w:val="center"/>
                </w:tcPr>
                <w:p w14:paraId="61B4C9BC">
                  <w:pPr>
                    <w:pStyle w:val="65"/>
                    <w:jc w:val="center"/>
                    <w:spacing w:line="240" w:lineRule="auto"/>
                    <w:ind w:firstLine="0" w:firstLineChars="0"/>
                    <w:rPr>
                      <w:color w:val="auto"/>
                      <w:sz w:val="21"/>
                      <w:szCs w:val="21"/>
                    </w:rPr>
                  </w:pPr>
                  <w:r>
                    <w:rPr>
                      <w:color w:val="auto"/>
                      <w:sz w:val="21"/>
                      <w:szCs w:val="21"/>
                      <w:rFonts w:hAnsi="宋体"/>
                    </w:rPr>
                    <w:t>沥青烟</w:t>
                  </w:r>
                </w:p>
              </w:tc>
              <w:tc>
                <w:tcPr>
                  <w:tcW w:w="2062" w:type="dxa"/>
                  <w:vAlign w:val="center"/>
                </w:tcPr>
                <w:p w14:paraId="76A88320">
                  <w:pPr>
                    <w:jc w:val="center"/>
                    <w:contextualSpacing/>
                    <w:spacing w:line="0" w:lineRule="atLeast"/>
                    <w:rPr>
                      <w:color w:val="auto"/>
                      <w:lang w:val="en-US" w:eastAsia="zh-CN"/>
                      <w:szCs w:val="21"/>
                      <w:rFonts w:hAnsi="宋体" w:eastAsia="宋体" w:hint="default"/>
                    </w:rPr>
                  </w:pPr>
                  <w:r>
                    <w:rPr>
                      <w:color w:val="auto"/>
                      <w:lang w:val="en-US" w:eastAsia="zh-CN"/>
                      <w:szCs w:val="21"/>
                      <w:rFonts w:hAnsi="宋体" w:hint="eastAsia"/>
                    </w:rPr>
                    <w:t>0.643</w:t>
                  </w:r>
                </w:p>
              </w:tc>
              <w:tc>
                <w:tcPr>
                  <w:tcW w:w="1859" w:type="dxa"/>
                  <w:vAlign w:val="center"/>
                </w:tcPr>
                <w:p w14:paraId="1011D105">
                  <w:pPr>
                    <w:pStyle w:val="65"/>
                    <w:jc w:val="center"/>
                    <w:spacing w:line="240" w:lineRule="auto"/>
                    <w:ind w:firstLine="0" w:firstLineChars="0"/>
                    <w:rPr>
                      <w:color w:val="auto"/>
                      <w:sz w:val="21"/>
                      <w:lang w:val="en-US" w:eastAsia="zh-CN"/>
                      <w:szCs w:val="21"/>
                      <w:rFonts w:eastAsia="宋体" w:hint="default"/>
                    </w:rPr>
                  </w:pPr>
                  <w:r>
                    <w:rPr>
                      <w:color w:val="auto"/>
                      <w:sz w:val="21"/>
                      <w:lang w:val="en-US" w:eastAsia="zh-CN"/>
                      <w:szCs w:val="21"/>
                      <w:rFonts w:hint="eastAsia"/>
                    </w:rPr>
                    <w:t>16.05</w:t>
                  </w:r>
                </w:p>
              </w:tc>
              <w:tc>
                <w:tcPr>
                  <w:tcW w:w="1461" w:type="dxa"/>
                  <w:vMerge w:val="continue"/>
                  <w:vAlign w:val="center"/>
                </w:tcPr>
                <w:p w14:paraId="5396299E">
                  <w:pPr>
                    <w:pStyle w:val="65"/>
                    <w:jc w:val="center"/>
                    <w:spacing w:line="240" w:lineRule="auto"/>
                    <w:ind w:firstLine="0" w:firstLineChars="0"/>
                    <w:rPr>
                      <w:color w:val="auto"/>
                      <w:sz w:val="21"/>
                      <w:szCs w:val="21"/>
                    </w:rPr>
                  </w:pPr>
                </w:p>
              </w:tc>
              <w:tc>
                <w:tcPr>
                  <w:tcW w:w="1521" w:type="dxa"/>
                  <w:vMerge w:val="continue"/>
                  <w:vAlign w:val="center"/>
                </w:tcPr>
                <w:p w14:paraId="1FF9BA7A">
                  <w:pPr>
                    <w:pStyle w:val="65"/>
                    <w:jc w:val="center"/>
                    <w:spacing w:line="240" w:lineRule="auto"/>
                    <w:ind w:firstLine="0" w:firstLineChars="0"/>
                    <w:rPr>
                      <w:color w:val="auto"/>
                      <w:sz w:val="21"/>
                      <w:szCs w:val="21"/>
                    </w:rPr>
                  </w:pPr>
                </w:p>
              </w:tc>
            </w:tr>
            <w:tr w14:paraId="44E5D5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1380" w:hRule="atLeast"/>
                <w:jc w:val="center"/>
              </w:trPr>
              <w:tc>
                <w:tcPr>
                  <w:tcW w:w="2055" w:type="dxa"/>
                  <w:vMerge w:val="continue"/>
                  <w:vAlign w:val="center"/>
                </w:tcPr>
                <w:p w14:paraId="7EBC6FDD">
                  <w:pPr>
                    <w:jc w:val="center"/>
                    <w:contextualSpacing/>
                    <w:spacing w:line="0" w:lineRule="atLeast"/>
                    <w:rPr>
                      <w:color w:val="auto"/>
                      <w:szCs w:val="21"/>
                      <w:rFonts w:hAnsi="宋体"/>
                    </w:rPr>
                  </w:pPr>
                </w:p>
              </w:tc>
              <w:tc>
                <w:tcPr>
                  <w:tcW w:w="2986" w:type="dxa"/>
                  <w:vMerge w:val="continue"/>
                  <w:vAlign w:val="center"/>
                </w:tcPr>
                <w:p w14:paraId="25B5E0A5">
                  <w:pPr>
                    <w:pStyle w:val="65"/>
                    <w:jc w:val="center"/>
                    <w:spacing w:line="240" w:lineRule="auto"/>
                    <w:ind w:firstLine="0" w:firstLineChars="0"/>
                    <w:rPr>
                      <w:color w:val="auto"/>
                      <w:sz w:val="21"/>
                      <w:szCs w:val="21"/>
                    </w:rPr>
                  </w:pPr>
                </w:p>
              </w:tc>
              <w:tc>
                <w:tcPr>
                  <w:tcW w:w="1510" w:type="dxa"/>
                  <w:vAlign w:val="center"/>
                </w:tcPr>
                <w:p w14:paraId="550BE0FE">
                  <w:pPr>
                    <w:pStyle w:val="65"/>
                    <w:jc w:val="center"/>
                    <w:spacing w:line="240" w:lineRule="auto"/>
                    <w:ind w:firstLine="0" w:firstLineChars="0"/>
                    <w:rPr>
                      <w:color w:val="auto"/>
                      <w:sz w:val="21"/>
                      <w:szCs w:val="21"/>
                    </w:rPr>
                  </w:pPr>
                  <w:r>
                    <w:rPr>
                      <w:color w:val="auto"/>
                      <w:sz w:val="21"/>
                      <w:szCs w:val="21"/>
                      <w:rFonts w:hAnsi="宋体"/>
                    </w:rPr>
                    <w:t>苯并</w:t>
                  </w:r>
                  <w:r>
                    <w:rPr>
                      <w:color w:val="auto"/>
                      <w:sz w:val="21"/>
                      <w:szCs w:val="21"/>
                    </w:rPr>
                    <w:t>[a]</w:t>
                  </w:r>
                  <w:r>
                    <w:rPr>
                      <w:color w:val="auto"/>
                      <w:sz w:val="21"/>
                      <w:szCs w:val="21"/>
                      <w:rFonts w:hAnsi="宋体"/>
                    </w:rPr>
                    <w:t>芘</w:t>
                  </w:r>
                </w:p>
              </w:tc>
              <w:tc>
                <w:tcPr>
                  <w:tcW w:w="2062" w:type="dxa"/>
                  <w:vAlign w:val="center"/>
                </w:tcPr>
                <w:p w14:paraId="3952A2A8">
                  <w:pPr>
                    <w:jc w:val="center"/>
                    <w:contextualSpacing/>
                    <w:spacing w:line="0" w:lineRule="atLeast"/>
                    <w:rPr>
                      <w:color w:val="auto"/>
                      <w:lang w:eastAsia="zh-CN"/>
                      <w:szCs w:val="21"/>
                      <w:rFonts w:hAnsi="宋体" w:eastAsia="宋体" w:hint="eastAsia"/>
                    </w:rPr>
                  </w:pPr>
                  <w:r>
                    <w:rPr>
                      <w:color w:val="auto"/>
                      <w:lang w:val="en-US" w:eastAsia="zh-CN"/>
                      <w:szCs w:val="21"/>
                      <w:rFonts w:hint="eastAsia"/>
                    </w:rPr>
                    <w:t>1.28</w:t>
                  </w:r>
                  <w:r>
                    <w:rPr>
                      <w:color w:val="auto"/>
                      <w:szCs w:val="21"/>
                    </w:rPr>
                    <w:t>×10</w:t>
                  </w:r>
                  <w:r>
                    <w:rPr>
                      <w:vertAlign w:val="superscript"/>
                      <w:color w:val="auto"/>
                      <w:szCs w:val="21"/>
                    </w:rPr>
                    <w:t>-</w:t>
                  </w:r>
                  <w:r>
                    <w:rPr>
                      <w:vertAlign w:val="superscript"/>
                      <w:color w:val="auto"/>
                      <w:lang w:val="en-US" w:eastAsia="zh-CN"/>
                      <w:szCs w:val="21"/>
                      <w:rFonts w:hint="eastAsia"/>
                    </w:rPr>
                    <w:t>4</w:t>
                  </w:r>
                </w:p>
              </w:tc>
              <w:tc>
                <w:tcPr>
                  <w:tcW w:w="1859" w:type="dxa"/>
                  <w:vAlign w:val="center"/>
                </w:tcPr>
                <w:p w14:paraId="3A3EBCD2">
                  <w:pPr>
                    <w:pStyle w:val="65"/>
                    <w:jc w:val="center"/>
                    <w:spacing w:line="240" w:lineRule="auto"/>
                    <w:ind w:firstLine="0" w:firstLineChars="0"/>
                    <w:rPr>
                      <w:color w:val="auto"/>
                      <w:sz w:val="21"/>
                      <w:szCs w:val="21"/>
                    </w:rPr>
                  </w:pPr>
                  <w:r>
                    <w:rPr>
                      <w:color w:val="auto"/>
                      <w:sz w:val="21"/>
                      <w:szCs w:val="21"/>
                      <w:rFonts w:hint="eastAsia"/>
                    </w:rPr>
                    <w:t>0.00</w:t>
                  </w:r>
                  <w:r>
                    <w:rPr>
                      <w:color w:val="auto"/>
                      <w:sz w:val="21"/>
                      <w:lang w:val="en-US" w:eastAsia="zh-CN"/>
                      <w:szCs w:val="21"/>
                      <w:rFonts w:hint="eastAsia"/>
                    </w:rPr>
                    <w:t>3</w:t>
                  </w:r>
                  <w:r>
                    <w:rPr>
                      <w:color w:val="auto"/>
                      <w:sz w:val="21"/>
                      <w:szCs w:val="21"/>
                      <w:rFonts w:hint="eastAsia"/>
                    </w:rPr>
                    <w:t>2</w:t>
                  </w:r>
                </w:p>
              </w:tc>
              <w:tc>
                <w:tcPr>
                  <w:tcW w:w="1461" w:type="dxa"/>
                  <w:vMerge w:val="continue"/>
                  <w:vAlign w:val="center"/>
                </w:tcPr>
                <w:p w14:paraId="265027B8">
                  <w:pPr>
                    <w:pStyle w:val="65"/>
                    <w:jc w:val="center"/>
                    <w:spacing w:line="240" w:lineRule="auto"/>
                    <w:ind w:firstLine="0" w:firstLineChars="0"/>
                    <w:rPr>
                      <w:color w:val="auto"/>
                      <w:sz w:val="21"/>
                      <w:szCs w:val="21"/>
                    </w:rPr>
                  </w:pPr>
                </w:p>
              </w:tc>
              <w:tc>
                <w:tcPr>
                  <w:tcW w:w="1521" w:type="dxa"/>
                  <w:vMerge w:val="continue"/>
                  <w:vAlign w:val="center"/>
                </w:tcPr>
                <w:p w14:paraId="27A018FF">
                  <w:pPr>
                    <w:pStyle w:val="65"/>
                    <w:jc w:val="center"/>
                    <w:spacing w:line="240" w:lineRule="auto"/>
                    <w:ind w:firstLine="0" w:firstLineChars="0"/>
                    <w:rPr>
                      <w:color w:val="auto"/>
                      <w:sz w:val="21"/>
                      <w:szCs w:val="21"/>
                    </w:rPr>
                  </w:pPr>
                </w:p>
              </w:tc>
            </w:tr>
            <w:tr w14:paraId="38580E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1380" w:hRule="atLeast"/>
                <w:jc w:val="center"/>
              </w:trPr>
              <w:tc>
                <w:tcPr>
                  <w:tcW w:w="2055" w:type="dxa"/>
                  <w:vMerge w:val="continue"/>
                  <w:vAlign w:val="center"/>
                </w:tcPr>
                <w:p w14:paraId="03138FAD">
                  <w:pPr>
                    <w:jc w:val="center"/>
                    <w:contextualSpacing/>
                    <w:spacing w:line="0" w:lineRule="atLeast"/>
                    <w:rPr>
                      <w:color w:val="auto"/>
                      <w:szCs w:val="21"/>
                      <w:rFonts w:hAnsi="宋体"/>
                    </w:rPr>
                  </w:pPr>
                </w:p>
              </w:tc>
              <w:tc>
                <w:tcPr>
                  <w:tcW w:w="2986" w:type="dxa"/>
                  <w:vMerge w:val="continue"/>
                  <w:vAlign w:val="center"/>
                </w:tcPr>
                <w:p w14:paraId="6446B4F2">
                  <w:pPr>
                    <w:pStyle w:val="65"/>
                    <w:jc w:val="center"/>
                    <w:spacing w:line="240" w:lineRule="auto"/>
                    <w:ind w:firstLine="0" w:firstLineChars="0"/>
                    <w:rPr>
                      <w:color w:val="auto"/>
                      <w:sz w:val="21"/>
                      <w:szCs w:val="21"/>
                    </w:rPr>
                  </w:pPr>
                </w:p>
              </w:tc>
              <w:tc>
                <w:tcPr>
                  <w:tcW w:w="1510" w:type="dxa"/>
                  <w:vAlign w:val="center"/>
                </w:tcPr>
                <w:p w14:paraId="5079F810">
                  <w:pPr>
                    <w:pStyle w:val="65"/>
                    <w:jc w:val="center"/>
                    <w:spacing w:line="240" w:lineRule="auto"/>
                    <w:ind w:firstLine="0" w:firstLineChars="0"/>
                    <w:rPr>
                      <w:color w:val="auto"/>
                      <w:sz w:val="21"/>
                      <w:szCs w:val="21"/>
                      <w:rFonts w:hAnsi="宋体"/>
                    </w:rPr>
                  </w:pPr>
                  <w:r>
                    <w:rPr>
                      <w:color w:val="auto"/>
                      <w:sz w:val="21"/>
                      <w:szCs w:val="21"/>
                      <w:rFonts w:hAnsi="宋体" w:hint="eastAsia"/>
                    </w:rPr>
                    <w:t>非甲烷总烃</w:t>
                  </w:r>
                </w:p>
              </w:tc>
              <w:tc>
                <w:tcPr>
                  <w:tcW w:w="2062" w:type="dxa"/>
                  <w:vAlign w:val="center"/>
                </w:tcPr>
                <w:p w14:paraId="74F205AD">
                  <w:pPr>
                    <w:jc w:val="center"/>
                    <w:contextualSpacing/>
                    <w:spacing w:line="0" w:lineRule="atLeast"/>
                    <w:rPr>
                      <w:color w:val="auto"/>
                      <w:szCs w:val="21"/>
                    </w:rPr>
                  </w:pPr>
                  <w:r>
                    <w:rPr>
                      <w:color w:val="auto"/>
                      <w:lang w:val="en-US" w:eastAsia="zh-CN"/>
                      <w:szCs w:val="21"/>
                      <w:rFonts w:hint="eastAsia"/>
                    </w:rPr>
                    <w:t>0.036</w:t>
                  </w:r>
                </w:p>
              </w:tc>
              <w:tc>
                <w:tcPr>
                  <w:tcW w:w="1859" w:type="dxa"/>
                  <w:vAlign w:val="center"/>
                </w:tcPr>
                <w:p w14:paraId="72988A64">
                  <w:pPr>
                    <w:pStyle w:val="65"/>
                    <w:jc w:val="center"/>
                    <w:spacing w:line="240" w:lineRule="auto"/>
                    <w:ind w:firstLine="0" w:firstLineChars="0"/>
                    <w:rPr>
                      <w:color w:val="auto"/>
                      <w:sz w:val="21"/>
                      <w:lang w:val="en-US" w:eastAsia="zh-CN"/>
                      <w:szCs w:val="21"/>
                      <w:rFonts w:eastAsia="宋体" w:hint="default"/>
                    </w:rPr>
                  </w:pPr>
                  <w:r>
                    <w:rPr>
                      <w:color w:val="auto"/>
                      <w:sz w:val="21"/>
                      <w:lang w:val="en-US" w:eastAsia="zh-CN"/>
                      <w:szCs w:val="21"/>
                      <w:rFonts w:hint="eastAsia"/>
                    </w:rPr>
                    <w:t>0.9</w:t>
                  </w:r>
                </w:p>
              </w:tc>
              <w:tc>
                <w:tcPr>
                  <w:tcW w:w="1461" w:type="dxa"/>
                  <w:vMerge w:val="continue"/>
                  <w:vAlign w:val="center"/>
                </w:tcPr>
                <w:p w14:paraId="06E3CB5C">
                  <w:pPr>
                    <w:pStyle w:val="65"/>
                    <w:jc w:val="center"/>
                    <w:spacing w:line="240" w:lineRule="auto"/>
                    <w:ind w:firstLine="0" w:firstLineChars="0"/>
                    <w:rPr>
                      <w:color w:val="auto"/>
                      <w:sz w:val="21"/>
                      <w:szCs w:val="21"/>
                    </w:rPr>
                  </w:pPr>
                </w:p>
              </w:tc>
              <w:tc>
                <w:tcPr>
                  <w:tcW w:w="1521" w:type="dxa"/>
                  <w:vMerge w:val="continue"/>
                  <w:vAlign w:val="center"/>
                </w:tcPr>
                <w:p w14:paraId="6F8DC586">
                  <w:pPr>
                    <w:pStyle w:val="65"/>
                    <w:jc w:val="center"/>
                    <w:spacing w:line="240" w:lineRule="auto"/>
                    <w:ind w:firstLine="0" w:firstLineChars="0"/>
                    <w:rPr>
                      <w:color w:val="auto"/>
                      <w:sz w:val="21"/>
                      <w:szCs w:val="21"/>
                    </w:rPr>
                  </w:pPr>
                </w:p>
              </w:tc>
            </w:tr>
          </w:tbl>
          <w:p w14:paraId="7FB13462">
            <w:pPr>
              <w:contextualSpacing/>
              <w:spacing w:line="360" w:lineRule="auto"/>
              <w:ind w:firstLine="482" w:firstLineChars="200"/>
              <w:rPr>
                <w:b w:val="1"/>
                <w:color w:val="auto"/>
                <w:sz w:val="24"/>
                <w:lang w:val="en-US" w:eastAsia="zh-CN"/>
                <w:bCs/>
                <w:rFonts w:hint="default"/>
              </w:rPr>
            </w:pPr>
            <w:r>
              <w:rPr>
                <w:b w:val="1"/>
                <w:color w:val="auto"/>
                <w:sz w:val="24"/>
                <w:lang w:val="en-US" w:eastAsia="zh-CN"/>
                <w:bCs/>
                <w:rFonts w:hint="eastAsia"/>
              </w:rPr>
              <w:t>2、可行技术</w:t>
            </w:r>
          </w:p>
          <w:p w14:paraId="568AD23D">
            <w:pPr>
              <w:jc w:val="left"/>
              <w:contextualSpacing/>
              <w:spacing w:line="360" w:lineRule="auto"/>
              <w:ind w:firstLine="480" w:firstLineChars="200"/>
              <w:rPr>
                <w:color w:val="auto"/>
                <w:sz w:val="24"/>
              </w:rPr>
            </w:pPr>
            <w:r>
              <w:rPr>
                <w:color w:val="auto"/>
                <w:sz w:val="24"/>
              </w:rPr>
              <w:t>袋式除尘技术是利用纤维织物的拦截、惯性、扩散、重力、静电等协同作用对含尘气体进行过滤的技术，当含尘气体进入袋式除尘器后，颗粒大、比重大的烟尘，由于重力的作用沉降下来，落入灰斗，</w:t>
            </w:r>
            <w:r>
              <w:rPr>
                <w:color w:val="auto"/>
                <w:sz w:val="24"/>
                <w:rFonts w:hint="eastAsia"/>
              </w:rPr>
              <w:t>废气</w:t>
            </w:r>
            <w:r>
              <w:rPr>
                <w:color w:val="auto"/>
                <w:sz w:val="24"/>
              </w:rPr>
              <w:t>中较细小的</w:t>
            </w:r>
            <w:r>
              <w:rPr>
                <w:color w:val="auto"/>
                <w:sz w:val="24"/>
                <w:rFonts w:hint="eastAsia"/>
              </w:rPr>
              <w:t>颗粒</w:t>
            </w:r>
            <w:r>
              <w:rPr>
                <w:color w:val="auto"/>
                <w:sz w:val="24"/>
              </w:rPr>
              <w:t>在通过滤料时被阻留，使</w:t>
            </w:r>
            <w:r>
              <w:rPr>
                <w:color w:val="auto"/>
                <w:sz w:val="24"/>
                <w:rFonts w:hint="eastAsia"/>
              </w:rPr>
              <w:t>废气</w:t>
            </w:r>
            <w:r>
              <w:rPr>
                <w:color w:val="auto"/>
                <w:sz w:val="24"/>
              </w:rPr>
              <w:t>得到净化，袋式除尘器除尘效率基本不受烟尘比电阻和烟气工况变化等影响，占地面积小，控制系统简单，可实现较为稳定的低排放。袋式除尘器除尘效率为99.5%~99.99%。</w:t>
            </w:r>
            <w:r>
              <w:rPr>
                <w:color w:val="auto"/>
                <w:sz w:val="24"/>
                <w:rFonts w:ascii="宋体" w:hAnsi="宋体" w:cs="宋体" w:hint="eastAsia"/>
              </w:rPr>
              <w:t>根据《排污许可证申请与核发技术规范 石墨及其他非金属矿物制品制造》（</w:t>
            </w:r>
            <w:r>
              <w:rPr>
                <w:color w:val="auto"/>
                <w:sz w:val="24"/>
              </w:rPr>
              <w:t>HJ1119</w:t>
            </w:r>
            <w:r>
              <w:rPr>
                <w:color w:val="auto"/>
                <w:sz w:val="24"/>
                <w:rFonts w:ascii="宋体" w:hAnsi="宋体" w:cs="宋体" w:hint="eastAsia"/>
              </w:rPr>
              <w:t>—</w:t>
            </w:r>
            <w:r>
              <w:rPr>
                <w:color w:val="auto"/>
                <w:sz w:val="24"/>
              </w:rPr>
              <w:t>2020</w:t>
            </w:r>
            <w:r>
              <w:rPr>
                <w:color w:val="auto"/>
                <w:sz w:val="24"/>
                <w:rFonts w:ascii="宋体" w:hAnsi="宋体" w:cs="宋体" w:hint="eastAsia"/>
              </w:rPr>
              <w:t>）中粉料仓给出的除尘技术措施可知，项目回配备</w:t>
            </w:r>
            <w:r>
              <w:rPr>
                <w:color w:val="auto"/>
                <w:sz w:val="24"/>
                <w:rFonts w:hint="eastAsia"/>
              </w:rPr>
              <w:t>除尘系统（重力+布袋）属于可行性技术。</w:t>
            </w:r>
          </w:p>
          <w:p w14:paraId="29BDE9A7">
            <w:pPr>
              <w:pStyle w:val="61"/>
              <w:snapToGrid w:val="1"/>
              <w:jc w:val="left"/>
              <w:contextualSpacing/>
              <w:ind w:firstLine="480"/>
              <w:rPr>
                <w:color w:val="auto"/>
                <w:sz w:val="24"/>
                <w:kern w:val="0"/>
                <w:rFonts w:hAnsiTheme="minorEastAsia" w:eastAsiaTheme="minorEastAsia"/>
              </w:rPr>
            </w:pPr>
            <w:r>
              <w:rPr>
                <w:color w:val="auto"/>
                <w:sz w:val="24"/>
                <w:kern w:val="0"/>
                <w:rFonts w:hAnsiTheme="minorEastAsia" w:eastAsiaTheme="minorEastAsia"/>
              </w:rPr>
              <w:t>根据</w:t>
            </w:r>
            <w:r>
              <w:rPr>
                <w:color w:val="auto"/>
                <w:sz w:val="24"/>
                <w:bCs/>
                <w:kern w:val="0"/>
                <w:rFonts w:hAnsiTheme="minorEastAsia" w:eastAsiaTheme="minorEastAsia"/>
              </w:rPr>
              <w:t>《大气污染物综合排放标准》（</w:t>
            </w:r>
            <w:r>
              <w:rPr>
                <w:color w:val="auto"/>
                <w:sz w:val="24"/>
                <w:bCs/>
                <w:kern w:val="0"/>
                <w:rFonts w:eastAsiaTheme="minorEastAsia"/>
              </w:rPr>
              <w:t>GB16297-1996</w:t>
            </w:r>
            <w:r>
              <w:rPr>
                <w:color w:val="auto"/>
                <w:sz w:val="24"/>
                <w:bCs/>
                <w:kern w:val="0"/>
                <w:rFonts w:hAnsiTheme="minorEastAsia" w:eastAsiaTheme="minorEastAsia"/>
              </w:rPr>
              <w:t>）</w:t>
            </w:r>
            <w:r>
              <w:rPr>
                <w:color w:val="auto"/>
                <w:sz w:val="24"/>
                <w:kern w:val="0"/>
                <w:rFonts w:hAnsiTheme="minorEastAsia" w:eastAsiaTheme="minorEastAsia"/>
              </w:rPr>
              <w:t>中要求的</w:t>
            </w:r>
            <w:r>
              <w:rPr>
                <w:color w:val="auto"/>
                <w:sz w:val="24"/>
                <w:kern w:val="0"/>
                <w:rFonts w:hint="eastAsia" w:eastAsiaTheme="minorEastAsia"/>
              </w:rPr>
              <w:t>“</w:t>
            </w:r>
            <w:r>
              <w:rPr>
                <w:color w:val="auto"/>
                <w:sz w:val="24"/>
                <w:kern w:val="0"/>
                <w:rFonts w:hint="eastAsia" w:hAnsiTheme="minorEastAsia" w:eastAsiaTheme="minorEastAsia"/>
              </w:rPr>
              <w:t>排气筒</w:t>
            </w:r>
            <w:r>
              <w:rPr>
                <w:color w:val="auto"/>
                <w:sz w:val="24"/>
                <w:kern w:val="0"/>
                <w:rFonts w:hAnsiTheme="minorEastAsia" w:eastAsiaTheme="minorEastAsia"/>
              </w:rPr>
              <w:t>高度高出周围半径</w:t>
            </w:r>
            <w:r>
              <w:rPr>
                <w:color w:val="auto"/>
                <w:sz w:val="24"/>
                <w:kern w:val="0"/>
                <w:rFonts w:eastAsiaTheme="minorEastAsia"/>
              </w:rPr>
              <w:t>200m范围内的</w:t>
            </w:r>
            <w:r>
              <w:rPr>
                <w:color w:val="auto"/>
                <w:sz w:val="24"/>
                <w:kern w:val="0"/>
                <w:rFonts w:hAnsiTheme="minorEastAsia" w:eastAsiaTheme="minorEastAsia"/>
              </w:rPr>
              <w:t>建筑物</w:t>
            </w:r>
            <w:r>
              <w:rPr>
                <w:color w:val="auto"/>
                <w:sz w:val="24"/>
                <w:kern w:val="0"/>
                <w:rFonts w:hint="eastAsia" w:hAnsiTheme="minorEastAsia" w:eastAsiaTheme="minorEastAsia"/>
              </w:rPr>
              <w:t>5m以上”</w:t>
            </w:r>
            <w:r>
              <w:rPr>
                <w:color w:val="auto"/>
                <w:sz w:val="24"/>
                <w:kern w:val="0"/>
                <w:rFonts w:hAnsiTheme="minorEastAsia" w:eastAsiaTheme="minorEastAsia"/>
              </w:rPr>
              <w:t>，本项目周围半径</w:t>
            </w:r>
            <w:r>
              <w:rPr>
                <w:color w:val="auto"/>
                <w:sz w:val="24"/>
                <w:kern w:val="0"/>
                <w:rFonts w:eastAsiaTheme="minorEastAsia"/>
              </w:rPr>
              <w:t>200m范围内</w:t>
            </w:r>
            <w:r>
              <w:rPr>
                <w:color w:val="auto"/>
                <w:sz w:val="24"/>
                <w:kern w:val="0"/>
                <w:rFonts w:hint="eastAsia" w:eastAsiaTheme="minorEastAsia"/>
              </w:rPr>
              <w:t>最高</w:t>
            </w:r>
            <w:r>
              <w:rPr>
                <w:color w:val="auto"/>
                <w:sz w:val="24"/>
                <w:kern w:val="0"/>
                <w:rFonts w:hAnsiTheme="minorEastAsia" w:eastAsiaTheme="minorEastAsia"/>
              </w:rPr>
              <w:t>建筑物为</w:t>
            </w:r>
            <w:r>
              <w:rPr>
                <w:color w:val="auto"/>
                <w:sz w:val="24"/>
                <w:kern w:val="0"/>
                <w:rFonts w:hint="eastAsia" w:hAnsiTheme="minorEastAsia" w:eastAsiaTheme="minorEastAsia"/>
              </w:rPr>
              <w:t>7m，本项目排气筒高度为15m，高于</w:t>
            </w:r>
            <w:r>
              <w:rPr>
                <w:color w:val="auto"/>
                <w:sz w:val="24"/>
                <w:kern w:val="0"/>
                <w:rFonts w:hAnsiTheme="minorEastAsia" w:eastAsiaTheme="minorEastAsia"/>
              </w:rPr>
              <w:t>周围半径</w:t>
            </w:r>
            <w:r>
              <w:rPr>
                <w:color w:val="auto"/>
                <w:sz w:val="24"/>
                <w:kern w:val="0"/>
                <w:rFonts w:eastAsiaTheme="minorEastAsia"/>
              </w:rPr>
              <w:t>200m范围内的</w:t>
            </w:r>
            <w:r>
              <w:rPr>
                <w:color w:val="auto"/>
                <w:sz w:val="24"/>
                <w:kern w:val="0"/>
                <w:rFonts w:hAnsiTheme="minorEastAsia" w:eastAsiaTheme="minorEastAsia"/>
              </w:rPr>
              <w:t>建筑物</w:t>
            </w:r>
            <w:r>
              <w:rPr>
                <w:color w:val="auto"/>
                <w:sz w:val="24"/>
                <w:kern w:val="0"/>
                <w:rFonts w:hint="eastAsia" w:hAnsiTheme="minorEastAsia" w:eastAsiaTheme="minorEastAsia"/>
              </w:rPr>
              <w:t>5m以上。因此，本项目</w:t>
            </w:r>
            <w:r>
              <w:rPr>
                <w:color w:val="auto"/>
                <w:sz w:val="24"/>
                <w:rFonts w:hint="eastAsia"/>
              </w:rPr>
              <w:t>除尘系统排气筒（DA001）设置合理。</w:t>
            </w:r>
          </w:p>
          <w:p w14:paraId="7FFF4070">
            <w:pPr>
              <w:pStyle w:val="26"/>
              <w:spacing w:line="360" w:lineRule="auto"/>
              <w:ind w:firstLine="480" w:left="0" w:leftChars="0"/>
              <w:rPr>
                <w:color w:val="auto"/>
                <w:sz w:val="24"/>
                <w:bCs/>
              </w:rPr>
            </w:pPr>
            <w:r>
              <w:rPr>
                <w:color w:val="auto"/>
                <w:sz w:val="24"/>
                <w:bCs/>
              </w:rPr>
              <w:t>根据《排污许可证申请与核发技术规范 锅炉》（HJ953-2018），燃</w:t>
            </w:r>
            <w:r>
              <w:rPr>
                <w:color w:val="auto"/>
                <w:sz w:val="24"/>
                <w:bCs/>
                <w:rFonts w:hint="eastAsia"/>
              </w:rPr>
              <w:t>气</w:t>
            </w:r>
            <w:r>
              <w:rPr>
                <w:color w:val="auto"/>
                <w:sz w:val="24"/>
                <w:bCs/>
              </w:rPr>
              <w:t>锅炉废气采用</w:t>
            </w:r>
            <w:r>
              <w:rPr>
                <w:color w:val="auto"/>
                <w:sz w:val="24"/>
                <w:bCs/>
                <w:rFonts w:hint="eastAsia"/>
              </w:rPr>
              <w:t>低氮燃烧</w:t>
            </w:r>
            <w:r>
              <w:rPr>
                <w:color w:val="auto"/>
                <w:sz w:val="24"/>
                <w:bCs/>
              </w:rPr>
              <w:t>措施为可行性技术。</w:t>
            </w:r>
          </w:p>
          <w:p w14:paraId="70C09BB2">
            <w:pPr>
              <w:contextualSpacing/>
              <w:spacing w:line="360" w:lineRule="auto"/>
              <w:ind w:firstLine="480" w:firstLineChars="200"/>
              <w:rPr>
                <w:color w:val="auto"/>
                <w:sz w:val="24"/>
                <w:rFonts w:hint="eastAsia"/>
              </w:rPr>
            </w:pPr>
            <w:r>
              <w:rPr>
                <w:color w:val="auto"/>
                <w:sz w:val="24"/>
                <w:kern w:val="0"/>
                <w:rFonts w:hAnsiTheme="minorEastAsia" w:eastAsiaTheme="minorEastAsia"/>
              </w:rPr>
              <w:t>根据</w:t>
            </w:r>
            <w:r>
              <w:rPr>
                <w:color w:val="auto"/>
                <w:sz w:val="24"/>
                <w:bCs/>
              </w:rPr>
              <w:t>《锅炉大气污染物排放标准》（GB13271-2014）</w:t>
            </w:r>
            <w:r>
              <w:rPr>
                <w:color w:val="auto"/>
                <w:sz w:val="24"/>
                <w:kern w:val="0"/>
                <w:rFonts w:hAnsiTheme="minorEastAsia" w:eastAsiaTheme="minorEastAsia"/>
              </w:rPr>
              <w:t>中要求的</w:t>
            </w:r>
            <w:r>
              <w:rPr>
                <w:color w:val="auto"/>
                <w:sz w:val="24"/>
                <w:kern w:val="0"/>
                <w:rFonts w:hint="eastAsia" w:eastAsiaTheme="minorEastAsia"/>
              </w:rPr>
              <w:t>“燃气锅炉烟囱不低于8m，新建锅炉房的烟囱周围</w:t>
            </w:r>
            <w:r>
              <w:rPr>
                <w:color w:val="auto"/>
                <w:sz w:val="24"/>
                <w:kern w:val="0"/>
                <w:rFonts w:hAnsiTheme="minorEastAsia" w:eastAsiaTheme="minorEastAsia"/>
              </w:rPr>
              <w:t>半径</w:t>
            </w:r>
            <w:r>
              <w:rPr>
                <w:color w:val="auto"/>
                <w:sz w:val="24"/>
                <w:kern w:val="0"/>
                <w:rFonts w:eastAsiaTheme="minorEastAsia"/>
              </w:rPr>
              <w:t>200m范围内</w:t>
            </w:r>
            <w:r>
              <w:rPr>
                <w:color w:val="auto"/>
                <w:sz w:val="24"/>
                <w:kern w:val="0"/>
                <w:rFonts w:hint="eastAsia" w:eastAsiaTheme="minorEastAsia"/>
              </w:rPr>
              <w:t>有</w:t>
            </w:r>
            <w:r>
              <w:rPr>
                <w:color w:val="auto"/>
                <w:sz w:val="24"/>
                <w:kern w:val="0"/>
                <w:rFonts w:hAnsiTheme="minorEastAsia" w:eastAsiaTheme="minorEastAsia"/>
              </w:rPr>
              <w:t>建筑物时，其烟囱高出最高建筑物</w:t>
            </w:r>
            <w:r>
              <w:rPr>
                <w:color w:val="auto"/>
                <w:sz w:val="24"/>
                <w:kern w:val="0"/>
                <w:rFonts w:hint="eastAsia" w:hAnsiTheme="minorEastAsia" w:eastAsiaTheme="minorEastAsia"/>
              </w:rPr>
              <w:t>3m以上”</w:t>
            </w:r>
            <w:r>
              <w:rPr>
                <w:color w:val="auto"/>
                <w:sz w:val="24"/>
                <w:kern w:val="0"/>
                <w:rFonts w:hAnsiTheme="minorEastAsia" w:eastAsiaTheme="minorEastAsia"/>
              </w:rPr>
              <w:t>，本项目周围半径</w:t>
            </w:r>
            <w:r>
              <w:rPr>
                <w:color w:val="auto"/>
                <w:sz w:val="24"/>
                <w:kern w:val="0"/>
                <w:rFonts w:eastAsiaTheme="minorEastAsia"/>
              </w:rPr>
              <w:t>200m范围内</w:t>
            </w:r>
            <w:r>
              <w:rPr>
                <w:color w:val="auto"/>
                <w:sz w:val="24"/>
                <w:kern w:val="0"/>
                <w:rFonts w:hint="eastAsia" w:eastAsiaTheme="minorEastAsia"/>
              </w:rPr>
              <w:t>最高</w:t>
            </w:r>
            <w:r>
              <w:rPr>
                <w:color w:val="auto"/>
                <w:sz w:val="24"/>
                <w:kern w:val="0"/>
                <w:rFonts w:hAnsiTheme="minorEastAsia" w:eastAsiaTheme="minorEastAsia"/>
              </w:rPr>
              <w:t>建筑物为</w:t>
            </w:r>
            <w:r>
              <w:rPr>
                <w:color w:val="auto"/>
                <w:sz w:val="24"/>
                <w:kern w:val="0"/>
                <w:rFonts w:hint="eastAsia" w:hAnsiTheme="minorEastAsia" w:eastAsiaTheme="minorEastAsia"/>
              </w:rPr>
              <w:t>7m，本项目锅炉烟囱高度为12m，高于</w:t>
            </w:r>
            <w:r>
              <w:rPr>
                <w:color w:val="auto"/>
                <w:sz w:val="24"/>
                <w:kern w:val="0"/>
                <w:rFonts w:hAnsiTheme="minorEastAsia" w:eastAsiaTheme="minorEastAsia"/>
              </w:rPr>
              <w:t>周围半径</w:t>
            </w:r>
            <w:r>
              <w:rPr>
                <w:color w:val="auto"/>
                <w:sz w:val="24"/>
                <w:kern w:val="0"/>
                <w:rFonts w:eastAsiaTheme="minorEastAsia"/>
              </w:rPr>
              <w:t>200m范围内的</w:t>
            </w:r>
            <w:r>
              <w:rPr>
                <w:color w:val="auto"/>
                <w:sz w:val="24"/>
                <w:kern w:val="0"/>
                <w:rFonts w:hAnsiTheme="minorEastAsia" w:eastAsiaTheme="minorEastAsia"/>
              </w:rPr>
              <w:t>建筑物</w:t>
            </w:r>
            <w:r>
              <w:rPr>
                <w:color w:val="auto"/>
                <w:sz w:val="24"/>
                <w:kern w:val="0"/>
                <w:rFonts w:hint="eastAsia" w:hAnsiTheme="minorEastAsia" w:eastAsiaTheme="minorEastAsia"/>
              </w:rPr>
              <w:t>3m以上。因此，本项目</w:t>
            </w:r>
            <w:r>
              <w:rPr>
                <w:color w:val="auto"/>
                <w:sz w:val="24"/>
                <w:rFonts w:hint="eastAsia"/>
              </w:rPr>
              <w:t>排气筒（DA002）设置合理。</w:t>
            </w:r>
          </w:p>
          <w:p w14:paraId="799FEE92">
            <w:pPr>
              <w:pStyle w:val="65"/>
              <w:rPr>
                <w:color w:val="auto"/>
                <w:bCs/>
              </w:rPr>
            </w:pPr>
            <w:r>
              <w:rPr>
                <w:color w:val="auto"/>
                <w:bCs/>
              </w:rPr>
              <w:t>根据《排污许可证申请与核发技术规范 石墨及其他非金属矿物制品制造》（HJ1119-2020）附录A，</w:t>
            </w:r>
            <w:r>
              <w:rPr>
                <w:color w:val="auto"/>
              </w:rPr>
              <w:t>沥青罐呼吸及成品出料废气采用活性炭吸附措施</w:t>
            </w:r>
            <w:r>
              <w:rPr>
                <w:color w:val="auto"/>
                <w:bCs/>
              </w:rPr>
              <w:t>为可行性技术</w:t>
            </w:r>
            <w:r>
              <w:rPr>
                <w:color w:val="auto"/>
                <w:bCs/>
                <w:rFonts w:hint="eastAsia"/>
              </w:rPr>
              <w:t>。本项目</w:t>
            </w:r>
            <w:r>
              <w:rPr>
                <w:color w:val="auto"/>
                <w:bCs/>
              </w:rPr>
              <w:t>沥青罐呼吸及成品出料废气采用</w:t>
            </w:r>
            <w:r>
              <w:rPr>
                <w:color w:val="auto"/>
                <w:bCs/>
                <w:rFonts w:hint="eastAsia"/>
              </w:rPr>
              <w:t>气浮旋流塔+三维一体化废气处理设备（由电离子+光催化+高碘值碳吸附组成）属于可行性技术。</w:t>
            </w:r>
          </w:p>
          <w:p w14:paraId="7BF4738B">
            <w:pPr>
              <w:pStyle w:val="65"/>
              <w:rPr>
                <w:color w:val="auto"/>
                <w:lang w:val="en-US" w:eastAsia="zh-CN"/>
                <w:bCs/>
                <w:rFonts w:hint="eastAsia"/>
              </w:rPr>
            </w:pPr>
            <w:r>
              <w:rPr>
                <w:color w:val="auto"/>
                <w:bCs/>
              </w:rPr>
              <w:t>根据《大气污染物综合排放标准》（GB16297-1996）中要求的</w:t>
            </w:r>
            <w:r>
              <w:rPr>
                <w:color w:val="auto"/>
                <w:bCs/>
                <w:rFonts w:hint="eastAsia"/>
              </w:rPr>
              <w:t>“排气筒</w:t>
            </w:r>
            <w:r>
              <w:rPr>
                <w:color w:val="auto"/>
                <w:bCs/>
              </w:rPr>
              <w:t>高度高出周围半径200m范围内的建筑物</w:t>
            </w:r>
            <w:r>
              <w:rPr>
                <w:color w:val="auto"/>
                <w:bCs/>
                <w:rFonts w:hint="eastAsia"/>
              </w:rPr>
              <w:t>5m以上”</w:t>
            </w:r>
            <w:r>
              <w:rPr>
                <w:color w:val="auto"/>
                <w:bCs/>
              </w:rPr>
              <w:t>，本项目周围半径200m范围内</w:t>
            </w:r>
            <w:r>
              <w:rPr>
                <w:color w:val="auto"/>
                <w:bCs/>
                <w:rFonts w:hint="eastAsia"/>
              </w:rPr>
              <w:t>最高</w:t>
            </w:r>
            <w:r>
              <w:rPr>
                <w:color w:val="auto"/>
                <w:bCs/>
              </w:rPr>
              <w:t>建筑物为</w:t>
            </w:r>
            <w:r>
              <w:rPr>
                <w:color w:val="auto"/>
                <w:bCs/>
                <w:rFonts w:hint="eastAsia"/>
              </w:rPr>
              <w:t>7m，本项目排气筒高度为15m，高于</w:t>
            </w:r>
            <w:r>
              <w:rPr>
                <w:color w:val="auto"/>
                <w:bCs/>
              </w:rPr>
              <w:t>周围半径200m范围内的建筑物</w:t>
            </w:r>
            <w:r>
              <w:rPr>
                <w:color w:val="auto"/>
                <w:bCs/>
                <w:rFonts w:hint="eastAsia"/>
              </w:rPr>
              <w:t>5m以上。因此，本项目沥青搅拌排气筒（DA003）设置合理。</w:t>
            </w:r>
          </w:p>
          <w:p w14:paraId="74300ABD">
            <w:pPr>
              <w:pStyle w:val="65"/>
              <w:rPr>
                <w:color w:val="auto"/>
                <w:bCs/>
                <w:rFonts w:hint="eastAsia"/>
              </w:rPr>
            </w:pPr>
            <w:r>
              <w:rPr>
                <w:color w:val="auto"/>
                <w:bCs/>
                <w:rFonts w:hint="eastAsia"/>
              </w:rPr>
              <w:t>无组织采取洒水降尘满足无组织排放控制要求，根据《扬尘源颗粒物排放清单编制技术指南（试行）》，堆场风蚀TSP洒水控制效率为52%，堆场操作（集堆产装参照堆场操作）TSP洒水控制效率为74%；上料过程参照《逸散性工业粉尘控制技术》原料卸料水喷雾洒水抑尘效率为50%，因此本项目铲装集堆、装卸采取洒水降尘技术可行</w:t>
            </w:r>
          </w:p>
          <w:p w14:paraId="2F9DF755">
            <w:pPr>
              <w:contextualSpacing/>
              <w:spacing w:line="360" w:lineRule="auto"/>
              <w:ind w:firstLine="482" w:firstLineChars="200"/>
              <w:rPr>
                <w:b w:val="1"/>
                <w:color w:val="auto"/>
                <w:sz w:val="24"/>
                <w:lang w:val="en-US" w:eastAsia="zh-CN"/>
                <w:bCs/>
                <w:rFonts w:eastAsia="宋体" w:hint="default"/>
              </w:rPr>
            </w:pPr>
            <w:r>
              <w:rPr>
                <w:b w:val="1"/>
                <w:color w:val="auto"/>
                <w:sz w:val="24"/>
                <w:lang w:val="en-US" w:eastAsia="zh-CN"/>
                <w:bCs/>
                <w:rFonts w:hint="eastAsia"/>
              </w:rPr>
              <w:t>3、达标分析：</w:t>
            </w:r>
          </w:p>
          <w:p w14:paraId="04528B14">
            <w:pPr>
              <w:jc w:val="left"/>
              <w:contextualSpacing/>
              <w:spacing w:line="360" w:lineRule="auto"/>
              <w:ind w:firstLine="480" w:firstLineChars="200"/>
              <w:rPr>
                <w:color w:val="auto"/>
                <w:sz w:val="24"/>
                <w:bCs/>
              </w:rPr>
            </w:pPr>
            <w:r>
              <w:rPr>
                <w:color w:val="auto"/>
                <w:sz w:val="24"/>
              </w:rPr>
              <w:t>（1）</w:t>
            </w:r>
            <w:r>
              <w:rPr>
                <w:color w:val="auto"/>
                <w:sz w:val="24"/>
                <w:bCs/>
              </w:rPr>
              <w:t>碎石加热粉尘、筛分粉尘、热料仓落料粉尘、</w:t>
            </w:r>
            <w:r>
              <w:rPr>
                <w:color w:val="auto"/>
                <w:sz w:val="24"/>
                <w:bCs/>
                <w:rFonts w:hint="eastAsia"/>
              </w:rPr>
              <w:t>矿粉筒仓装卸粉尘、28MW</w:t>
            </w:r>
            <w:r>
              <w:rPr>
                <w:color w:val="auto"/>
                <w:sz w:val="24"/>
                <w:bCs/>
              </w:rPr>
              <w:t>燃</w:t>
            </w:r>
            <w:r>
              <w:rPr>
                <w:color w:val="auto"/>
                <w:sz w:val="24"/>
                <w:bCs/>
                <w:rFonts w:hint="eastAsia"/>
              </w:rPr>
              <w:t>天然气</w:t>
            </w:r>
            <w:r>
              <w:rPr>
                <w:color w:val="auto"/>
                <w:sz w:val="24"/>
                <w:bCs/>
              </w:rPr>
              <w:t>燃烧器烟气、</w:t>
            </w:r>
            <w:r>
              <w:rPr>
                <w:color w:val="auto"/>
                <w:sz w:val="24"/>
                <w:bCs/>
                <w:rFonts w:hint="eastAsia"/>
              </w:rPr>
              <w:t>冷料仓上料粉尘</w:t>
            </w:r>
          </w:p>
          <w:p w14:paraId="159D6A9D">
            <w:pPr>
              <w:jc w:val="left"/>
              <w:contextualSpacing/>
              <w:spacing w:line="360" w:lineRule="auto"/>
              <w:ind w:firstLine="480" w:firstLineChars="200"/>
              <w:rPr>
                <w:color w:val="auto"/>
                <w:sz w:val="24"/>
              </w:rPr>
            </w:pPr>
            <w:r>
              <w:rPr>
                <w:color w:val="auto"/>
                <w:sz w:val="24"/>
                <w:rFonts w:hint="eastAsia"/>
              </w:rPr>
              <w:t>本项目碎石筛分、烘干废气、热料仓落料废气、矿粉筒仓装卸废气、冷料仓上料废气、28MW燃天然气燃烧器烟气经除尘系统（重力+布袋）处理后，由15m高除尘系统烟囱（DA001）排放，除尘效率为99%；</w:t>
            </w:r>
            <w:r>
              <w:rPr>
                <w:color w:val="auto"/>
                <w:sz w:val="24"/>
              </w:rPr>
              <w:t>颗粒物排放浓度</w:t>
            </w:r>
            <w:r>
              <w:rPr>
                <w:color w:val="auto"/>
                <w:sz w:val="24"/>
                <w:lang w:val="en-US" w:eastAsia="zh-CN"/>
                <w:rFonts w:hint="eastAsia"/>
              </w:rPr>
              <w:t>43.07</w:t>
            </w:r>
            <w:r>
              <w:rPr>
                <w:color w:val="auto"/>
                <w:sz w:val="24"/>
              </w:rPr>
              <w:t>mg/m</w:t>
            </w:r>
            <w:r>
              <w:rPr>
                <w:vertAlign w:val="superscript"/>
                <w:color w:val="auto"/>
                <w:sz w:val="24"/>
              </w:rPr>
              <w:t>3</w:t>
            </w:r>
            <w:r>
              <w:rPr>
                <w:color w:val="auto"/>
                <w:sz w:val="24"/>
              </w:rPr>
              <w:t>，排放</w:t>
            </w:r>
            <w:r>
              <w:rPr>
                <w:color w:val="auto"/>
                <w:sz w:val="24"/>
                <w:rFonts w:hint="eastAsia"/>
              </w:rPr>
              <w:t>速率</w:t>
            </w:r>
            <w:r>
              <w:rPr>
                <w:color w:val="auto"/>
                <w:sz w:val="24"/>
              </w:rPr>
              <w:t>为</w:t>
            </w:r>
            <w:r>
              <w:rPr>
                <w:color w:val="auto"/>
                <w:sz w:val="24"/>
                <w:lang w:val="en-US" w:eastAsia="zh-CN"/>
                <w:rFonts w:hint="eastAsia"/>
              </w:rPr>
              <w:t>1.68</w:t>
            </w:r>
            <w:r>
              <w:rPr>
                <w:color w:val="auto"/>
                <w:sz w:val="24"/>
                <w:rFonts w:hint="eastAsia"/>
              </w:rPr>
              <w:t>kg</w:t>
            </w:r>
            <w:r>
              <w:rPr>
                <w:color w:val="auto"/>
                <w:sz w:val="24"/>
              </w:rPr>
              <w:t>/</w:t>
            </w:r>
            <w:r>
              <w:rPr>
                <w:color w:val="auto"/>
                <w:sz w:val="24"/>
                <w:rFonts w:hint="eastAsia"/>
              </w:rPr>
              <w:t>h</w:t>
            </w:r>
            <w:r>
              <w:rPr>
                <w:color w:val="auto"/>
                <w:sz w:val="24"/>
              </w:rPr>
              <w:t>；</w:t>
            </w:r>
            <w:r>
              <w:rPr>
                <w:color w:val="auto"/>
                <w:sz w:val="24"/>
              </w:rPr>
              <w:t>SO</w:t>
            </w:r>
            <w:r>
              <w:rPr>
                <w:vertAlign w:val="subscript"/>
                <w:color w:val="auto"/>
                <w:sz w:val="24"/>
              </w:rPr>
              <w:t>2</w:t>
            </w:r>
            <w:r>
              <w:rPr>
                <w:color w:val="auto"/>
                <w:sz w:val="24"/>
              </w:rPr>
              <w:t>排放浓度</w:t>
            </w:r>
            <w:r>
              <w:rPr>
                <w:color w:val="auto"/>
                <w:sz w:val="24"/>
                <w:rFonts w:hint="eastAsia"/>
              </w:rPr>
              <w:t>0.3</w:t>
            </w:r>
            <w:r>
              <w:rPr>
                <w:color w:val="auto"/>
                <w:sz w:val="24"/>
                <w:lang w:val="en-US" w:eastAsia="zh-CN"/>
                <w:rFonts w:hint="eastAsia"/>
              </w:rPr>
              <w:t>4</w:t>
            </w:r>
            <w:r>
              <w:rPr>
                <w:color w:val="auto"/>
                <w:sz w:val="24"/>
              </w:rPr>
              <w:t>mg/m</w:t>
            </w:r>
            <w:r>
              <w:rPr>
                <w:vertAlign w:val="superscript"/>
                <w:color w:val="auto"/>
                <w:sz w:val="24"/>
              </w:rPr>
              <w:t>3</w:t>
            </w:r>
            <w:r>
              <w:rPr>
                <w:color w:val="auto"/>
                <w:sz w:val="24"/>
              </w:rPr>
              <w:t>，排放</w:t>
            </w:r>
            <w:r>
              <w:rPr>
                <w:color w:val="auto"/>
                <w:sz w:val="24"/>
                <w:rFonts w:hint="eastAsia"/>
              </w:rPr>
              <w:t>速率</w:t>
            </w:r>
            <w:r>
              <w:rPr>
                <w:color w:val="auto"/>
                <w:sz w:val="24"/>
              </w:rPr>
              <w:t>为</w:t>
            </w:r>
            <w:r>
              <w:rPr>
                <w:color w:val="auto"/>
                <w:sz w:val="24"/>
                <w:rFonts w:hint="eastAsia"/>
              </w:rPr>
              <w:t>0.005kg</w:t>
            </w:r>
            <w:r>
              <w:rPr>
                <w:color w:val="auto"/>
                <w:sz w:val="24"/>
              </w:rPr>
              <w:t>/</w:t>
            </w:r>
            <w:r>
              <w:rPr>
                <w:color w:val="auto"/>
                <w:sz w:val="24"/>
                <w:rFonts w:hint="eastAsia"/>
              </w:rPr>
              <w:t>h</w:t>
            </w:r>
            <w:r>
              <w:rPr>
                <w:color w:val="auto"/>
                <w:sz w:val="24"/>
              </w:rPr>
              <w:t>；NO</w:t>
            </w:r>
            <w:r>
              <w:rPr>
                <w:vertAlign w:val="subscript"/>
                <w:color w:val="auto"/>
                <w:sz w:val="24"/>
              </w:rPr>
              <w:t>X</w:t>
            </w:r>
            <w:r>
              <w:rPr>
                <w:color w:val="auto"/>
                <w:sz w:val="24"/>
              </w:rPr>
              <w:t>排放浓度</w:t>
            </w:r>
            <w:r>
              <w:rPr>
                <w:color w:val="auto"/>
                <w:sz w:val="24"/>
                <w:rFonts w:hint="eastAsia"/>
              </w:rPr>
              <w:t>80.00</w:t>
            </w:r>
            <w:r>
              <w:rPr>
                <w:color w:val="auto"/>
                <w:sz w:val="24"/>
              </w:rPr>
              <w:t>mg/m</w:t>
            </w:r>
            <w:r>
              <w:rPr>
                <w:vertAlign w:val="superscript"/>
                <w:color w:val="auto"/>
                <w:sz w:val="24"/>
              </w:rPr>
              <w:t>3</w:t>
            </w:r>
            <w:r>
              <w:rPr>
                <w:color w:val="auto"/>
                <w:sz w:val="24"/>
              </w:rPr>
              <w:t>，排放</w:t>
            </w:r>
            <w:r>
              <w:rPr>
                <w:color w:val="auto"/>
                <w:sz w:val="24"/>
                <w:rFonts w:hint="eastAsia"/>
              </w:rPr>
              <w:t>速率</w:t>
            </w:r>
            <w:r>
              <w:rPr>
                <w:color w:val="auto"/>
                <w:sz w:val="24"/>
              </w:rPr>
              <w:t>为</w:t>
            </w:r>
            <w:r>
              <w:rPr>
                <w:color w:val="auto"/>
                <w:sz w:val="24"/>
                <w:rFonts w:hint="eastAsia"/>
              </w:rPr>
              <w:t>1.12kg</w:t>
            </w:r>
            <w:r>
              <w:rPr>
                <w:color w:val="auto"/>
                <w:sz w:val="24"/>
              </w:rPr>
              <w:t>/</w:t>
            </w:r>
            <w:r>
              <w:rPr>
                <w:color w:val="auto"/>
                <w:sz w:val="24"/>
                <w:rFonts w:hint="eastAsia"/>
              </w:rPr>
              <w:t>h</w:t>
            </w:r>
            <w:r>
              <w:rPr>
                <w:color w:val="auto"/>
                <w:sz w:val="24"/>
              </w:rPr>
              <w:t>；满足《大气污染物综合排放标准》（GB16297-1996）表2中排放标准限值。</w:t>
            </w:r>
          </w:p>
          <w:p w14:paraId="7EF096F9">
            <w:pPr>
              <w:jc w:val="left"/>
              <w:contextualSpacing/>
              <w:spacing w:line="360" w:lineRule="auto"/>
              <w:ind w:firstLine="480" w:firstLineChars="200"/>
              <w:rPr>
                <w:color w:val="auto"/>
                <w:sz w:val="24"/>
              </w:rPr>
            </w:pPr>
            <w:r>
              <w:rPr>
                <w:color w:val="auto"/>
                <w:sz w:val="24"/>
              </w:rPr>
              <w:t>（2）加热沥青导热油炉烟气</w:t>
            </w:r>
          </w:p>
          <w:p w14:paraId="76ECF2C7">
            <w:pPr>
              <w:jc w:val="left"/>
              <w:contextualSpacing/>
              <w:spacing w:line="360" w:lineRule="auto"/>
              <w:ind w:firstLine="480" w:firstLineChars="200"/>
              <w:rPr>
                <w:color w:val="auto"/>
                <w:sz w:val="24"/>
              </w:rPr>
            </w:pPr>
            <w:r>
              <w:rPr>
                <w:color w:val="auto"/>
                <w:sz w:val="24"/>
              </w:rPr>
              <w:t>本项目加热沥青热源由</w:t>
            </w:r>
            <w:r>
              <w:rPr>
                <w:color w:val="auto"/>
                <w:sz w:val="24"/>
                <w:rFonts w:hint="eastAsia"/>
              </w:rPr>
              <w:t>1</w:t>
            </w:r>
            <w:r>
              <w:rPr>
                <w:color w:val="auto"/>
                <w:sz w:val="24"/>
                <w:rFonts w:hint="eastAsia"/>
              </w:rPr>
              <w:t>台</w:t>
            </w:r>
            <w:r>
              <w:rPr>
                <w:color w:val="auto"/>
                <w:sz w:val="24"/>
                <w:lang w:val="en-US" w:eastAsia="zh-CN"/>
                <w:rFonts w:hint="eastAsia"/>
              </w:rPr>
              <w:t>1.5t</w:t>
            </w:r>
            <w:r>
              <w:rPr>
                <w:color w:val="auto"/>
                <w:sz w:val="24"/>
                <w:rFonts w:hint="eastAsia"/>
              </w:rPr>
              <w:t>燃天然气导热油炉</w:t>
            </w:r>
            <w:r>
              <w:rPr>
                <w:color w:val="auto"/>
                <w:sz w:val="24"/>
              </w:rPr>
              <w:t>提供，</w:t>
            </w:r>
            <w:r>
              <w:rPr>
                <w:color w:val="auto"/>
                <w:sz w:val="24"/>
                <w:rFonts w:hint="eastAsia"/>
              </w:rPr>
              <w:t>导热油炉烟气经低氮燃烧处理后（除氮效率30%），</w:t>
            </w:r>
            <w:r>
              <w:rPr>
                <w:color w:val="auto"/>
                <w:sz w:val="24"/>
                <w:rFonts w:hint="eastAsia"/>
              </w:rPr>
              <w:t>由1根15m高排气筒（DA002）排放</w:t>
            </w:r>
            <w:r>
              <w:rPr>
                <w:color w:val="auto"/>
                <w:sz w:val="24"/>
              </w:rPr>
              <w:t>。颗粒物排放浓度</w:t>
            </w:r>
            <w:r>
              <w:rPr>
                <w:color w:val="auto"/>
                <w:sz w:val="24"/>
                <w:rFonts w:hint="eastAsia"/>
              </w:rPr>
              <w:t>16.</w:t>
            </w:r>
            <w:r>
              <w:rPr>
                <w:color w:val="auto"/>
                <w:sz w:val="24"/>
                <w:lang w:val="en-US" w:eastAsia="zh-CN"/>
                <w:rFonts w:hint="eastAsia"/>
              </w:rPr>
              <w:t>2</w:t>
            </w:r>
            <w:r>
              <w:rPr>
                <w:color w:val="auto"/>
                <w:sz w:val="24"/>
              </w:rPr>
              <w:t>mg/m</w:t>
            </w:r>
            <w:r>
              <w:rPr>
                <w:vertAlign w:val="superscript"/>
                <w:color w:val="auto"/>
                <w:sz w:val="24"/>
              </w:rPr>
              <w:t>3</w:t>
            </w:r>
            <w:r>
              <w:rPr>
                <w:color w:val="auto"/>
                <w:sz w:val="24"/>
              </w:rPr>
              <w:t>，排放</w:t>
            </w:r>
            <w:r>
              <w:rPr>
                <w:color w:val="auto"/>
                <w:sz w:val="24"/>
                <w:rFonts w:hint="eastAsia"/>
              </w:rPr>
              <w:t>速率</w:t>
            </w:r>
            <w:r>
              <w:rPr>
                <w:color w:val="auto"/>
                <w:sz w:val="24"/>
              </w:rPr>
              <w:t>为</w:t>
            </w:r>
            <w:r>
              <w:rPr>
                <w:color w:val="auto"/>
                <w:sz w:val="24"/>
                <w:rFonts w:hint="eastAsia"/>
              </w:rPr>
              <w:t>0.0</w:t>
            </w:r>
            <w:r>
              <w:rPr>
                <w:color w:val="auto"/>
                <w:sz w:val="24"/>
                <w:lang w:val="en-US" w:eastAsia="zh-CN"/>
                <w:rFonts w:hint="eastAsia"/>
              </w:rPr>
              <w:t>19</w:t>
            </w:r>
            <w:r>
              <w:rPr>
                <w:color w:val="auto"/>
                <w:sz w:val="24"/>
                <w:rFonts w:hint="eastAsia"/>
              </w:rPr>
              <w:t>kg</w:t>
            </w:r>
            <w:r>
              <w:rPr>
                <w:color w:val="auto"/>
                <w:sz w:val="24"/>
              </w:rPr>
              <w:t>/</w:t>
            </w:r>
            <w:r>
              <w:rPr>
                <w:color w:val="auto"/>
                <w:sz w:val="24"/>
                <w:rFonts w:hint="eastAsia"/>
              </w:rPr>
              <w:t>h</w:t>
            </w:r>
            <w:r>
              <w:rPr>
                <w:color w:val="auto"/>
                <w:sz w:val="24"/>
              </w:rPr>
              <w:t>；SO</w:t>
            </w:r>
            <w:r>
              <w:rPr>
                <w:vertAlign w:val="subscript"/>
                <w:color w:val="auto"/>
                <w:sz w:val="24"/>
              </w:rPr>
              <w:t>2</w:t>
            </w:r>
            <w:r>
              <w:rPr>
                <w:color w:val="auto"/>
                <w:sz w:val="24"/>
              </w:rPr>
              <w:t>排放浓度</w:t>
            </w:r>
            <w:r>
              <w:rPr>
                <w:color w:val="auto"/>
                <w:sz w:val="24"/>
                <w:rFonts w:hint="eastAsia"/>
              </w:rPr>
              <w:t>0.2</w:t>
            </w:r>
            <w:r>
              <w:rPr>
                <w:color w:val="auto"/>
                <w:sz w:val="24"/>
                <w:lang w:val="en-US" w:eastAsia="zh-CN"/>
                <w:rFonts w:hint="eastAsia"/>
              </w:rPr>
              <w:t>5</w:t>
            </w:r>
            <w:r>
              <w:rPr>
                <w:color w:val="auto"/>
                <w:sz w:val="24"/>
              </w:rPr>
              <w:t>mg/m</w:t>
            </w:r>
            <w:r>
              <w:rPr>
                <w:vertAlign w:val="superscript"/>
                <w:color w:val="auto"/>
                <w:sz w:val="24"/>
              </w:rPr>
              <w:t>3</w:t>
            </w:r>
            <w:r>
              <w:rPr>
                <w:color w:val="auto"/>
                <w:sz w:val="24"/>
              </w:rPr>
              <w:t>，排放</w:t>
            </w:r>
            <w:r>
              <w:rPr>
                <w:color w:val="auto"/>
                <w:sz w:val="24"/>
                <w:rFonts w:hint="eastAsia"/>
              </w:rPr>
              <w:t>速率</w:t>
            </w:r>
            <w:r>
              <w:rPr>
                <w:color w:val="auto"/>
                <w:sz w:val="24"/>
              </w:rPr>
              <w:t>为</w:t>
            </w:r>
            <w:r>
              <w:rPr>
                <w:color w:val="auto"/>
                <w:sz w:val="24"/>
                <w:rFonts w:hint="eastAsia"/>
              </w:rPr>
              <w:t>0.000</w:t>
            </w:r>
            <w:r>
              <w:rPr>
                <w:color w:val="auto"/>
                <w:sz w:val="24"/>
                <w:lang w:val="en-US" w:eastAsia="zh-CN"/>
                <w:rFonts w:hint="eastAsia"/>
              </w:rPr>
              <w:t>3</w:t>
            </w:r>
            <w:r>
              <w:rPr>
                <w:color w:val="auto"/>
                <w:sz w:val="24"/>
                <w:rFonts w:hint="eastAsia"/>
              </w:rPr>
              <w:t>kg</w:t>
            </w:r>
            <w:r>
              <w:rPr>
                <w:color w:val="auto"/>
                <w:sz w:val="24"/>
              </w:rPr>
              <w:t>/</w:t>
            </w:r>
            <w:r>
              <w:rPr>
                <w:color w:val="auto"/>
                <w:sz w:val="24"/>
                <w:rFonts w:hint="eastAsia"/>
              </w:rPr>
              <w:t>h</w:t>
            </w:r>
            <w:r>
              <w:rPr>
                <w:color w:val="auto"/>
                <w:sz w:val="24"/>
              </w:rPr>
              <w:t>；NO</w:t>
            </w:r>
            <w:r>
              <w:rPr>
                <w:vertAlign w:val="subscript"/>
                <w:color w:val="auto"/>
                <w:sz w:val="24"/>
              </w:rPr>
              <w:t>X</w:t>
            </w:r>
            <w:r>
              <w:rPr>
                <w:color w:val="auto"/>
                <w:sz w:val="24"/>
              </w:rPr>
              <w:t>排放浓度</w:t>
            </w:r>
            <w:r>
              <w:rPr>
                <w:color w:val="auto"/>
                <w:sz w:val="24"/>
                <w:rFonts w:hint="eastAsia"/>
              </w:rPr>
              <w:t>139.3</w:t>
            </w:r>
            <w:r>
              <w:rPr>
                <w:color w:val="auto"/>
                <w:sz w:val="24"/>
              </w:rPr>
              <w:t>mg/m</w:t>
            </w:r>
            <w:r>
              <w:rPr>
                <w:vertAlign w:val="superscript"/>
                <w:color w:val="auto"/>
                <w:sz w:val="24"/>
              </w:rPr>
              <w:t>3</w:t>
            </w:r>
            <w:r>
              <w:rPr>
                <w:color w:val="auto"/>
                <w:sz w:val="24"/>
              </w:rPr>
              <w:t>，排放</w:t>
            </w:r>
            <w:r>
              <w:rPr>
                <w:color w:val="auto"/>
                <w:sz w:val="24"/>
                <w:rFonts w:hint="eastAsia"/>
              </w:rPr>
              <w:t>速率</w:t>
            </w:r>
            <w:r>
              <w:rPr>
                <w:color w:val="auto"/>
                <w:sz w:val="24"/>
              </w:rPr>
              <w:t>为</w:t>
            </w:r>
            <w:r>
              <w:rPr>
                <w:color w:val="auto"/>
                <w:sz w:val="24"/>
                <w:rFonts w:hint="eastAsia"/>
              </w:rPr>
              <w:t>0.</w:t>
            </w:r>
            <w:r>
              <w:rPr>
                <w:color w:val="auto"/>
                <w:sz w:val="24"/>
                <w:lang w:val="en-US" w:eastAsia="zh-CN"/>
                <w:rFonts w:hint="eastAsia"/>
              </w:rPr>
              <w:t>16</w:t>
            </w:r>
            <w:r>
              <w:rPr>
                <w:color w:val="auto"/>
                <w:sz w:val="24"/>
                <w:rFonts w:hint="eastAsia"/>
              </w:rPr>
              <w:t>kg</w:t>
            </w:r>
            <w:r>
              <w:rPr>
                <w:color w:val="auto"/>
                <w:sz w:val="24"/>
              </w:rPr>
              <w:t>/</w:t>
            </w:r>
            <w:r>
              <w:rPr>
                <w:color w:val="auto"/>
                <w:sz w:val="24"/>
                <w:rFonts w:hint="eastAsia"/>
              </w:rPr>
              <w:t>h</w:t>
            </w:r>
            <w:r>
              <w:rPr>
                <w:color w:val="auto"/>
                <w:sz w:val="24"/>
              </w:rPr>
              <w:t>；</w:t>
            </w:r>
            <w:r>
              <w:rPr>
                <w:color w:val="auto"/>
                <w:sz w:val="24"/>
                <w:rFonts w:hint="eastAsia"/>
              </w:rPr>
              <w:t>烟气黑度＜1；</w:t>
            </w:r>
            <w:r>
              <w:rPr>
                <w:color w:val="auto"/>
                <w:sz w:val="24"/>
              </w:rPr>
              <w:t>颗粒物、二氧化硫、氮氧化物及烟气黑度均满足《锅炉大气污染物排放标准》（GB13271-2014）表</w:t>
            </w:r>
            <w:r>
              <w:rPr>
                <w:color w:val="auto"/>
                <w:sz w:val="24"/>
                <w:rFonts w:hint="eastAsia"/>
              </w:rPr>
              <w:t>2</w:t>
            </w:r>
            <w:r>
              <w:rPr>
                <w:color w:val="auto"/>
                <w:sz w:val="24"/>
              </w:rPr>
              <w:t>燃</w:t>
            </w:r>
            <w:r>
              <w:rPr>
                <w:color w:val="auto"/>
                <w:sz w:val="24"/>
                <w:rFonts w:hint="eastAsia"/>
              </w:rPr>
              <w:t>气</w:t>
            </w:r>
            <w:r>
              <w:rPr>
                <w:color w:val="auto"/>
                <w:sz w:val="24"/>
              </w:rPr>
              <w:t>锅炉大气污染物排放限值标准。</w:t>
            </w:r>
          </w:p>
          <w:p w14:paraId="7E6EB560">
            <w:pPr>
              <w:jc w:val="left"/>
              <w:contextualSpacing/>
              <w:spacing w:line="360" w:lineRule="auto"/>
              <w:ind w:firstLine="480" w:firstLineChars="200"/>
              <w:rPr>
                <w:color w:val="auto"/>
                <w:sz w:val="24"/>
                <w:bCs/>
              </w:rPr>
            </w:pPr>
            <w:r>
              <w:rPr>
                <w:color w:val="auto"/>
                <w:sz w:val="24"/>
              </w:rPr>
              <w:t>（3）</w:t>
            </w:r>
            <w:r>
              <w:rPr>
                <w:color w:val="auto"/>
                <w:sz w:val="24"/>
                <w:bCs/>
              </w:rPr>
              <w:t>沥青烟气</w:t>
            </w:r>
          </w:p>
          <w:p w14:paraId="74FBFB59">
            <w:pPr>
              <w:pStyle w:val="26"/>
              <w:spacing w:after="0" w:line="360" w:lineRule="auto"/>
              <w:ind w:firstLine="480" w:left="0" w:leftChars="0"/>
              <w:rPr>
                <w:color w:val="auto"/>
                <w:sz w:val="24"/>
              </w:rPr>
            </w:pPr>
            <w:r>
              <w:rPr>
                <w:color w:val="auto"/>
                <w:sz w:val="24"/>
                <w:bCs/>
              </w:rPr>
              <w:t>本项目在沥青混凝土拌和、沥青储罐处会产生沥青烟气、苯并[a]芘和</w:t>
            </w:r>
            <w:r>
              <w:rPr>
                <w:color w:val="auto"/>
                <w:sz w:val="24"/>
              </w:rPr>
              <w:t>非甲烷总烃</w:t>
            </w:r>
            <w:r>
              <w:rPr>
                <w:color w:val="auto"/>
                <w:sz w:val="24"/>
                <w:bCs/>
              </w:rPr>
              <w:t>，本项目搅拌机出料口处进行局部封闭，</w:t>
            </w:r>
            <w:r>
              <w:rPr>
                <w:color w:val="auto"/>
                <w:sz w:val="24"/>
              </w:rPr>
              <w:t>沥青在密闭储罐中储存过程中产生的烟气以及出料产生的烟气</w:t>
            </w:r>
            <w:r>
              <w:rPr>
                <w:color w:val="auto"/>
                <w:sz w:val="24"/>
                <w:bCs/>
              </w:rPr>
              <w:t>采用负压集气装置（收集效率9</w:t>
            </w:r>
            <w:r>
              <w:rPr>
                <w:color w:val="auto"/>
                <w:sz w:val="24"/>
                <w:bCs/>
                <w:rFonts w:hint="eastAsia"/>
              </w:rPr>
              <w:t>5</w:t>
            </w:r>
            <w:r>
              <w:rPr>
                <w:color w:val="auto"/>
                <w:sz w:val="24"/>
                <w:bCs/>
              </w:rPr>
              <w:t>%）后经</w:t>
            </w:r>
            <w:r>
              <w:rPr>
                <w:color w:val="auto"/>
                <w:sz w:val="24"/>
                <w:rFonts w:hint="eastAsia"/>
              </w:rPr>
              <w:t>气浮旋流塔+三维一体化废气处理设备（由电离子+光催化+高碘值碳吸附组成）（处理效率95%）处理后，经15m高沥青搅拌排气筒（DA003）排放。</w:t>
            </w:r>
            <w:r>
              <w:rPr>
                <w:color w:val="auto"/>
                <w:sz w:val="24"/>
              </w:rPr>
              <w:t>风机风量为</w:t>
            </w:r>
            <w:r>
              <w:rPr>
                <w:color w:val="auto"/>
                <w:sz w:val="24"/>
                <w:rFonts w:hint="eastAsia"/>
              </w:rPr>
              <w:t>40000</w:t>
            </w:r>
            <w:r>
              <w:rPr>
                <w:color w:val="auto"/>
                <w:sz w:val="24"/>
              </w:rPr>
              <w:t>m</w:t>
            </w:r>
            <w:r>
              <w:rPr>
                <w:vertAlign w:val="superscript"/>
                <w:color w:val="auto"/>
                <w:sz w:val="24"/>
              </w:rPr>
              <w:t>3</w:t>
            </w:r>
            <w:r>
              <w:rPr>
                <w:color w:val="auto"/>
                <w:sz w:val="24"/>
              </w:rPr>
              <w:t>/h，沥青烟</w:t>
            </w:r>
            <w:r>
              <w:rPr>
                <w:color w:val="auto"/>
                <w:sz w:val="24"/>
                <w:rFonts w:hint="eastAsia"/>
              </w:rPr>
              <w:t>排放</w:t>
            </w:r>
            <w:r>
              <w:rPr>
                <w:color w:val="auto"/>
                <w:sz w:val="24"/>
              </w:rPr>
              <w:t>速率为</w:t>
            </w:r>
            <w:r>
              <w:rPr>
                <w:color w:val="auto"/>
                <w:sz w:val="24"/>
                <w:rFonts w:hint="eastAsia"/>
              </w:rPr>
              <w:t>0.0</w:t>
            </w:r>
            <w:r>
              <w:rPr>
                <w:color w:val="auto"/>
                <w:sz w:val="24"/>
                <w:lang w:val="en-US" w:eastAsia="zh-CN"/>
                <w:rFonts w:hint="eastAsia"/>
              </w:rPr>
              <w:t>6</w:t>
            </w:r>
            <w:r>
              <w:rPr>
                <w:color w:val="auto"/>
                <w:sz w:val="24"/>
                <w:rFonts w:hint="eastAsia"/>
              </w:rPr>
              <w:t>4</w:t>
            </w:r>
            <w:r>
              <w:rPr>
                <w:color w:val="auto"/>
                <w:sz w:val="24"/>
              </w:rPr>
              <w:t>kg/h，</w:t>
            </w:r>
            <w:r>
              <w:rPr>
                <w:color w:val="auto"/>
                <w:sz w:val="24"/>
                <w:rFonts w:hint="eastAsia"/>
              </w:rPr>
              <w:t>排放</w:t>
            </w:r>
            <w:r>
              <w:rPr>
                <w:color w:val="auto"/>
                <w:sz w:val="24"/>
              </w:rPr>
              <w:t>浓度为</w:t>
            </w:r>
            <w:r>
              <w:rPr>
                <w:color w:val="auto"/>
                <w:sz w:val="24"/>
                <w:rFonts w:hint="eastAsia"/>
              </w:rPr>
              <w:t>1.</w:t>
            </w:r>
            <w:r>
              <w:rPr>
                <w:color w:val="auto"/>
                <w:sz w:val="24"/>
                <w:lang w:val="en-US" w:eastAsia="zh-CN"/>
                <w:rFonts w:hint="eastAsia"/>
              </w:rPr>
              <w:t>6</w:t>
            </w:r>
            <w:r>
              <w:rPr>
                <w:color w:val="auto"/>
                <w:sz w:val="24"/>
              </w:rPr>
              <w:t>mg/m</w:t>
            </w:r>
            <w:r>
              <w:rPr>
                <w:vertAlign w:val="superscript"/>
                <w:color w:val="auto"/>
                <w:sz w:val="24"/>
              </w:rPr>
              <w:t>3</w:t>
            </w:r>
            <w:r>
              <w:rPr>
                <w:color w:val="auto"/>
                <w:sz w:val="24"/>
                <w:rFonts w:hint="eastAsia"/>
              </w:rPr>
              <w:t>，</w:t>
            </w:r>
            <w:r>
              <w:rPr>
                <w:color w:val="auto"/>
                <w:sz w:val="24"/>
                <w:rFonts w:ascii="宋体" w:hAnsi="宋体" w:cs="宋体" w:hint="eastAsia"/>
              </w:rPr>
              <w:t>苯并</w:t>
            </w:r>
            <w:r>
              <w:rPr>
                <w:color w:val="auto"/>
                <w:sz w:val="24"/>
              </w:rPr>
              <w:t>[a]</w:t>
            </w:r>
            <w:r>
              <w:rPr>
                <w:color w:val="auto"/>
                <w:sz w:val="24"/>
                <w:rFonts w:ascii="宋体" w:hAnsi="宋体" w:cs="宋体" w:hint="eastAsia"/>
              </w:rPr>
              <w:t>芘排放速率为</w:t>
            </w:r>
            <w:r>
              <w:rPr>
                <w:color w:val="auto"/>
                <w:sz w:val="24"/>
                <w:lang w:val="en-US" w:eastAsia="zh-CN"/>
                <w:rFonts w:hint="eastAsia"/>
              </w:rPr>
              <w:t>1.28</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lang w:val="en-US" w:eastAsia="zh-CN"/>
                <w:rFonts w:hint="eastAsia"/>
              </w:rPr>
              <w:t>5</w:t>
            </w:r>
            <w:r>
              <w:rPr>
                <w:color w:val="auto"/>
                <w:sz w:val="24"/>
              </w:rPr>
              <w:t>kg/h</w:t>
            </w:r>
            <w:r>
              <w:rPr>
                <w:color w:val="auto"/>
                <w:sz w:val="24"/>
                <w:rFonts w:ascii="宋体" w:hAnsi="宋体" w:cs="宋体" w:hint="eastAsia"/>
              </w:rPr>
              <w:t>，排放浓度为</w:t>
            </w:r>
            <w:r>
              <w:rPr>
                <w:color w:val="auto"/>
                <w:sz w:val="24"/>
                <w:rFonts w:hint="eastAsia"/>
              </w:rPr>
              <w:t>0.000</w:t>
            </w:r>
            <w:r>
              <w:rPr>
                <w:color w:val="auto"/>
                <w:sz w:val="24"/>
                <w:lang w:val="en-US" w:eastAsia="zh-CN"/>
                <w:rFonts w:hint="eastAsia"/>
              </w:rPr>
              <w:t>32</w:t>
            </w:r>
            <w:r>
              <w:rPr>
                <w:color w:val="auto"/>
                <w:sz w:val="24"/>
              </w:rPr>
              <w:t>mg/m</w:t>
            </w:r>
            <w:r>
              <w:rPr>
                <w:vertAlign w:val="superscript"/>
                <w:color w:val="auto"/>
                <w:sz w:val="24"/>
              </w:rPr>
              <w:t>3</w:t>
            </w:r>
            <w:r>
              <w:rPr>
                <w:color w:val="auto"/>
                <w:sz w:val="24"/>
              </w:rPr>
              <w:t>；非甲烷总烃</w:t>
            </w:r>
            <w:r>
              <w:rPr>
                <w:color w:val="auto"/>
                <w:sz w:val="24"/>
                <w:rFonts w:ascii="宋体" w:hAnsi="宋体" w:cs="宋体" w:hint="eastAsia"/>
              </w:rPr>
              <w:t>排放速率为</w:t>
            </w:r>
            <w:r>
              <w:rPr>
                <w:color w:val="auto"/>
                <w:sz w:val="24"/>
                <w:rFonts w:hint="eastAsia"/>
              </w:rPr>
              <w:t>0.003</w:t>
            </w:r>
            <w:r>
              <w:rPr>
                <w:color w:val="auto"/>
                <w:sz w:val="24"/>
                <w:lang w:val="en-US" w:eastAsia="zh-CN"/>
                <w:rFonts w:hint="eastAsia"/>
              </w:rPr>
              <w:t>6</w:t>
            </w:r>
            <w:r>
              <w:rPr>
                <w:color w:val="auto"/>
                <w:sz w:val="24"/>
              </w:rPr>
              <w:t>kg/h</w:t>
            </w:r>
            <w:r>
              <w:rPr>
                <w:color w:val="auto"/>
                <w:sz w:val="24"/>
                <w:rFonts w:ascii="宋体" w:hAnsi="宋体" w:cs="宋体" w:hint="eastAsia"/>
              </w:rPr>
              <w:t>，排放浓度为</w:t>
            </w:r>
            <w:r>
              <w:rPr>
                <w:color w:val="auto"/>
                <w:sz w:val="24"/>
                <w:rFonts w:hint="eastAsia"/>
              </w:rPr>
              <w:t>0.0</w:t>
            </w:r>
            <w:r>
              <w:rPr>
                <w:color w:val="auto"/>
                <w:sz w:val="24"/>
                <w:lang w:val="en-US" w:eastAsia="zh-CN"/>
                <w:rFonts w:hint="eastAsia"/>
              </w:rPr>
              <w:t>9</w:t>
            </w:r>
            <w:r>
              <w:rPr>
                <w:color w:val="auto"/>
                <w:sz w:val="24"/>
              </w:rPr>
              <w:t>mg/m</w:t>
            </w:r>
            <w:r>
              <w:rPr>
                <w:vertAlign w:val="superscript"/>
                <w:color w:val="auto"/>
                <w:sz w:val="24"/>
              </w:rPr>
              <w:t>3</w:t>
            </w:r>
            <w:r>
              <w:rPr>
                <w:color w:val="auto"/>
                <w:sz w:val="24"/>
                <w:lang w:val="en-US" w:eastAsia="zh-CN"/>
                <w:rFonts w:hint="eastAsia"/>
              </w:rPr>
              <w:t>,</w:t>
            </w:r>
            <w:r>
              <w:rPr>
                <w:color w:val="auto"/>
                <w:sz w:val="24"/>
              </w:rPr>
              <w:t>满足《大气污染物综合排放标准》（GB16297-1996）表2中排放标准限值。</w:t>
            </w:r>
          </w:p>
          <w:p w14:paraId="4A119643">
            <w:pPr>
              <w:pStyle w:val="26"/>
              <w:spacing w:after="0" w:line="360" w:lineRule="auto"/>
              <w:ind w:firstLine="480" w:left="0" w:leftChars="0"/>
              <w:rPr>
                <w:color w:val="auto"/>
                <w:sz w:val="24"/>
              </w:rPr>
            </w:pPr>
            <w:r>
              <w:rPr>
                <w:color w:val="auto"/>
                <w:sz w:val="24"/>
              </w:rPr>
              <w:t>集气</w:t>
            </w:r>
            <w:r>
              <w:rPr>
                <w:color w:val="auto"/>
                <w:sz w:val="24"/>
                <w:rFonts w:hint="eastAsia"/>
              </w:rPr>
              <w:t>装置</w:t>
            </w:r>
            <w:r>
              <w:rPr>
                <w:color w:val="auto"/>
                <w:sz w:val="24"/>
              </w:rPr>
              <w:t>未收集</w:t>
            </w:r>
            <w:r>
              <w:rPr>
                <w:color w:val="auto"/>
                <w:sz w:val="24"/>
                <w:rFonts w:ascii="宋体" w:hAnsi="宋体" w:cs="宋体" w:hint="eastAsia"/>
              </w:rPr>
              <w:t>无组织沥青烟排放速率为</w:t>
            </w:r>
            <w:r>
              <w:rPr>
                <w:color w:val="auto"/>
                <w:sz w:val="24"/>
              </w:rPr>
              <w:t>0.0</w:t>
            </w:r>
            <w:r>
              <w:rPr>
                <w:color w:val="auto"/>
                <w:sz w:val="24"/>
                <w:lang w:val="en-US" w:eastAsia="zh-CN"/>
                <w:rFonts w:hint="eastAsia"/>
              </w:rPr>
              <w:t>68</w:t>
            </w:r>
            <w:r>
              <w:rPr>
                <w:color w:val="auto"/>
                <w:sz w:val="24"/>
              </w:rPr>
              <w:t>kg/h</w:t>
            </w:r>
            <w:r>
              <w:rPr>
                <w:color w:val="auto"/>
                <w:sz w:val="24"/>
                <w:rFonts w:hint="eastAsia"/>
              </w:rPr>
              <w:t>，</w:t>
            </w:r>
            <w:r>
              <w:rPr>
                <w:color w:val="auto"/>
                <w:sz w:val="24"/>
                <w:rFonts w:ascii="宋体" w:hAnsi="宋体" w:cs="宋体" w:hint="eastAsia"/>
              </w:rPr>
              <w:t>苯并</w:t>
            </w:r>
            <w:r>
              <w:rPr>
                <w:color w:val="auto"/>
                <w:sz w:val="24"/>
              </w:rPr>
              <w:t>[a]</w:t>
            </w:r>
            <w:r>
              <w:rPr>
                <w:color w:val="auto"/>
                <w:sz w:val="24"/>
                <w:rFonts w:ascii="宋体" w:hAnsi="宋体" w:cs="宋体" w:hint="eastAsia"/>
              </w:rPr>
              <w:t>芘排放速率为</w:t>
            </w:r>
            <w:r>
              <w:rPr>
                <w:color w:val="auto"/>
                <w:sz w:val="24"/>
                <w:lang w:val="en-US" w:eastAsia="zh-CN"/>
                <w:rFonts w:hint="eastAsia"/>
              </w:rPr>
              <w:t>1.35</w:t>
            </w:r>
            <w:r>
              <w:rPr>
                <w:color w:val="auto"/>
                <w:sz w:val="24"/>
                <w:rFonts w:ascii="宋体" w:hAnsi="宋体" w:cs="宋体" w:hint="eastAsia"/>
              </w:rPr>
              <w:t>×</w:t>
            </w:r>
            <w:r>
              <w:rPr>
                <w:color w:val="auto"/>
                <w:sz w:val="24"/>
              </w:rPr>
              <w:t>10</w:t>
            </w:r>
            <w:r>
              <w:rPr>
                <w:vertAlign w:val="superscript"/>
                <w:color w:val="auto"/>
                <w:sz w:val="24"/>
              </w:rPr>
              <w:t>-</w:t>
            </w:r>
            <w:r>
              <w:rPr>
                <w:vertAlign w:val="superscript"/>
                <w:color w:val="auto"/>
                <w:sz w:val="24"/>
                <w:lang w:val="en-US" w:eastAsia="zh-CN"/>
                <w:rFonts w:hint="eastAsia"/>
              </w:rPr>
              <w:t>5</w:t>
            </w:r>
            <w:r>
              <w:rPr>
                <w:color w:val="auto"/>
                <w:sz w:val="24"/>
              </w:rPr>
              <w:t>kg/h；非甲烷总烃</w:t>
            </w:r>
            <w:r>
              <w:rPr>
                <w:color w:val="auto"/>
                <w:sz w:val="24"/>
                <w:rFonts w:ascii="宋体" w:hAnsi="宋体" w:cs="宋体" w:hint="eastAsia"/>
              </w:rPr>
              <w:t>排放速率为</w:t>
            </w:r>
            <w:r>
              <w:rPr>
                <w:color w:val="auto"/>
                <w:sz w:val="24"/>
                <w:rFonts w:hint="eastAsia"/>
              </w:rPr>
              <w:t>0.00</w:t>
            </w:r>
            <w:r>
              <w:rPr>
                <w:color w:val="auto"/>
                <w:sz w:val="24"/>
                <w:lang w:val="en-US" w:eastAsia="zh-CN"/>
                <w:rFonts w:hint="eastAsia"/>
              </w:rPr>
              <w:t>38</w:t>
            </w:r>
            <w:r>
              <w:rPr>
                <w:color w:val="auto"/>
                <w:sz w:val="24"/>
              </w:rPr>
              <w:t>kg/h</w:t>
            </w:r>
            <w:r>
              <w:rPr>
                <w:color w:val="auto"/>
                <w:sz w:val="24"/>
                <w:bCs/>
              </w:rPr>
              <w:t>，满足《</w:t>
            </w:r>
            <w:r>
              <w:rPr>
                <w:color w:val="auto"/>
                <w:sz w:val="24"/>
              </w:rPr>
              <w:t>大气污染物综合排放标准</w:t>
            </w:r>
            <w:r>
              <w:rPr>
                <w:color w:val="auto"/>
                <w:sz w:val="24"/>
                <w:bCs/>
              </w:rPr>
              <w:t>》(</w:t>
            </w:r>
            <w:r>
              <w:rPr>
                <w:color w:val="auto"/>
                <w:sz w:val="24"/>
              </w:rPr>
              <w:t>GB16297-1996</w:t>
            </w:r>
            <w:r>
              <w:rPr>
                <w:color w:val="auto"/>
                <w:sz w:val="24"/>
                <w:bCs/>
              </w:rPr>
              <w:t>)表2中无组织排放限值要求。</w:t>
            </w:r>
            <w:r>
              <w:rPr>
                <w:color w:val="auto"/>
                <w:sz w:val="24"/>
                <w:rFonts w:hint="eastAsia"/>
              </w:rPr>
              <w:t>厂区</w:t>
            </w:r>
            <w:r>
              <w:rPr>
                <w:color w:val="auto"/>
                <w:sz w:val="24"/>
              </w:rPr>
              <w:t>内无组织非甲烷总烃</w:t>
            </w:r>
            <w:r>
              <w:rPr>
                <w:color w:val="auto"/>
                <w:sz w:val="24"/>
                <w:rFonts w:hint="eastAsia"/>
              </w:rPr>
              <w:t>满足</w:t>
            </w:r>
            <w:r>
              <w:rPr>
                <w:color w:val="auto"/>
                <w:sz w:val="24"/>
              </w:rPr>
              <w:t>《挥发性有机物无组织排放标准》（GB</w:t>
            </w:r>
            <w:r>
              <w:rPr>
                <w:color w:val="auto"/>
                <w:sz w:val="24"/>
                <w:rFonts w:hint="eastAsia"/>
              </w:rPr>
              <w:t>37822</w:t>
            </w:r>
            <w:r>
              <w:rPr>
                <w:color w:val="auto"/>
                <w:sz w:val="24"/>
              </w:rPr>
              <w:t>-20</w:t>
            </w:r>
            <w:r>
              <w:rPr>
                <w:color w:val="auto"/>
                <w:sz w:val="24"/>
                <w:rFonts w:hint="eastAsia"/>
              </w:rPr>
              <w:t>19</w:t>
            </w:r>
            <w:r>
              <w:rPr>
                <w:color w:val="auto"/>
                <w:sz w:val="24"/>
              </w:rPr>
              <w:t>）中表</w:t>
            </w:r>
            <w:r>
              <w:rPr>
                <w:color w:val="auto"/>
                <w:sz w:val="24"/>
                <w:rFonts w:hint="eastAsia"/>
              </w:rPr>
              <w:t>A.1无组织排放限值。</w:t>
            </w:r>
          </w:p>
          <w:p w14:paraId="305B74DC">
            <w:pPr>
              <w:pStyle w:val="26"/>
              <w:spacing w:after="0" w:line="360" w:lineRule="auto"/>
              <w:ind w:firstLine="480" w:left="0" w:leftChars="0"/>
              <w:rPr>
                <w:color w:val="auto"/>
                <w:sz w:val="24"/>
              </w:rPr>
            </w:pPr>
            <w:r>
              <w:rPr>
                <w:color w:val="auto"/>
                <w:sz w:val="24"/>
              </w:rPr>
              <w:t>（</w:t>
            </w:r>
            <w:r>
              <w:rPr>
                <w:color w:val="auto"/>
                <w:sz w:val="24"/>
                <w:rFonts w:hint="eastAsia"/>
              </w:rPr>
              <w:t>4</w:t>
            </w:r>
            <w:r>
              <w:rPr>
                <w:color w:val="auto"/>
                <w:sz w:val="24"/>
              </w:rPr>
              <w:t>）无组织</w:t>
            </w:r>
            <w:r>
              <w:rPr>
                <w:color w:val="auto"/>
                <w:sz w:val="24"/>
                <w:rFonts w:hint="eastAsia"/>
              </w:rPr>
              <w:t>废气</w:t>
            </w:r>
          </w:p>
          <w:p w14:paraId="18B641F9">
            <w:pPr>
              <w:contextualSpacing/>
              <w:spacing w:line="360" w:lineRule="auto"/>
              <w:ind w:firstLine="480" w:firstLineChars="200"/>
              <w:rPr>
                <w:b w:val="1"/>
                <w:color w:val="auto"/>
                <w:sz w:val="24"/>
                <w:bCs/>
              </w:rPr>
            </w:pPr>
            <w:r>
              <w:rPr>
                <w:color w:val="auto"/>
                <w:sz w:val="24"/>
              </w:rPr>
              <w:t>全厂无组织粉尘排放量为</w:t>
            </w:r>
            <w:r>
              <w:rPr>
                <w:color w:val="auto"/>
                <w:sz w:val="24"/>
                <w:rFonts w:hint="eastAsia"/>
              </w:rPr>
              <w:t>0.</w:t>
            </w:r>
            <w:r>
              <w:rPr>
                <w:color w:val="auto"/>
                <w:sz w:val="24"/>
                <w:lang w:val="en-US" w:eastAsia="zh-CN"/>
                <w:rFonts w:hint="eastAsia"/>
              </w:rPr>
              <w:t>533</w:t>
            </w:r>
            <w:r>
              <w:rPr>
                <w:color w:val="auto"/>
                <w:sz w:val="24"/>
              </w:rPr>
              <w:t>t/a。</w:t>
            </w:r>
            <w:r>
              <w:rPr>
                <w:color w:val="auto"/>
                <w:sz w:val="24"/>
                <w:bCs/>
              </w:rPr>
              <w:t>经预测，厂界无组织颗粒物排放监控值为</w:t>
            </w:r>
            <w:r>
              <w:rPr>
                <w:color w:val="auto"/>
                <w:sz w:val="24"/>
                <w:bCs/>
                <w:rFonts w:hint="eastAsia"/>
              </w:rPr>
              <w:t>5.4860</w:t>
            </w:r>
            <w:r>
              <w:rPr>
                <w:color w:val="auto"/>
                <w:sz w:val="24"/>
                <w:bCs/>
              </w:rPr>
              <w:t>μg/m</w:t>
            </w:r>
            <w:r>
              <w:rPr>
                <w:vertAlign w:val="superscript"/>
                <w:color w:val="auto"/>
                <w:sz w:val="24"/>
                <w:bCs/>
              </w:rPr>
              <w:t>3</w:t>
            </w:r>
            <w:r>
              <w:rPr>
                <w:color w:val="auto"/>
                <w:sz w:val="24"/>
                <w:bCs/>
              </w:rPr>
              <w:t>，满足《大气污染物综合排放标准》（GB16297-1996）表</w:t>
            </w:r>
            <w:r>
              <w:rPr>
                <w:color w:val="auto"/>
                <w:sz w:val="24"/>
                <w:bCs/>
                <w:rFonts w:hint="eastAsia"/>
              </w:rPr>
              <w:t>2</w:t>
            </w:r>
            <w:r>
              <w:rPr>
                <w:color w:val="auto"/>
                <w:sz w:val="24"/>
                <w:bCs/>
              </w:rPr>
              <w:t>无组织排放监控浓度限值要求。</w:t>
            </w:r>
          </w:p>
          <w:p w14:paraId="21714C09">
            <w:pPr>
              <w:pStyle w:val="162"/>
              <w:keepNext w:val="1"/>
              <w:ind w:firstLine="420"/>
              <w:rPr>
                <w:b w:val="0"/>
                <w:color w:val="auto"/>
                <w:sz w:val="24"/>
                <w:bCs w:val="0"/>
                <w:szCs w:val="24"/>
                <w:rFonts w:ascii="Times New Roman" w:hAnsi="Times New Roman" w:eastAsia="宋体" w:cs="Times New Roman" w:hint="default"/>
              </w:rPr>
            </w:pPr>
            <w:r>
              <w:rPr>
                <w:b w:val="0"/>
                <w:color w:val="auto"/>
                <w:sz w:val="24"/>
                <w:lang w:val="en-US" w:eastAsia="zh-CN"/>
                <w:bCs w:val="0"/>
                <w:szCs w:val="24"/>
                <w:rFonts w:cs="Times New Roman" w:hint="eastAsia"/>
              </w:rPr>
              <w:t>4</w:t>
            </w:r>
            <w:r>
              <w:rPr>
                <w:b w:val="0"/>
                <w:color w:val="auto"/>
                <w:sz w:val="24"/>
                <w:bCs w:val="0"/>
                <w:szCs w:val="24"/>
                <w:rFonts w:ascii="Times New Roman" w:hAnsi="Times New Roman" w:eastAsia="宋体" w:cs="Times New Roman" w:hint="default"/>
              </w:rPr>
              <w:t>监测要求</w:t>
            </w:r>
          </w:p>
          <w:p w14:paraId="3F933D28">
            <w:pPr>
              <w:widowControl w:val="1"/>
              <w:spacing w:line="360" w:lineRule="auto"/>
              <w:ind w:firstLine="480" w:firstLineChars="200"/>
              <w:rPr>
                <w:color w:val="auto"/>
                <w:sz w:val="24"/>
                <w:kern w:val="0"/>
              </w:rPr>
            </w:pPr>
            <w:r>
              <w:rPr>
                <w:color w:val="auto"/>
                <w:sz w:val="24"/>
                <w:kern w:val="0"/>
              </w:rPr>
              <w:t>建设项目运营期环境监控主要目的是为了项目建成后的环境监测，防止污染事故发生，为环境管理提供依据，主要包括大气。根据</w:t>
            </w:r>
            <w:r>
              <w:rPr>
                <w:color w:val="auto"/>
                <w:sz w:val="24"/>
              </w:rPr>
              <w:t>《排污许可证申请与核发技术规范 总则》、</w:t>
            </w:r>
            <w:r>
              <w:rPr>
                <w:color w:val="auto"/>
                <w:sz w:val="24"/>
                <w:rFonts w:hint="eastAsia"/>
              </w:rPr>
              <w:t>《排污单位自行监测指南 火力发电及锅炉》（HJ 820-2017）</w:t>
            </w:r>
            <w:r>
              <w:rPr>
                <w:color w:val="auto"/>
                <w:sz w:val="24"/>
              </w:rPr>
              <w:t>、《排污许可证申请与核发技术规范</w:t>
            </w:r>
            <w:r>
              <w:rPr>
                <w:color w:val="auto"/>
                <w:sz w:val="24"/>
                <w:rFonts w:hint="eastAsia"/>
              </w:rPr>
              <w:t xml:space="preserve"> </w:t>
            </w:r>
            <w:r>
              <w:rPr>
                <w:color w:val="auto"/>
                <w:sz w:val="24"/>
                <w:bCs/>
                <w:rFonts w:hint="eastAsia"/>
              </w:rPr>
              <w:t>石墨及其他非金属矿物制品制造》（HJ1119-2020）</w:t>
            </w:r>
            <w:r>
              <w:rPr>
                <w:color w:val="auto"/>
                <w:sz w:val="24"/>
                <w:kern w:val="0"/>
              </w:rPr>
              <w:t>制定本企业监测方案。</w:t>
            </w:r>
          </w:p>
          <w:p w14:paraId="05680A1C">
            <w:pPr>
              <w:adjustRightInd w:val="0"/>
              <w:snapToGrid w:val="0"/>
              <w:jc w:val="center"/>
              <w:spacing w:line="500" w:lineRule="exact"/>
              <w:ind w:firstLine="482"/>
              <w:rPr>
                <w:b w:val="1"/>
                <w:color w:val="auto"/>
                <w:sz w:val="24"/>
              </w:rPr>
            </w:pPr>
            <w:r>
              <w:rPr>
                <w:b w:val="1"/>
                <w:color w:val="auto"/>
                <w:sz w:val="24"/>
              </w:rPr>
              <w:t>表</w:t>
            </w:r>
            <w:r>
              <w:rPr>
                <w:b w:val="1"/>
                <w:color w:val="auto"/>
                <w:sz w:val="24"/>
                <w:lang w:val="en-US" w:eastAsia="zh-CN"/>
                <w:rFonts w:hint="eastAsia"/>
              </w:rPr>
              <w:t>4-5</w:t>
            </w:r>
            <w:r>
              <w:rPr>
                <w:b w:val="1"/>
                <w:color w:val="auto"/>
                <w:sz w:val="24"/>
              </w:rPr>
              <w:t>环境监测计划</w:t>
            </w:r>
          </w:p>
          <w:tbl>
            <w:tblPr>
              <w:tblStyle w:val="27"/>
              <w:tblW w:w="5000" w:type="pct"/>
              <w:jc w:val="center"/>
              <w:tblLayout w:type="fixed"/>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
            <w:tblGrid>
              <w:gridCol w:w="742.000000"/>
              <w:gridCol w:w="1252.000000"/>
              <w:gridCol w:w="1253.000000"/>
              <w:gridCol w:w="1377.000000"/>
              <w:gridCol w:w="3765.000000"/>
            </w:tblGrid>
            <w:tr w14:paraId="77C570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260" w:hRule="atLeast"/>
                <w:jc w:val="center"/>
              </w:trPr>
              <w:tc>
                <w:tcPr>
                  <w:tcW w:w="442" w:type="pct"/>
                  <w:vAlign w:val="center"/>
                  <w:tcBorders>
                    <w:top w:val="single" w:color="000000" w:sz="12" w:space="0"/>
                    <w:left w:val="nil"/>
                    <w:bottom w:val="single" w:color="000000" w:sz="6" w:space="0"/>
                    <w:right w:val="single" w:color="auto" w:sz="4" w:space="0"/>
                  </w:tcBorders>
                </w:tcPr>
                <w:p w14:paraId="306714C4">
                  <w:pPr>
                    <w:jc w:val="center"/>
                    <w:contextualSpacing/>
                    <w:rPr>
                      <w:b w:val="1"/>
                      <w:color w:val="auto"/>
                      <w:szCs w:val="21"/>
                    </w:rPr>
                  </w:pPr>
                  <w:r>
                    <w:rPr>
                      <w:b w:val="1"/>
                      <w:color w:val="auto"/>
                      <w:szCs w:val="21"/>
                      <w:rFonts w:hAnsi="宋体"/>
                    </w:rPr>
                    <w:t>项目</w:t>
                  </w:r>
                </w:p>
              </w:tc>
              <w:tc>
                <w:tcPr>
                  <w:tcW w:w="746" w:type="pct"/>
                  <w:vAlign w:val="center"/>
                  <w:tcBorders>
                    <w:top w:val="single" w:color="000000" w:sz="12" w:space="0"/>
                    <w:left w:val="single" w:color="auto" w:sz="4" w:space="0"/>
                    <w:bottom w:val="single" w:color="000000" w:sz="6" w:space="0"/>
                    <w:right w:val="single" w:color="000000" w:sz="6" w:space="0"/>
                  </w:tcBorders>
                </w:tcPr>
                <w:p w14:paraId="2F79F70D">
                  <w:pPr>
                    <w:jc w:val="center"/>
                    <w:contextualSpacing/>
                    <w:rPr>
                      <w:b w:val="1"/>
                      <w:color w:val="auto"/>
                      <w:szCs w:val="21"/>
                    </w:rPr>
                  </w:pPr>
                  <w:r>
                    <w:rPr>
                      <w:b w:val="1"/>
                      <w:color w:val="auto"/>
                      <w:szCs w:val="21"/>
                      <w:rFonts w:hAnsi="宋体"/>
                    </w:rPr>
                    <w:t>监测点位</w:t>
                  </w:r>
                </w:p>
              </w:tc>
              <w:tc>
                <w:tcPr>
                  <w:tcW w:w="747" w:type="pct"/>
                  <w:vAlign w:val="center"/>
                  <w:tcBorders>
                    <w:top w:val="single" w:color="000000" w:sz="12" w:space="0"/>
                    <w:left w:val="single" w:color="000000" w:sz="6" w:space="0"/>
                    <w:bottom w:val="single" w:color="000000" w:sz="6" w:space="0"/>
                    <w:right w:val="single" w:color="000000" w:sz="6" w:space="0"/>
                  </w:tcBorders>
                </w:tcPr>
                <w:p w14:paraId="5E424E40">
                  <w:pPr>
                    <w:jc w:val="center"/>
                    <w:contextualSpacing/>
                    <w:rPr>
                      <w:b w:val="1"/>
                      <w:color w:val="auto"/>
                      <w:szCs w:val="21"/>
                    </w:rPr>
                  </w:pPr>
                  <w:r>
                    <w:rPr>
                      <w:b w:val="1"/>
                      <w:color w:val="auto"/>
                      <w:szCs w:val="21"/>
                      <w:rFonts w:hAnsi="宋体"/>
                    </w:rPr>
                    <w:t>监测指标</w:t>
                  </w:r>
                </w:p>
              </w:tc>
              <w:tc>
                <w:tcPr>
                  <w:tcW w:w="821" w:type="pct"/>
                  <w:vAlign w:val="center"/>
                  <w:tcBorders>
                    <w:top w:val="single" w:color="000000" w:sz="12" w:space="0"/>
                    <w:left w:val="single" w:color="000000" w:sz="6" w:space="0"/>
                    <w:bottom w:val="single" w:color="000000" w:sz="6" w:space="0"/>
                    <w:right w:val="single" w:color="000000" w:sz="6" w:space="0"/>
                  </w:tcBorders>
                </w:tcPr>
                <w:p w14:paraId="15EA6B40">
                  <w:pPr>
                    <w:jc w:val="center"/>
                    <w:contextualSpacing/>
                    <w:rPr>
                      <w:b w:val="1"/>
                      <w:color w:val="auto"/>
                      <w:szCs w:val="21"/>
                    </w:rPr>
                  </w:pPr>
                  <w:r>
                    <w:rPr>
                      <w:b w:val="1"/>
                      <w:color w:val="auto"/>
                      <w:szCs w:val="21"/>
                      <w:rFonts w:hAnsi="宋体"/>
                    </w:rPr>
                    <w:t>监测频率</w:t>
                  </w:r>
                </w:p>
              </w:tc>
              <w:tc>
                <w:tcPr>
                  <w:tcW w:w="2244" w:type="pct"/>
                  <w:vAlign w:val="center"/>
                  <w:tcBorders>
                    <w:top w:val="single" w:color="000000" w:sz="12" w:space="0"/>
                    <w:left w:val="single" w:color="000000" w:sz="6" w:space="0"/>
                    <w:bottom w:val="single" w:color="000000" w:sz="6" w:space="0"/>
                    <w:right w:val="nil"/>
                  </w:tcBorders>
                </w:tcPr>
                <w:p w14:paraId="674F0325">
                  <w:pPr>
                    <w:jc w:val="center"/>
                    <w:contextualSpacing/>
                    <w:rPr>
                      <w:b w:val="1"/>
                      <w:color w:val="auto"/>
                      <w:szCs w:val="21"/>
                    </w:rPr>
                  </w:pPr>
                  <w:r>
                    <w:rPr>
                      <w:b w:val="1"/>
                      <w:color w:val="auto"/>
                      <w:szCs w:val="21"/>
                      <w:rFonts w:hAnsi="宋体"/>
                    </w:rPr>
                    <w:t>执行排放标准</w:t>
                  </w:r>
                </w:p>
              </w:tc>
            </w:tr>
            <w:tr w14:paraId="4167C7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966" w:hRule="atLeast"/>
                <w:jc w:val="center"/>
              </w:trPr>
              <w:tc>
                <w:tcPr>
                  <w:tcW w:w="442" w:type="pct"/>
                  <w:vMerge w:val="restart"/>
                  <w:vAlign w:val="center"/>
                  <w:tcBorders>
                    <w:top w:val="single" w:color="000000" w:sz="6" w:space="0"/>
                    <w:left w:val="nil"/>
                    <w:right w:val="single" w:color="auto" w:sz="4" w:space="0"/>
                  </w:tcBorders>
                </w:tcPr>
                <w:p w14:paraId="6B6E9299">
                  <w:pPr>
                    <w:jc w:val="center"/>
                    <w:contextualSpacing/>
                    <w:rPr>
                      <w:color w:val="auto"/>
                      <w:szCs w:val="21"/>
                    </w:rPr>
                  </w:pPr>
                  <w:r>
                    <w:rPr>
                      <w:color w:val="auto"/>
                      <w:szCs w:val="21"/>
                    </w:rPr>
                    <w:t>废气</w:t>
                  </w:r>
                </w:p>
              </w:tc>
              <w:tc>
                <w:tcPr>
                  <w:tcW w:w="746" w:type="pct"/>
                  <w:vAlign w:val="center"/>
                  <w:tcBorders>
                    <w:top w:val="single" w:color="000000" w:sz="6" w:space="0"/>
                    <w:left w:val="single" w:color="auto" w:sz="4" w:space="0"/>
                    <w:bottom w:val="single" w:color="000000" w:sz="6" w:space="0"/>
                    <w:right w:val="single" w:color="000000" w:sz="6" w:space="0"/>
                  </w:tcBorders>
                </w:tcPr>
                <w:p w14:paraId="2E48CB5D">
                  <w:pPr>
                    <w:jc w:val="center"/>
                    <w:contextualSpacing/>
                    <w:spacing w:line="0" w:lineRule="atLeast"/>
                    <w:rPr>
                      <w:color w:val="auto"/>
                      <w:szCs w:val="21"/>
                    </w:rPr>
                  </w:pPr>
                  <w:r>
                    <w:rPr>
                      <w:color w:val="auto"/>
                      <w:szCs w:val="21"/>
                    </w:rPr>
                    <w:t>除尘系统烟囱（</w:t>
                  </w:r>
                  <w:r>
                    <w:rPr>
                      <w:color w:val="auto"/>
                      <w:szCs w:val="21"/>
                      <w:rFonts w:hint="eastAsia"/>
                    </w:rPr>
                    <w:t>DA001</w:t>
                  </w:r>
                  <w:r>
                    <w:rPr>
                      <w:color w:val="auto"/>
                      <w:szCs w:val="21"/>
                    </w:rPr>
                    <w:t>）</w:t>
                  </w:r>
                </w:p>
              </w:tc>
              <w:tc>
                <w:tcPr>
                  <w:tcW w:w="747" w:type="pct"/>
                  <w:vAlign w:val="center"/>
                  <w:tcBorders>
                    <w:top w:val="single" w:color="000000" w:sz="6" w:space="0"/>
                    <w:left w:val="single" w:color="000000" w:sz="6" w:space="0"/>
                    <w:bottom w:val="single" w:color="000000" w:sz="6" w:space="0"/>
                    <w:right w:val="single" w:color="000000" w:sz="6" w:space="0"/>
                  </w:tcBorders>
                </w:tcPr>
                <w:p w14:paraId="492EB48A">
                  <w:pPr>
                    <w:jc w:val="center"/>
                    <w:contextualSpacing/>
                    <w:rPr>
                      <w:color w:val="auto"/>
                      <w:szCs w:val="21"/>
                    </w:rPr>
                  </w:pPr>
                  <w:r>
                    <w:rPr>
                      <w:color w:val="auto"/>
                      <w:szCs w:val="21"/>
                      <w:rFonts w:hAnsi="宋体"/>
                    </w:rPr>
                    <w:t>颗粒物、</w:t>
                  </w:r>
                  <w:r>
                    <w:rPr>
                      <w:color w:val="auto"/>
                      <w:szCs w:val="21"/>
                    </w:rPr>
                    <w:t>SO</w:t>
                  </w:r>
                  <w:r>
                    <w:rPr>
                      <w:vertAlign w:val="subscript"/>
                      <w:color w:val="auto"/>
                      <w:szCs w:val="21"/>
                    </w:rPr>
                    <w:t>2</w:t>
                  </w:r>
                  <w:r>
                    <w:rPr>
                      <w:color w:val="auto"/>
                      <w:szCs w:val="21"/>
                      <w:rFonts w:hAnsi="宋体"/>
                    </w:rPr>
                    <w:t>、</w:t>
                  </w:r>
                  <w:r>
                    <w:rPr>
                      <w:color w:val="auto"/>
                      <w:szCs w:val="21"/>
                    </w:rPr>
                    <w:t>NO</w:t>
                  </w:r>
                  <w:r>
                    <w:rPr>
                      <w:vertAlign w:val="subscript"/>
                      <w:color w:val="auto"/>
                      <w:szCs w:val="21"/>
                    </w:rPr>
                    <w:t>X</w:t>
                  </w:r>
                </w:p>
              </w:tc>
              <w:tc>
                <w:tcPr>
                  <w:tcW w:w="821" w:type="pct"/>
                  <w:vAlign w:val="center"/>
                  <w:tcBorders>
                    <w:top w:val="single" w:color="000000" w:sz="6" w:space="0"/>
                    <w:left w:val="single" w:color="000000" w:sz="6" w:space="0"/>
                    <w:bottom w:val="single" w:color="000000" w:sz="6" w:space="0"/>
                    <w:right w:val="single" w:color="000000" w:sz="6" w:space="0"/>
                  </w:tcBorders>
                </w:tcPr>
                <w:p w14:paraId="751DCD54">
                  <w:pPr>
                    <w:widowControl w:val="1"/>
                    <w:jc w:val="center"/>
                    <w:rPr>
                      <w:color w:val="auto"/>
                      <w:szCs w:val="21"/>
                    </w:rPr>
                  </w:pPr>
                  <w:r>
                    <w:rPr>
                      <w:color w:val="auto"/>
                      <w:szCs w:val="21"/>
                    </w:rPr>
                    <w:t>1</w:t>
                  </w:r>
                  <w:r>
                    <w:rPr>
                      <w:color w:val="auto"/>
                      <w:szCs w:val="21"/>
                      <w:rFonts w:hAnsi="宋体"/>
                    </w:rPr>
                    <w:t>次</w:t>
                  </w:r>
                  <w:r>
                    <w:rPr>
                      <w:color w:val="auto"/>
                      <w:szCs w:val="21"/>
                    </w:rPr>
                    <w:t>/</w:t>
                  </w:r>
                  <w:r>
                    <w:rPr>
                      <w:color w:val="auto"/>
                      <w:szCs w:val="21"/>
                      <w:rFonts w:hAnsi="宋体"/>
                    </w:rPr>
                    <w:t>半年</w:t>
                  </w:r>
                </w:p>
              </w:tc>
              <w:tc>
                <w:tcPr>
                  <w:tcW w:w="2244" w:type="pct"/>
                  <w:vAlign w:val="center"/>
                  <w:tcBorders>
                    <w:top w:val="single" w:color="000000" w:sz="6" w:space="0"/>
                    <w:left w:val="single" w:color="000000" w:sz="6" w:space="0"/>
                    <w:bottom w:val="single" w:color="000000" w:sz="6" w:space="0"/>
                    <w:right w:val="nil"/>
                  </w:tcBorders>
                </w:tcPr>
                <w:p w14:paraId="1B85BE03">
                  <w:pPr>
                    <w:widowControl w:val="1"/>
                    <w:jc w:val="center"/>
                    <w:contextualSpacing/>
                    <w:rPr>
                      <w:color w:val="auto"/>
                      <w:szCs w:val="21"/>
                    </w:rPr>
                  </w:pPr>
                  <w:r>
                    <w:rPr>
                      <w:color w:val="auto"/>
                      <w:szCs w:val="21"/>
                      <w:rFonts w:hAnsi="宋体"/>
                    </w:rPr>
                    <w:t>《大气污染物综合排放标准》（</w:t>
                  </w:r>
                  <w:r>
                    <w:rPr>
                      <w:color w:val="auto"/>
                      <w:szCs w:val="21"/>
                    </w:rPr>
                    <w:t>GB16297-1996</w:t>
                  </w:r>
                  <w:r>
                    <w:rPr>
                      <w:color w:val="auto"/>
                      <w:szCs w:val="21"/>
                      <w:rFonts w:hAnsi="宋体"/>
                    </w:rPr>
                    <w:t>）表</w:t>
                  </w:r>
                  <w:r>
                    <w:rPr>
                      <w:color w:val="auto"/>
                      <w:szCs w:val="21"/>
                    </w:rPr>
                    <w:t xml:space="preserve">2 </w:t>
                  </w:r>
                  <w:r>
                    <w:rPr>
                      <w:color w:val="auto"/>
                      <w:szCs w:val="21"/>
                      <w:rFonts w:hAnsi="宋体"/>
                    </w:rPr>
                    <w:t>中二级排放标准限值</w:t>
                  </w:r>
                </w:p>
              </w:tc>
            </w:tr>
            <w:tr w14:paraId="2D6AFD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465" w:hRule="atLeast"/>
                <w:jc w:val="center"/>
              </w:trPr>
              <w:tc>
                <w:tcPr>
                  <w:tcW w:w="442" w:type="pct"/>
                  <w:vMerge w:val="continue"/>
                  <w:vAlign w:val="center"/>
                  <w:tcBorders>
                    <w:left w:val="nil"/>
                    <w:right w:val="single" w:color="auto" w:sz="4" w:space="0"/>
                  </w:tcBorders>
                </w:tcPr>
                <w:p w14:paraId="036975CB">
                  <w:pPr>
                    <w:jc w:val="center"/>
                    <w:contextualSpacing/>
                    <w:rPr>
                      <w:color w:val="auto"/>
                      <w:szCs w:val="21"/>
                    </w:rPr>
                  </w:pPr>
                </w:p>
              </w:tc>
              <w:tc>
                <w:tcPr>
                  <w:tcW w:w="746" w:type="pct"/>
                  <w:vMerge w:val="restart"/>
                  <w:vAlign w:val="center"/>
                  <w:tcBorders>
                    <w:top w:val="single" w:color="000000" w:sz="6" w:space="0"/>
                    <w:left w:val="single" w:color="auto" w:sz="4" w:space="0"/>
                    <w:bottom w:val="single" w:color="000000" w:sz="6" w:space="0"/>
                    <w:right w:val="single" w:color="000000" w:sz="6" w:space="0"/>
                  </w:tcBorders>
                </w:tcPr>
                <w:p w14:paraId="14E4145A">
                  <w:pPr>
                    <w:jc w:val="center"/>
                    <w:contextualSpacing/>
                    <w:spacing w:line="0" w:lineRule="atLeast"/>
                    <w:rPr>
                      <w:color w:val="auto"/>
                      <w:szCs w:val="21"/>
                    </w:rPr>
                  </w:pPr>
                  <w:r>
                    <w:rPr>
                      <w:color w:val="auto"/>
                      <w:szCs w:val="21"/>
                      <w:rFonts w:hAnsi="宋体"/>
                    </w:rPr>
                    <w:t>导热油炉烟囱</w:t>
                  </w:r>
                  <w:r>
                    <w:rPr>
                      <w:color w:val="auto"/>
                      <w:szCs w:val="21"/>
                    </w:rPr>
                    <w:t>（</w:t>
                  </w:r>
                  <w:r>
                    <w:rPr>
                      <w:color w:val="auto"/>
                      <w:szCs w:val="21"/>
                      <w:rFonts w:hint="eastAsia"/>
                    </w:rPr>
                    <w:t>DA002</w:t>
                  </w:r>
                  <w:r>
                    <w:rPr>
                      <w:color w:val="auto"/>
                      <w:szCs w:val="21"/>
                    </w:rPr>
                    <w:t>）</w:t>
                  </w:r>
                </w:p>
              </w:tc>
              <w:tc>
                <w:tcPr>
                  <w:tcW w:w="747" w:type="pct"/>
                  <w:vAlign w:val="center"/>
                  <w:tcBorders>
                    <w:top w:val="single" w:color="000000" w:sz="6" w:space="0"/>
                    <w:left w:val="single" w:color="000000" w:sz="6" w:space="0"/>
                    <w:bottom w:val="single" w:color="000000" w:sz="6" w:space="0"/>
                    <w:right w:val="single" w:color="000000" w:sz="6" w:space="0"/>
                  </w:tcBorders>
                </w:tcPr>
                <w:p w14:paraId="69431404">
                  <w:pPr>
                    <w:jc w:val="center"/>
                    <w:contextualSpacing/>
                    <w:rPr>
                      <w:color w:val="auto"/>
                      <w:szCs w:val="21"/>
                    </w:rPr>
                  </w:pPr>
                  <w:r>
                    <w:rPr>
                      <w:color w:val="auto"/>
                      <w:szCs w:val="21"/>
                      <w:rFonts w:hAnsi="宋体"/>
                    </w:rPr>
                    <w:t>烟气黑度、颗粒物、</w:t>
                  </w:r>
                  <w:r>
                    <w:rPr>
                      <w:color w:val="auto"/>
                      <w:szCs w:val="21"/>
                    </w:rPr>
                    <w:t>SO</w:t>
                  </w:r>
                  <w:r>
                    <w:rPr>
                      <w:vertAlign w:val="subscript"/>
                      <w:color w:val="auto"/>
                      <w:szCs w:val="21"/>
                    </w:rPr>
                    <w:t>2</w:t>
                  </w:r>
                </w:p>
              </w:tc>
              <w:tc>
                <w:tcPr>
                  <w:tcW w:w="821" w:type="pct"/>
                  <w:vAlign w:val="center"/>
                  <w:tcBorders>
                    <w:top w:val="single" w:color="000000" w:sz="6" w:space="0"/>
                    <w:left w:val="single" w:color="000000" w:sz="6" w:space="0"/>
                    <w:bottom w:val="single" w:color="000000" w:sz="6" w:space="0"/>
                    <w:right w:val="single" w:color="000000" w:sz="6" w:space="0"/>
                  </w:tcBorders>
                </w:tcPr>
                <w:p w14:paraId="6FABF81F">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hint="eastAsia"/>
                    </w:rPr>
                    <w:t>年</w:t>
                  </w:r>
                </w:p>
              </w:tc>
              <w:tc>
                <w:tcPr>
                  <w:tcW w:w="2244" w:type="pct"/>
                  <w:vMerge w:val="restart"/>
                  <w:vAlign w:val="center"/>
                  <w:tcBorders>
                    <w:top w:val="single" w:color="000000" w:sz="6" w:space="0"/>
                    <w:left w:val="single" w:color="000000" w:sz="6" w:space="0"/>
                    <w:bottom w:val="single" w:color="000000" w:sz="6" w:space="0"/>
                    <w:right w:val="nil"/>
                  </w:tcBorders>
                </w:tcPr>
                <w:p w14:paraId="49A80D44">
                  <w:pPr>
                    <w:widowControl w:val="1"/>
                    <w:jc w:val="center"/>
                    <w:contextualSpacing/>
                    <w:rPr>
                      <w:color w:val="auto"/>
                      <w:szCs w:val="21"/>
                    </w:rPr>
                  </w:pPr>
                  <w:r>
                    <w:rPr>
                      <w:color w:val="auto"/>
                      <w:szCs w:val="21"/>
                      <w:rFonts w:hAnsi="宋体"/>
                    </w:rPr>
                    <w:t>《锅炉大气污染物排放标准》（</w:t>
                  </w:r>
                  <w:r>
                    <w:rPr>
                      <w:color w:val="auto"/>
                      <w:szCs w:val="21"/>
                    </w:rPr>
                    <w:t>GB13271-2014</w:t>
                  </w:r>
                  <w:r>
                    <w:rPr>
                      <w:color w:val="auto"/>
                      <w:szCs w:val="21"/>
                      <w:rFonts w:hAnsi="宋体"/>
                    </w:rPr>
                    <w:t>）表</w:t>
                  </w:r>
                  <w:r>
                    <w:rPr>
                      <w:color w:val="auto"/>
                      <w:szCs w:val="21"/>
                    </w:rPr>
                    <w:t>2</w:t>
                  </w:r>
                  <w:r>
                    <w:rPr>
                      <w:color w:val="auto"/>
                      <w:szCs w:val="21"/>
                      <w:rFonts w:hAnsi="宋体"/>
                    </w:rPr>
                    <w:t>燃</w:t>
                  </w:r>
                  <w:r>
                    <w:rPr>
                      <w:color w:val="auto"/>
                      <w:szCs w:val="21"/>
                      <w:rFonts w:hAnsi="宋体" w:hint="eastAsia"/>
                    </w:rPr>
                    <w:t>气</w:t>
                  </w:r>
                  <w:r>
                    <w:rPr>
                      <w:color w:val="auto"/>
                      <w:szCs w:val="21"/>
                      <w:rFonts w:hAnsi="宋体"/>
                    </w:rPr>
                    <w:t>锅炉标准</w:t>
                  </w:r>
                </w:p>
              </w:tc>
            </w:tr>
            <w:tr w14:paraId="51321F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465" w:hRule="atLeast"/>
                <w:jc w:val="center"/>
              </w:trPr>
              <w:tc>
                <w:tcPr>
                  <w:tcW w:w="442" w:type="pct"/>
                  <w:vMerge w:val="continue"/>
                  <w:vAlign w:val="center"/>
                  <w:tcBorders>
                    <w:left w:val="nil"/>
                    <w:right w:val="single" w:color="auto" w:sz="4" w:space="0"/>
                  </w:tcBorders>
                </w:tcPr>
                <w:p w14:paraId="538FB11F">
                  <w:pPr>
                    <w:jc w:val="center"/>
                    <w:contextualSpacing/>
                    <w:rPr>
                      <w:color w:val="auto"/>
                      <w:szCs w:val="21"/>
                    </w:rPr>
                  </w:pPr>
                </w:p>
              </w:tc>
              <w:tc>
                <w:tcPr>
                  <w:tcW w:w="746" w:type="pct"/>
                  <w:vMerge w:val="continue"/>
                  <w:vAlign w:val="center"/>
                  <w:tcBorders>
                    <w:top w:val="single" w:color="000000" w:sz="6" w:space="0"/>
                    <w:left w:val="single" w:color="auto" w:sz="4" w:space="0"/>
                    <w:bottom w:val="single" w:color="000000" w:sz="6" w:space="0"/>
                    <w:right w:val="single" w:color="000000" w:sz="6" w:space="0"/>
                  </w:tcBorders>
                </w:tcPr>
                <w:p w14:paraId="0C7C7EAB">
                  <w:pPr>
                    <w:jc w:val="center"/>
                    <w:contextualSpacing/>
                    <w:spacing w:line="0" w:lineRule="atLeast"/>
                    <w:rPr>
                      <w:color w:val="auto"/>
                      <w:szCs w:val="21"/>
                      <w:rFonts w:hAnsi="宋体"/>
                    </w:rPr>
                  </w:pPr>
                </w:p>
              </w:tc>
              <w:tc>
                <w:tcPr>
                  <w:tcW w:w="747" w:type="pct"/>
                  <w:vAlign w:val="center"/>
                  <w:tcBorders>
                    <w:top w:val="single" w:color="000000" w:sz="6" w:space="0"/>
                    <w:left w:val="single" w:color="000000" w:sz="6" w:space="0"/>
                    <w:bottom w:val="single" w:color="000000" w:sz="6" w:space="0"/>
                    <w:right w:val="single" w:color="000000" w:sz="6" w:space="0"/>
                  </w:tcBorders>
                </w:tcPr>
                <w:p w14:paraId="77FB94C6">
                  <w:pPr>
                    <w:jc w:val="center"/>
                    <w:contextualSpacing/>
                    <w:rPr>
                      <w:color w:val="auto"/>
                      <w:szCs w:val="21"/>
                      <w:rFonts w:hAnsi="宋体"/>
                    </w:rPr>
                  </w:pPr>
                  <w:r>
                    <w:rPr>
                      <w:color w:val="auto"/>
                      <w:szCs w:val="21"/>
                    </w:rPr>
                    <w:t>NO</w:t>
                  </w:r>
                  <w:r>
                    <w:rPr>
                      <w:vertAlign w:val="subscript"/>
                      <w:color w:val="auto"/>
                      <w:szCs w:val="21"/>
                    </w:rPr>
                    <w:t>X</w:t>
                  </w:r>
                </w:p>
              </w:tc>
              <w:tc>
                <w:tcPr>
                  <w:tcW w:w="821" w:type="pct"/>
                  <w:vAlign w:val="center"/>
                  <w:tcBorders>
                    <w:top w:val="single" w:color="000000" w:sz="6" w:space="0"/>
                    <w:left w:val="single" w:color="000000" w:sz="6" w:space="0"/>
                    <w:bottom w:val="single" w:color="000000" w:sz="6" w:space="0"/>
                    <w:right w:val="single" w:color="000000" w:sz="6" w:space="0"/>
                  </w:tcBorders>
                </w:tcPr>
                <w:p w14:paraId="629E6FC1">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rPr>
                    <w:t>月</w:t>
                  </w:r>
                </w:p>
              </w:tc>
              <w:tc>
                <w:tcPr>
                  <w:tcW w:w="2244" w:type="pct"/>
                  <w:vMerge w:val="continue"/>
                  <w:vAlign w:val="center"/>
                  <w:tcBorders>
                    <w:top w:val="single" w:color="000000" w:sz="6" w:space="0"/>
                    <w:left w:val="single" w:color="000000" w:sz="6" w:space="0"/>
                    <w:bottom w:val="single" w:color="000000" w:sz="6" w:space="0"/>
                    <w:right w:val="nil"/>
                  </w:tcBorders>
                </w:tcPr>
                <w:p w14:paraId="32BA2452">
                  <w:pPr>
                    <w:widowControl w:val="1"/>
                    <w:jc w:val="center"/>
                    <w:contextualSpacing/>
                    <w:rPr>
                      <w:color w:val="auto"/>
                      <w:szCs w:val="21"/>
                      <w:rFonts w:hAnsi="宋体"/>
                    </w:rPr>
                  </w:pPr>
                </w:p>
              </w:tc>
            </w:tr>
            <w:tr w14:paraId="7FCB3A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654" w:hRule="atLeast"/>
                <w:jc w:val="center"/>
              </w:trPr>
              <w:tc>
                <w:tcPr>
                  <w:tcW w:w="442" w:type="pct"/>
                  <w:vMerge w:val="continue"/>
                  <w:vAlign w:val="center"/>
                  <w:tcBorders>
                    <w:left w:val="nil"/>
                    <w:right w:val="single" w:color="auto" w:sz="4" w:space="0"/>
                  </w:tcBorders>
                </w:tcPr>
                <w:p w14:paraId="08D61CBF">
                  <w:pPr>
                    <w:jc w:val="center"/>
                    <w:contextualSpacing/>
                    <w:rPr>
                      <w:color w:val="auto"/>
                      <w:szCs w:val="21"/>
                    </w:rPr>
                  </w:pPr>
                </w:p>
              </w:tc>
              <w:tc>
                <w:tcPr>
                  <w:tcW w:w="746" w:type="pct"/>
                  <w:vMerge w:val="restart"/>
                  <w:vAlign w:val="center"/>
                  <w:tcBorders>
                    <w:top w:val="single" w:color="000000" w:sz="6" w:space="0"/>
                    <w:left w:val="single" w:color="auto" w:sz="4" w:space="0"/>
                    <w:bottom w:val="single" w:color="000000" w:sz="6" w:space="0"/>
                    <w:right w:val="single" w:color="000000" w:sz="6" w:space="0"/>
                  </w:tcBorders>
                </w:tcPr>
                <w:p w14:paraId="586CAA9C">
                  <w:pPr>
                    <w:jc w:val="center"/>
                    <w:contextualSpacing/>
                    <w:spacing w:line="0" w:lineRule="atLeast"/>
                    <w:rPr>
                      <w:color w:val="auto"/>
                      <w:szCs w:val="21"/>
                      <w:rFonts w:hAnsi="宋体"/>
                    </w:rPr>
                  </w:pPr>
                  <w:r>
                    <w:rPr>
                      <w:color w:val="auto"/>
                      <w:szCs w:val="21"/>
                      <w:rFonts w:hAnsi="宋体"/>
                    </w:rPr>
                    <w:t>沥青搅拌排气筒（</w:t>
                  </w:r>
                  <w:r>
                    <w:rPr>
                      <w:color w:val="auto"/>
                      <w:szCs w:val="21"/>
                      <w:rFonts w:hAnsi="宋体" w:hint="eastAsia"/>
                    </w:rPr>
                    <w:t>DA003</w:t>
                  </w:r>
                  <w:r>
                    <w:rPr>
                      <w:color w:val="auto"/>
                      <w:szCs w:val="21"/>
                      <w:rFonts w:hAnsi="宋体"/>
                    </w:rPr>
                    <w:t>）</w:t>
                  </w:r>
                </w:p>
              </w:tc>
              <w:tc>
                <w:tcPr>
                  <w:tcW w:w="747" w:type="pct"/>
                  <w:vAlign w:val="center"/>
                  <w:tcBorders>
                    <w:top w:val="single" w:color="000000" w:sz="6" w:space="0"/>
                    <w:left w:val="single" w:color="000000" w:sz="6" w:space="0"/>
                    <w:bottom w:val="single" w:color="000000" w:sz="6" w:space="0"/>
                    <w:right w:val="single" w:color="000000" w:sz="6" w:space="0"/>
                  </w:tcBorders>
                </w:tcPr>
                <w:p w14:paraId="079891E4">
                  <w:pPr>
                    <w:jc w:val="center"/>
                    <w:contextualSpacing/>
                    <w:rPr>
                      <w:color w:val="auto"/>
                      <w:szCs w:val="21"/>
                    </w:rPr>
                  </w:pPr>
                  <w:r>
                    <w:rPr>
                      <w:color w:val="auto"/>
                      <w:szCs w:val="21"/>
                      <w:rFonts w:hAnsi="宋体"/>
                    </w:rPr>
                    <w:t>沥青烟</w:t>
                  </w:r>
                </w:p>
              </w:tc>
              <w:tc>
                <w:tcPr>
                  <w:tcW w:w="821" w:type="pct"/>
                  <w:vMerge w:val="restart"/>
                  <w:vAlign w:val="center"/>
                  <w:tcBorders>
                    <w:top w:val="single" w:color="000000" w:sz="6" w:space="0"/>
                    <w:left w:val="single" w:color="000000" w:sz="6" w:space="0"/>
                    <w:bottom w:val="single" w:color="000000" w:sz="6" w:space="0"/>
                    <w:right w:val="single" w:color="000000" w:sz="6" w:space="0"/>
                  </w:tcBorders>
                </w:tcPr>
                <w:p w14:paraId="49DF8FE1">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rPr>
                    <w:t>一年</w:t>
                  </w:r>
                </w:p>
              </w:tc>
              <w:tc>
                <w:tcPr>
                  <w:tcW w:w="2244" w:type="pct"/>
                  <w:vMerge w:val="restart"/>
                  <w:vAlign w:val="center"/>
                  <w:tcBorders>
                    <w:top w:val="single" w:color="000000" w:sz="6" w:space="0"/>
                    <w:left w:val="single" w:color="000000" w:sz="6" w:space="0"/>
                    <w:bottom w:val="single" w:color="000000" w:sz="6" w:space="0"/>
                    <w:right w:val="nil"/>
                  </w:tcBorders>
                </w:tcPr>
                <w:p w14:paraId="37ABFC3F">
                  <w:pPr>
                    <w:widowControl w:val="1"/>
                    <w:jc w:val="center"/>
                    <w:contextualSpacing/>
                    <w:rPr>
                      <w:color w:val="auto"/>
                      <w:szCs w:val="21"/>
                    </w:rPr>
                  </w:pPr>
                  <w:r>
                    <w:rPr>
                      <w:color w:val="auto"/>
                      <w:szCs w:val="21"/>
                      <w:rFonts w:hAnsi="宋体"/>
                    </w:rPr>
                    <w:t>《大气污染物综合排放标准》（</w:t>
                  </w:r>
                  <w:r>
                    <w:rPr>
                      <w:color w:val="auto"/>
                      <w:szCs w:val="21"/>
                    </w:rPr>
                    <w:t>GB16297-1996</w:t>
                  </w:r>
                  <w:r>
                    <w:rPr>
                      <w:color w:val="auto"/>
                      <w:szCs w:val="21"/>
                      <w:rFonts w:hAnsi="宋体"/>
                    </w:rPr>
                    <w:t>）表</w:t>
                  </w:r>
                  <w:r>
                    <w:rPr>
                      <w:color w:val="auto"/>
                      <w:szCs w:val="21"/>
                    </w:rPr>
                    <w:t xml:space="preserve">2 </w:t>
                  </w:r>
                  <w:r>
                    <w:rPr>
                      <w:color w:val="auto"/>
                      <w:szCs w:val="21"/>
                      <w:rFonts w:hAnsi="宋体"/>
                    </w:rPr>
                    <w:t>中二级排放标准限值</w:t>
                  </w:r>
                </w:p>
              </w:tc>
            </w:tr>
            <w:tr w14:paraId="093131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654" w:hRule="atLeast"/>
                <w:jc w:val="center"/>
              </w:trPr>
              <w:tc>
                <w:tcPr>
                  <w:tcW w:w="442" w:type="pct"/>
                  <w:vMerge w:val="continue"/>
                  <w:vAlign w:val="center"/>
                  <w:tcBorders>
                    <w:left w:val="nil"/>
                    <w:right w:val="single" w:color="auto" w:sz="4" w:space="0"/>
                  </w:tcBorders>
                </w:tcPr>
                <w:p w14:paraId="5EB31A21">
                  <w:pPr>
                    <w:jc w:val="center"/>
                    <w:contextualSpacing/>
                    <w:rPr>
                      <w:color w:val="auto"/>
                      <w:szCs w:val="21"/>
                    </w:rPr>
                  </w:pPr>
                </w:p>
              </w:tc>
              <w:tc>
                <w:tcPr>
                  <w:tcW w:w="746" w:type="pct"/>
                  <w:vMerge w:val="continue"/>
                  <w:vAlign w:val="center"/>
                  <w:tcBorders>
                    <w:top w:val="single" w:color="000000" w:sz="6" w:space="0"/>
                    <w:left w:val="single" w:color="auto" w:sz="4" w:space="0"/>
                    <w:bottom w:val="single" w:color="000000" w:sz="6" w:space="0"/>
                    <w:right w:val="single" w:color="000000" w:sz="6" w:space="0"/>
                  </w:tcBorders>
                </w:tcPr>
                <w:p w14:paraId="6AA07DD2">
                  <w:pPr>
                    <w:jc w:val="center"/>
                    <w:contextualSpacing/>
                    <w:spacing w:line="0" w:lineRule="atLeast"/>
                    <w:rPr>
                      <w:color w:val="auto"/>
                      <w:szCs w:val="21"/>
                      <w:rFonts w:hAnsi="宋体"/>
                    </w:rPr>
                  </w:pPr>
                </w:p>
              </w:tc>
              <w:tc>
                <w:tcPr>
                  <w:tcW w:w="747" w:type="pct"/>
                  <w:vAlign w:val="center"/>
                  <w:tcBorders>
                    <w:top w:val="single" w:color="000000" w:sz="6" w:space="0"/>
                    <w:left w:val="single" w:color="000000" w:sz="6" w:space="0"/>
                    <w:bottom w:val="single" w:color="000000" w:sz="6" w:space="0"/>
                    <w:right w:val="single" w:color="000000" w:sz="6" w:space="0"/>
                  </w:tcBorders>
                </w:tcPr>
                <w:p w14:paraId="7B30B8B0">
                  <w:pPr>
                    <w:jc w:val="center"/>
                    <w:contextualSpacing/>
                    <w:rPr>
                      <w:color w:val="auto"/>
                      <w:szCs w:val="21"/>
                    </w:rPr>
                  </w:pPr>
                  <w:r>
                    <w:rPr>
                      <w:color w:val="auto"/>
                      <w:szCs w:val="21"/>
                      <w:rFonts w:hAnsi="宋体"/>
                    </w:rPr>
                    <w:t>苯并</w:t>
                  </w:r>
                  <w:r>
                    <w:rPr>
                      <w:color w:val="auto"/>
                      <w:szCs w:val="21"/>
                    </w:rPr>
                    <w:t>[a]</w:t>
                  </w:r>
                  <w:r>
                    <w:rPr>
                      <w:color w:val="auto"/>
                      <w:szCs w:val="21"/>
                      <w:rFonts w:hAnsi="宋体"/>
                    </w:rPr>
                    <w:t>芘</w:t>
                  </w:r>
                </w:p>
              </w:tc>
              <w:tc>
                <w:tcPr>
                  <w:tcW w:w="821" w:type="pct"/>
                  <w:vMerge w:val="continue"/>
                  <w:vAlign w:val="center"/>
                  <w:tcBorders>
                    <w:top w:val="single" w:color="000000" w:sz="6" w:space="0"/>
                    <w:left w:val="single" w:color="000000" w:sz="6" w:space="0"/>
                    <w:bottom w:val="single" w:color="000000" w:sz="6" w:space="0"/>
                    <w:right w:val="single" w:color="000000" w:sz="6" w:space="0"/>
                  </w:tcBorders>
                </w:tcPr>
                <w:p w14:paraId="16541E36">
                  <w:pPr>
                    <w:jc w:val="center"/>
                    <w:contextualSpacing/>
                    <w:rPr>
                      <w:color w:val="auto"/>
                      <w:szCs w:val="21"/>
                    </w:rPr>
                  </w:pPr>
                </w:p>
              </w:tc>
              <w:tc>
                <w:tcPr>
                  <w:tcW w:w="2244" w:type="pct"/>
                  <w:vMerge w:val="continue"/>
                  <w:vAlign w:val="center"/>
                  <w:tcBorders>
                    <w:top w:val="single" w:color="000000" w:sz="6" w:space="0"/>
                    <w:left w:val="single" w:color="000000" w:sz="6" w:space="0"/>
                    <w:bottom w:val="single" w:color="000000" w:sz="6" w:space="0"/>
                    <w:right w:val="nil"/>
                  </w:tcBorders>
                </w:tcPr>
                <w:p w14:paraId="2EAFD7DB">
                  <w:pPr>
                    <w:widowControl w:val="1"/>
                    <w:jc w:val="center"/>
                    <w:contextualSpacing/>
                    <w:rPr>
                      <w:color w:val="auto"/>
                      <w:szCs w:val="21"/>
                    </w:rPr>
                  </w:pPr>
                </w:p>
              </w:tc>
            </w:tr>
            <w:tr w14:paraId="55A83D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260" w:hRule="atLeast"/>
                <w:jc w:val="center"/>
              </w:trPr>
              <w:tc>
                <w:tcPr>
                  <w:tcW w:w="442" w:type="pct"/>
                  <w:vMerge w:val="continue"/>
                  <w:vAlign w:val="center"/>
                  <w:tcBorders>
                    <w:left w:val="nil"/>
                    <w:right w:val="single" w:color="auto" w:sz="4" w:space="0"/>
                  </w:tcBorders>
                </w:tcPr>
                <w:p w14:paraId="43CC56E0">
                  <w:pPr>
                    <w:jc w:val="center"/>
                    <w:contextualSpacing/>
                    <w:rPr>
                      <w:color w:val="auto"/>
                      <w:szCs w:val="21"/>
                    </w:rPr>
                  </w:pPr>
                </w:p>
              </w:tc>
              <w:tc>
                <w:tcPr>
                  <w:tcW w:w="746" w:type="pct"/>
                  <w:vMerge w:val="restart"/>
                  <w:vAlign w:val="center"/>
                  <w:tcBorders>
                    <w:top w:val="single" w:color="000000" w:sz="6" w:space="0"/>
                    <w:left w:val="single" w:color="auto" w:sz="4" w:space="0"/>
                    <w:right w:val="single" w:color="000000" w:sz="6" w:space="0"/>
                  </w:tcBorders>
                </w:tcPr>
                <w:p w14:paraId="52FF70DA">
                  <w:pPr>
                    <w:jc w:val="center"/>
                    <w:contextualSpacing/>
                    <w:rPr>
                      <w:color w:val="auto"/>
                      <w:szCs w:val="21"/>
                    </w:rPr>
                  </w:pPr>
                  <w:r>
                    <w:rPr>
                      <w:color w:val="auto"/>
                      <w:szCs w:val="21"/>
                      <w:rFonts w:hAnsi="宋体"/>
                    </w:rPr>
                    <w:t>厂界</w:t>
                  </w:r>
                </w:p>
              </w:tc>
              <w:tc>
                <w:tcPr>
                  <w:tcW w:w="747" w:type="pct"/>
                  <w:vAlign w:val="center"/>
                  <w:tcBorders>
                    <w:top w:val="single" w:color="000000" w:sz="6" w:space="0"/>
                    <w:left w:val="single" w:color="000000" w:sz="6" w:space="0"/>
                    <w:bottom w:val="single" w:color="000000" w:sz="6" w:space="0"/>
                    <w:right w:val="single" w:color="000000" w:sz="6" w:space="0"/>
                  </w:tcBorders>
                </w:tcPr>
                <w:p w14:paraId="1B32059F">
                  <w:pPr>
                    <w:jc w:val="center"/>
                    <w:contextualSpacing/>
                    <w:rPr>
                      <w:color w:val="auto"/>
                      <w:szCs w:val="21"/>
                      <w:rFonts w:hAnsi="宋体"/>
                    </w:rPr>
                  </w:pPr>
                  <w:r>
                    <w:rPr>
                      <w:color w:val="auto"/>
                      <w:szCs w:val="21"/>
                      <w:rFonts w:hAnsi="宋体"/>
                    </w:rPr>
                    <w:t>颗粒物</w:t>
                  </w:r>
                </w:p>
              </w:tc>
              <w:tc>
                <w:tcPr>
                  <w:tcW w:w="821" w:type="pct"/>
                  <w:vAlign w:val="center"/>
                  <w:tcBorders>
                    <w:top w:val="single" w:color="000000" w:sz="6" w:space="0"/>
                    <w:left w:val="single" w:color="000000" w:sz="6" w:space="0"/>
                    <w:bottom w:val="single" w:color="000000" w:sz="6" w:space="0"/>
                    <w:right w:val="single" w:color="000000" w:sz="6" w:space="0"/>
                  </w:tcBorders>
                </w:tcPr>
                <w:p w14:paraId="15CBD321">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hint="eastAsia"/>
                    </w:rPr>
                    <w:t>年</w:t>
                  </w:r>
                </w:p>
              </w:tc>
              <w:tc>
                <w:tcPr>
                  <w:tcW w:w="2244" w:type="pct"/>
                  <w:vMerge w:val="restart"/>
                  <w:vAlign w:val="center"/>
                  <w:tcBorders>
                    <w:top w:val="single" w:color="000000" w:sz="6" w:space="0"/>
                    <w:left w:val="single" w:color="000000" w:sz="6" w:space="0"/>
                    <w:right w:val="nil"/>
                  </w:tcBorders>
                </w:tcPr>
                <w:p w14:paraId="635C86AF">
                  <w:pPr>
                    <w:widowControl w:val="1"/>
                    <w:jc w:val="center"/>
                    <w:contextualSpacing/>
                    <w:rPr>
                      <w:color w:val="auto"/>
                      <w:szCs w:val="21"/>
                    </w:rPr>
                  </w:pPr>
                  <w:r>
                    <w:rPr>
                      <w:color w:val="auto"/>
                      <w:bCs/>
                      <w:szCs w:val="21"/>
                    </w:rPr>
                    <w:t>《大气污染物综合排放标准》（GB16297-1996）表</w:t>
                  </w:r>
                  <w:r>
                    <w:rPr>
                      <w:color w:val="auto"/>
                      <w:bCs/>
                      <w:szCs w:val="21"/>
                      <w:rFonts w:hint="eastAsia"/>
                    </w:rPr>
                    <w:t>2</w:t>
                  </w:r>
                  <w:r>
                    <w:rPr>
                      <w:color w:val="auto"/>
                      <w:bCs/>
                      <w:szCs w:val="21"/>
                    </w:rPr>
                    <w:t>无组织排放监控浓度限值要求</w:t>
                  </w:r>
                </w:p>
              </w:tc>
            </w:tr>
            <w:tr w14:paraId="373CF1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654" w:hRule="atLeast"/>
                <w:jc w:val="center"/>
              </w:trPr>
              <w:tc>
                <w:tcPr>
                  <w:tcW w:w="442" w:type="pct"/>
                  <w:vMerge w:val="continue"/>
                  <w:vAlign w:val="center"/>
                  <w:tcBorders>
                    <w:left w:val="nil"/>
                    <w:right w:val="single" w:color="auto" w:sz="4" w:space="0"/>
                  </w:tcBorders>
                </w:tcPr>
                <w:p w14:paraId="39E60FE3">
                  <w:pPr>
                    <w:jc w:val="center"/>
                    <w:contextualSpacing/>
                    <w:rPr>
                      <w:color w:val="auto"/>
                      <w:szCs w:val="21"/>
                    </w:rPr>
                  </w:pPr>
                </w:p>
              </w:tc>
              <w:tc>
                <w:tcPr>
                  <w:tcW w:w="746" w:type="pct"/>
                  <w:vMerge w:val="continue"/>
                  <w:vAlign w:val="center"/>
                  <w:tcBorders>
                    <w:left w:val="single" w:color="auto" w:sz="4" w:space="0"/>
                    <w:right w:val="single" w:color="000000" w:sz="6" w:space="0"/>
                  </w:tcBorders>
                </w:tcPr>
                <w:p w14:paraId="3FA4F5C0">
                  <w:pPr>
                    <w:jc w:val="center"/>
                    <w:contextualSpacing/>
                    <w:rPr>
                      <w:color w:val="auto"/>
                      <w:szCs w:val="21"/>
                    </w:rPr>
                  </w:pPr>
                </w:p>
              </w:tc>
              <w:tc>
                <w:tcPr>
                  <w:tcW w:w="747" w:type="pct"/>
                  <w:vAlign w:val="center"/>
                  <w:tcBorders>
                    <w:top w:val="single" w:color="000000" w:sz="6" w:space="0"/>
                    <w:left w:val="single" w:color="000000" w:sz="6" w:space="0"/>
                    <w:bottom w:val="single" w:color="000000" w:sz="6" w:space="0"/>
                    <w:right w:val="single" w:color="000000" w:sz="6" w:space="0"/>
                  </w:tcBorders>
                </w:tcPr>
                <w:p w14:paraId="360CBB61">
                  <w:pPr>
                    <w:jc w:val="center"/>
                    <w:contextualSpacing/>
                    <w:rPr>
                      <w:color w:val="auto"/>
                      <w:szCs w:val="21"/>
                      <w:rFonts w:hAnsi="宋体"/>
                    </w:rPr>
                  </w:pPr>
                  <w:r>
                    <w:rPr>
                      <w:color w:val="auto"/>
                      <w:szCs w:val="21"/>
                      <w:rFonts w:hAnsi="宋体"/>
                    </w:rPr>
                    <w:t>苯并[a]芘</w:t>
                  </w:r>
                </w:p>
              </w:tc>
              <w:tc>
                <w:tcPr>
                  <w:tcW w:w="821" w:type="pct"/>
                  <w:vAlign w:val="center"/>
                  <w:tcBorders>
                    <w:top w:val="single" w:color="000000" w:sz="6" w:space="0"/>
                    <w:left w:val="single" w:color="000000" w:sz="6" w:space="0"/>
                    <w:bottom w:val="single" w:color="000000" w:sz="6" w:space="0"/>
                    <w:right w:val="single" w:color="000000" w:sz="6" w:space="0"/>
                  </w:tcBorders>
                </w:tcPr>
                <w:p w14:paraId="2498B647">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rPr>
                    <w:t>年</w:t>
                  </w:r>
                </w:p>
              </w:tc>
              <w:tc>
                <w:tcPr>
                  <w:tcW w:w="2244" w:type="pct"/>
                  <w:vMerge w:val="continue"/>
                  <w:vAlign w:val="center"/>
                  <w:tcBorders>
                    <w:left w:val="single" w:color="000000" w:sz="6" w:space="0"/>
                    <w:right w:val="nil"/>
                  </w:tcBorders>
                </w:tcPr>
                <w:p w14:paraId="766FD1C9">
                  <w:pPr>
                    <w:widowControl w:val="1"/>
                    <w:jc w:val="center"/>
                    <w:contextualSpacing/>
                    <w:rPr>
                      <w:color w:val="auto"/>
                      <w:szCs w:val="21"/>
                    </w:rPr>
                  </w:pPr>
                </w:p>
              </w:tc>
            </w:tr>
            <w:tr w14:paraId="7687E8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654" w:hRule="atLeast"/>
                <w:jc w:val="center"/>
              </w:trPr>
              <w:tc>
                <w:tcPr>
                  <w:tcW w:w="442" w:type="pct"/>
                  <w:vMerge w:val="continue"/>
                  <w:vAlign w:val="center"/>
                  <w:tcBorders>
                    <w:left w:val="nil"/>
                    <w:right w:val="single" w:color="auto" w:sz="4" w:space="0"/>
                  </w:tcBorders>
                </w:tcPr>
                <w:p w14:paraId="564CDAB0">
                  <w:pPr>
                    <w:jc w:val="center"/>
                    <w:contextualSpacing/>
                    <w:rPr>
                      <w:color w:val="auto"/>
                      <w:szCs w:val="21"/>
                    </w:rPr>
                  </w:pPr>
                </w:p>
              </w:tc>
              <w:tc>
                <w:tcPr>
                  <w:tcW w:w="746" w:type="pct"/>
                  <w:vMerge w:val="continue"/>
                  <w:vAlign w:val="center"/>
                  <w:tcBorders>
                    <w:left w:val="single" w:color="auto" w:sz="4" w:space="0"/>
                    <w:bottom w:val="single" w:color="000000" w:sz="6" w:space="0"/>
                    <w:right w:val="single" w:color="000000" w:sz="6" w:space="0"/>
                  </w:tcBorders>
                </w:tcPr>
                <w:p w14:paraId="7B5451C2">
                  <w:pPr>
                    <w:jc w:val="center"/>
                    <w:contextualSpacing/>
                    <w:rPr>
                      <w:color w:val="auto"/>
                      <w:szCs w:val="21"/>
                    </w:rPr>
                  </w:pPr>
                </w:p>
              </w:tc>
              <w:tc>
                <w:tcPr>
                  <w:tcW w:w="747" w:type="pct"/>
                  <w:vAlign w:val="center"/>
                  <w:tcBorders>
                    <w:top w:val="single" w:color="000000" w:sz="6" w:space="0"/>
                    <w:left w:val="single" w:color="000000" w:sz="6" w:space="0"/>
                    <w:bottom w:val="single" w:color="000000" w:sz="6" w:space="0"/>
                    <w:right w:val="single" w:color="000000" w:sz="6" w:space="0"/>
                  </w:tcBorders>
                </w:tcPr>
                <w:p w14:paraId="4F104854">
                  <w:pPr>
                    <w:jc w:val="center"/>
                    <w:contextualSpacing/>
                    <w:rPr>
                      <w:color w:val="auto"/>
                      <w:szCs w:val="21"/>
                      <w:rFonts w:hAnsi="宋体"/>
                    </w:rPr>
                  </w:pPr>
                  <w:r>
                    <w:rPr>
                      <w:color w:val="auto"/>
                      <w:szCs w:val="21"/>
                      <w:rFonts w:hAnsi="宋体"/>
                    </w:rPr>
                    <w:t>非甲烷总烃</w:t>
                  </w:r>
                </w:p>
              </w:tc>
              <w:tc>
                <w:tcPr>
                  <w:tcW w:w="821" w:type="pct"/>
                  <w:vAlign w:val="center"/>
                  <w:tcBorders>
                    <w:top w:val="single" w:color="000000" w:sz="6" w:space="0"/>
                    <w:left w:val="single" w:color="000000" w:sz="6" w:space="0"/>
                    <w:bottom w:val="single" w:color="000000" w:sz="6" w:space="0"/>
                    <w:right w:val="single" w:color="000000" w:sz="6" w:space="0"/>
                  </w:tcBorders>
                </w:tcPr>
                <w:p w14:paraId="458ABA67">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hint="eastAsia"/>
                    </w:rPr>
                    <w:t>季度</w:t>
                  </w:r>
                </w:p>
              </w:tc>
              <w:tc>
                <w:tcPr>
                  <w:tcW w:w="2244" w:type="pct"/>
                  <w:vMerge w:val="continue"/>
                  <w:vAlign w:val="center"/>
                  <w:tcBorders>
                    <w:left w:val="single" w:color="000000" w:sz="6" w:space="0"/>
                    <w:bottom w:val="single" w:color="000000" w:sz="6" w:space="0"/>
                    <w:right w:val="nil"/>
                  </w:tcBorders>
                </w:tcPr>
                <w:p w14:paraId="6E8006EC">
                  <w:pPr>
                    <w:widowControl w:val="1"/>
                    <w:jc w:val="center"/>
                    <w:contextualSpacing/>
                    <w:rPr>
                      <w:color w:val="auto"/>
                      <w:szCs w:val="21"/>
                    </w:rPr>
                  </w:pPr>
                </w:p>
              </w:tc>
            </w:tr>
            <w:tr w14:paraId="2F1F0C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654" w:hRule="atLeast"/>
                <w:jc w:val="center"/>
              </w:trPr>
              <w:tc>
                <w:tcPr>
                  <w:tcW w:w="442" w:type="pct"/>
                  <w:vMerge w:val="continue"/>
                  <w:vAlign w:val="center"/>
                  <w:tcBorders>
                    <w:left w:val="nil"/>
                    <w:bottom w:val="single" w:color="000000" w:sz="12" w:space="0"/>
                    <w:right w:val="single" w:color="auto" w:sz="4" w:space="0"/>
                  </w:tcBorders>
                </w:tcPr>
                <w:p w14:paraId="47B5A1ED">
                  <w:pPr>
                    <w:jc w:val="center"/>
                    <w:contextualSpacing/>
                    <w:rPr>
                      <w:color w:val="auto"/>
                      <w:szCs w:val="21"/>
                    </w:rPr>
                  </w:pPr>
                </w:p>
              </w:tc>
              <w:tc>
                <w:tcPr>
                  <w:tcW w:w="746" w:type="pct"/>
                  <w:vAlign w:val="center"/>
                  <w:tcBorders>
                    <w:top w:val="single" w:color="000000" w:sz="6" w:space="0"/>
                    <w:left w:val="single" w:color="auto" w:sz="4" w:space="0"/>
                    <w:bottom w:val="single" w:color="000000" w:sz="12" w:space="0"/>
                    <w:right w:val="single" w:color="000000" w:sz="6" w:space="0"/>
                  </w:tcBorders>
                </w:tcPr>
                <w:p w14:paraId="184B72C4">
                  <w:pPr>
                    <w:jc w:val="center"/>
                    <w:contextualSpacing/>
                    <w:rPr>
                      <w:color w:val="auto"/>
                      <w:szCs w:val="21"/>
                    </w:rPr>
                  </w:pPr>
                  <w:r>
                    <w:rPr>
                      <w:color w:val="auto"/>
                      <w:szCs w:val="21"/>
                    </w:rPr>
                    <w:t>厂区内</w:t>
                  </w:r>
                </w:p>
              </w:tc>
              <w:tc>
                <w:tcPr>
                  <w:tcW w:w="747" w:type="pct"/>
                  <w:vAlign w:val="center"/>
                  <w:tcBorders>
                    <w:top w:val="single" w:color="000000" w:sz="6" w:space="0"/>
                    <w:left w:val="single" w:color="000000" w:sz="6" w:space="0"/>
                    <w:bottom w:val="single" w:color="000000" w:sz="12" w:space="0"/>
                    <w:right w:val="single" w:color="000000" w:sz="6" w:space="0"/>
                  </w:tcBorders>
                </w:tcPr>
                <w:p w14:paraId="182EE47E">
                  <w:pPr>
                    <w:jc w:val="center"/>
                    <w:contextualSpacing/>
                    <w:rPr>
                      <w:color w:val="auto"/>
                      <w:szCs w:val="21"/>
                      <w:rFonts w:hAnsi="宋体"/>
                    </w:rPr>
                  </w:pPr>
                  <w:r>
                    <w:rPr>
                      <w:color w:val="auto"/>
                      <w:szCs w:val="21"/>
                      <w:rFonts w:hAnsi="宋体"/>
                    </w:rPr>
                    <w:t>非甲烷总烃</w:t>
                  </w:r>
                </w:p>
              </w:tc>
              <w:tc>
                <w:tcPr>
                  <w:tcW w:w="821" w:type="pct"/>
                  <w:vAlign w:val="center"/>
                  <w:tcBorders>
                    <w:top w:val="single" w:color="000000" w:sz="6" w:space="0"/>
                    <w:left w:val="single" w:color="000000" w:sz="6" w:space="0"/>
                    <w:bottom w:val="single" w:color="000000" w:sz="12" w:space="0"/>
                    <w:right w:val="single" w:color="000000" w:sz="6" w:space="0"/>
                  </w:tcBorders>
                </w:tcPr>
                <w:p w14:paraId="5F0487F7">
                  <w:pPr>
                    <w:jc w:val="center"/>
                    <w:contextualSpacing/>
                    <w:rPr>
                      <w:color w:val="auto"/>
                      <w:szCs w:val="21"/>
                    </w:rPr>
                  </w:pPr>
                  <w:r>
                    <w:rPr>
                      <w:color w:val="auto"/>
                      <w:szCs w:val="21"/>
                    </w:rPr>
                    <w:t>1</w:t>
                  </w:r>
                  <w:r>
                    <w:rPr>
                      <w:color w:val="auto"/>
                      <w:szCs w:val="21"/>
                      <w:rFonts w:hAnsi="宋体"/>
                    </w:rPr>
                    <w:t>次</w:t>
                  </w:r>
                  <w:r>
                    <w:rPr>
                      <w:color w:val="auto"/>
                      <w:szCs w:val="21"/>
                    </w:rPr>
                    <w:t>/</w:t>
                  </w:r>
                  <w:r>
                    <w:rPr>
                      <w:color w:val="auto"/>
                      <w:szCs w:val="21"/>
                      <w:rFonts w:hAnsi="宋体" w:hint="eastAsia"/>
                    </w:rPr>
                    <w:t>季度</w:t>
                  </w:r>
                </w:p>
              </w:tc>
              <w:tc>
                <w:tcPr>
                  <w:tcW w:w="2244" w:type="pct"/>
                  <w:vAlign w:val="center"/>
                  <w:tcBorders>
                    <w:top w:val="single" w:color="000000" w:sz="6" w:space="0"/>
                    <w:left w:val="single" w:color="000000" w:sz="6" w:space="0"/>
                    <w:bottom w:val="single" w:color="000000" w:sz="12" w:space="0"/>
                    <w:right w:val="nil"/>
                  </w:tcBorders>
                </w:tcPr>
                <w:p w14:paraId="2CC36894">
                  <w:pPr>
                    <w:widowControl w:val="1"/>
                    <w:jc w:val="center"/>
                    <w:contextualSpacing/>
                    <w:rPr>
                      <w:color w:val="auto"/>
                      <w:szCs w:val="21"/>
                    </w:rPr>
                  </w:pPr>
                  <w:r>
                    <w:rPr>
                      <w:color w:val="auto"/>
                      <w:szCs w:val="21"/>
                    </w:rPr>
                    <w:t>《挥发性有机物无组织排放标准》（GB</w:t>
                  </w:r>
                  <w:r>
                    <w:rPr>
                      <w:color w:val="auto"/>
                      <w:szCs w:val="21"/>
                      <w:rFonts w:hint="eastAsia"/>
                    </w:rPr>
                    <w:t>37822</w:t>
                  </w:r>
                  <w:r>
                    <w:rPr>
                      <w:color w:val="auto"/>
                      <w:szCs w:val="21"/>
                    </w:rPr>
                    <w:t>-20</w:t>
                  </w:r>
                  <w:r>
                    <w:rPr>
                      <w:color w:val="auto"/>
                      <w:szCs w:val="21"/>
                      <w:rFonts w:hint="eastAsia"/>
                    </w:rPr>
                    <w:t>19</w:t>
                  </w:r>
                  <w:r>
                    <w:rPr>
                      <w:color w:val="auto"/>
                      <w:szCs w:val="21"/>
                    </w:rPr>
                    <w:t>）中表</w:t>
                  </w:r>
                  <w:r>
                    <w:rPr>
                      <w:color w:val="auto"/>
                      <w:szCs w:val="21"/>
                      <w:rFonts w:hint="eastAsia"/>
                    </w:rPr>
                    <w:t>A.1无组织排放限值</w:t>
                  </w:r>
                </w:p>
              </w:tc>
            </w:tr>
          </w:tbl>
          <w:p w14:paraId="0B830A94">
            <w:pPr>
              <w:contextualSpacing/>
              <w:spacing w:line="360" w:lineRule="auto"/>
              <w:ind w:firstLine="482" w:firstLineChars="200"/>
              <w:rPr>
                <w:b w:val="1"/>
                <w:color w:val="auto"/>
                <w:sz w:val="24"/>
                <w:bCs/>
              </w:rPr>
            </w:pPr>
          </w:p>
          <w:p w14:paraId="1345C938">
            <w:pPr>
              <w:contextualSpacing/>
              <w:spacing w:line="360" w:lineRule="auto"/>
              <w:ind w:firstLine="482" w:firstLineChars="200"/>
              <w:rPr>
                <w:b w:val="1"/>
                <w:color w:val="auto"/>
                <w:sz w:val="24"/>
                <w:bCs/>
              </w:rPr>
            </w:pPr>
            <w:r>
              <w:rPr>
                <w:b w:val="1"/>
                <w:color w:val="auto"/>
                <w:sz w:val="24"/>
                <w:bCs/>
              </w:rPr>
              <w:t>（二）废水</w:t>
            </w:r>
          </w:p>
          <w:p w14:paraId="65ECFD46">
            <w:pPr>
              <w:contextualSpacing/>
              <w:spacing w:line="360" w:lineRule="auto"/>
              <w:ind w:firstLine="480" w:firstLineChars="200"/>
              <w:rPr>
                <w:color w:val="auto"/>
                <w:sz w:val="24"/>
                <w:bCs/>
                <w:rFonts w:eastAsiaTheme="minorEastAsia"/>
              </w:rPr>
            </w:pPr>
            <w:r>
              <w:rPr>
                <w:color w:val="auto"/>
                <w:sz w:val="24"/>
                <w:rFonts w:eastAsiaTheme="minorEastAsia"/>
              </w:rPr>
              <w:t>本项目</w:t>
            </w:r>
            <w:r>
              <w:rPr>
                <w:color w:val="auto"/>
                <w:sz w:val="24"/>
                <w:kern w:val="0"/>
              </w:rPr>
              <w:t>无</w:t>
            </w:r>
            <w:r>
              <w:rPr>
                <w:color w:val="auto"/>
                <w:sz w:val="24"/>
              </w:rPr>
              <w:t>生产废水产生</w:t>
            </w:r>
            <w:r>
              <w:rPr>
                <w:color w:val="auto"/>
                <w:sz w:val="24"/>
                <w:rFonts w:eastAsiaTheme="minorEastAsia"/>
              </w:rPr>
              <w:t>；</w:t>
            </w:r>
            <w:r>
              <w:rPr>
                <w:color w:val="auto"/>
                <w:sz w:val="24"/>
                <w:bCs/>
                <w:rFonts w:eastAsiaTheme="minorEastAsia"/>
              </w:rPr>
              <w:t>生活污水总量为</w:t>
            </w:r>
            <w:r>
              <w:rPr>
                <w:color w:val="auto"/>
                <w:sz w:val="24"/>
              </w:rPr>
              <w:t>0.</w:t>
            </w:r>
            <w:r>
              <w:rPr>
                <w:color w:val="auto"/>
                <w:sz w:val="24"/>
                <w:lang w:val="en-US" w:eastAsia="zh-CN"/>
                <w:rFonts w:hint="eastAsia"/>
              </w:rPr>
              <w:t>384</w:t>
            </w:r>
            <w:r>
              <w:rPr>
                <w:color w:val="auto"/>
                <w:sz w:val="24"/>
              </w:rPr>
              <w:t>t/d，</w:t>
            </w:r>
            <w:r>
              <w:rPr>
                <w:color w:val="auto"/>
                <w:sz w:val="24"/>
                <w:lang w:val="en-US" w:eastAsia="zh-CN"/>
                <w:rFonts w:hint="eastAsia"/>
              </w:rPr>
              <w:t>92.16</w:t>
            </w:r>
            <w:r>
              <w:rPr>
                <w:color w:val="auto"/>
                <w:sz w:val="24"/>
              </w:rPr>
              <w:t>t/a</w:t>
            </w:r>
            <w:r>
              <w:rPr>
                <w:color w:val="auto"/>
                <w:sz w:val="24"/>
                <w:bCs/>
                <w:rFonts w:eastAsiaTheme="minorEastAsia"/>
              </w:rPr>
              <w:t>，根据《水工业工程设计手册-建筑和小区给排水》中“12.2.2污水水量和水质”中给出的住宅、各类公共建筑污水水质平均浓度，并结合项目特点，污水中主要污染物浓度分别为COD：</w:t>
            </w:r>
            <w:r>
              <w:rPr>
                <w:color w:val="auto"/>
                <w:sz w:val="24"/>
                <w:bCs/>
                <w:rFonts w:hint="eastAsia" w:eastAsiaTheme="minorEastAsia"/>
              </w:rPr>
              <w:t>45</w:t>
            </w:r>
            <w:r>
              <w:rPr>
                <w:color w:val="auto"/>
                <w:sz w:val="24"/>
                <w:bCs/>
                <w:rFonts w:eastAsiaTheme="minorEastAsia"/>
              </w:rPr>
              <w:t>0mg/L、氨氮：</w:t>
            </w:r>
            <w:r>
              <w:rPr>
                <w:color w:val="auto"/>
                <w:sz w:val="24"/>
                <w:bCs/>
                <w:rFonts w:hint="eastAsia" w:eastAsiaTheme="minorEastAsia"/>
              </w:rPr>
              <w:t>40</w:t>
            </w:r>
            <w:r>
              <w:rPr>
                <w:color w:val="auto"/>
                <w:sz w:val="24"/>
                <w:bCs/>
                <w:rFonts w:eastAsiaTheme="minorEastAsia"/>
              </w:rPr>
              <w:t>mg/L、pH：6.5-7.5、SS：</w:t>
            </w:r>
            <w:r>
              <w:rPr>
                <w:color w:val="auto"/>
                <w:sz w:val="24"/>
                <w:bCs/>
                <w:rFonts w:hint="eastAsia" w:eastAsiaTheme="minorEastAsia"/>
              </w:rPr>
              <w:t>3</w:t>
            </w:r>
            <w:r>
              <w:rPr>
                <w:color w:val="auto"/>
                <w:sz w:val="24"/>
                <w:bCs/>
                <w:rFonts w:eastAsiaTheme="minorEastAsia"/>
              </w:rPr>
              <w:t>00mg/L、BOD</w:t>
            </w:r>
            <w:r>
              <w:rPr>
                <w:vertAlign w:val="subscript"/>
                <w:color w:val="auto"/>
                <w:sz w:val="24"/>
                <w:bCs/>
                <w:rFonts w:eastAsiaTheme="minorEastAsia"/>
              </w:rPr>
              <w:t>5</w:t>
            </w:r>
            <w:r>
              <w:rPr>
                <w:color w:val="auto"/>
                <w:sz w:val="24"/>
                <w:bCs/>
                <w:rFonts w:eastAsiaTheme="minorEastAsia"/>
              </w:rPr>
              <w:t>：</w:t>
            </w:r>
            <w:r>
              <w:rPr>
                <w:color w:val="auto"/>
                <w:sz w:val="24"/>
                <w:bCs/>
                <w:rFonts w:hint="eastAsia" w:eastAsiaTheme="minorEastAsia"/>
              </w:rPr>
              <w:t>25</w:t>
            </w:r>
            <w:r>
              <w:rPr>
                <w:color w:val="auto"/>
                <w:sz w:val="24"/>
                <w:bCs/>
                <w:rFonts w:eastAsiaTheme="minorEastAsia"/>
              </w:rPr>
              <w:t>0mg/L，产生量分别为COD：0.</w:t>
            </w:r>
            <w:r>
              <w:rPr>
                <w:color w:val="auto"/>
                <w:sz w:val="24"/>
                <w:bCs/>
                <w:rFonts w:hint="eastAsia" w:eastAsiaTheme="minorEastAsia"/>
              </w:rPr>
              <w:t>12</w:t>
            </w:r>
            <w:r>
              <w:rPr>
                <w:color w:val="auto"/>
                <w:sz w:val="24"/>
                <w:bCs/>
                <w:rFonts w:eastAsiaTheme="minorEastAsia"/>
              </w:rPr>
              <w:t>t/a、氨氮：0.0</w:t>
            </w:r>
            <w:r>
              <w:rPr>
                <w:color w:val="auto"/>
                <w:sz w:val="24"/>
                <w:bCs/>
                <w:rFonts w:hint="eastAsia" w:eastAsiaTheme="minorEastAsia"/>
              </w:rPr>
              <w:t>1</w:t>
            </w:r>
            <w:r>
              <w:rPr>
                <w:color w:val="auto"/>
                <w:sz w:val="24"/>
                <w:bCs/>
                <w:rFonts w:eastAsiaTheme="minorEastAsia"/>
              </w:rPr>
              <w:t>t/a、SS：0.0</w:t>
            </w:r>
            <w:r>
              <w:rPr>
                <w:color w:val="auto"/>
                <w:sz w:val="24"/>
                <w:bCs/>
                <w:rFonts w:hint="eastAsia" w:eastAsiaTheme="minorEastAsia"/>
              </w:rPr>
              <w:t>8</w:t>
            </w:r>
            <w:r>
              <w:rPr>
                <w:color w:val="auto"/>
                <w:sz w:val="24"/>
                <w:bCs/>
                <w:rFonts w:eastAsiaTheme="minorEastAsia"/>
              </w:rPr>
              <w:t>t/a、BOD</w:t>
            </w:r>
            <w:r>
              <w:rPr>
                <w:vertAlign w:val="subscript"/>
                <w:color w:val="auto"/>
                <w:sz w:val="24"/>
                <w:bCs/>
                <w:rFonts w:eastAsiaTheme="minorEastAsia"/>
              </w:rPr>
              <w:t>5</w:t>
            </w:r>
            <w:r>
              <w:rPr>
                <w:color w:val="auto"/>
                <w:sz w:val="24"/>
                <w:bCs/>
                <w:rFonts w:eastAsiaTheme="minorEastAsia"/>
              </w:rPr>
              <w:t>：0.0</w:t>
            </w:r>
            <w:r>
              <w:rPr>
                <w:color w:val="auto"/>
                <w:sz w:val="24"/>
                <w:bCs/>
                <w:rFonts w:hint="eastAsia" w:eastAsiaTheme="minorEastAsia"/>
              </w:rPr>
              <w:t>6</w:t>
            </w:r>
            <w:r>
              <w:rPr>
                <w:color w:val="auto"/>
                <w:sz w:val="24"/>
                <w:bCs/>
                <w:rFonts w:eastAsiaTheme="minorEastAsia"/>
              </w:rPr>
              <w:t>t/a。生活污水排入防渗旱厕，定期清掏，外运堆肥。</w:t>
            </w:r>
          </w:p>
          <w:p w14:paraId="17AC579A">
            <w:pPr>
              <w:spacing w:line="360" w:lineRule="auto"/>
              <w:ind w:firstLine="480" w:firstLineChars="200"/>
              <w:rPr>
                <w:color w:val="auto"/>
                <w:sz w:val="24"/>
              </w:rPr>
            </w:pPr>
            <w:r>
              <w:rPr>
                <w:color w:val="auto"/>
                <w:sz w:val="24"/>
              </w:rPr>
              <w:t>初期雨水量为</w:t>
            </w:r>
            <w:r>
              <w:rPr>
                <w:color w:val="auto"/>
                <w:sz w:val="24"/>
                <w:rFonts w:hint="eastAsia"/>
              </w:rPr>
              <w:t>351.6</w:t>
            </w:r>
            <w:r>
              <w:rPr>
                <w:color w:val="auto"/>
                <w:sz w:val="24"/>
                <w:lang w:val="en-US" w:eastAsia="zh-CN"/>
                <w:rFonts w:hint="eastAsia"/>
              </w:rPr>
              <w:t>t/a</w:t>
            </w:r>
            <w:r>
              <w:rPr>
                <w:color w:val="auto"/>
                <w:sz w:val="24"/>
              </w:rPr>
              <w:t>。初期雨水经厂区四周排水沟汇入厂区初期雨水池隔油沉淀后，用于</w:t>
            </w:r>
            <w:r>
              <w:rPr>
                <w:color w:val="auto"/>
                <w:sz w:val="24"/>
                <w:rFonts w:hint="eastAsia"/>
              </w:rPr>
              <w:t>洒水</w:t>
            </w:r>
            <w:r>
              <w:rPr>
                <w:color w:val="auto"/>
                <w:sz w:val="24"/>
              </w:rPr>
              <w:t>降尘</w:t>
            </w:r>
            <w:r>
              <w:rPr>
                <w:color w:val="auto"/>
                <w:sz w:val="24"/>
                <w:rFonts w:hint="eastAsia"/>
              </w:rPr>
              <w:t>，不外排</w:t>
            </w:r>
            <w:r>
              <w:rPr>
                <w:color w:val="auto"/>
                <w:sz w:val="24"/>
              </w:rPr>
              <w:t>。</w:t>
            </w:r>
          </w:p>
          <w:p w14:paraId="6A8D211A">
            <w:pPr>
              <w:pStyle w:val="66"/>
              <w:contextualSpacing/>
              <w:spacing w:line="240" w:lineRule="auto"/>
              <w:rPr>
                <w:b w:val="1"/>
                <w:color w:val="auto"/>
                <w:rFonts w:ascii="Times New Roman" w:hAnsi="Times New Roman" w:eastAsia="宋体"/>
              </w:rPr>
            </w:pPr>
            <w:r>
              <w:rPr>
                <w:b w:val="1"/>
                <w:color w:val="auto"/>
                <w:rFonts w:ascii="Times New Roman" w:hAnsi="Times New Roman" w:eastAsia="宋体"/>
              </w:rPr>
              <w:t>表</w:t>
            </w:r>
            <w:r>
              <w:rPr>
                <w:b w:val="1"/>
                <w:color w:val="auto"/>
                <w:lang w:val="en-US" w:eastAsia="zh-CN"/>
                <w:rFonts w:ascii="Times New Roman" w:hAnsi="Times New Roman" w:eastAsia="宋体" w:hint="eastAsia"/>
              </w:rPr>
              <w:t>4-6</w:t>
            </w:r>
            <w:r>
              <w:rPr>
                <w:b w:val="1"/>
                <w:color w:val="auto"/>
                <w:rFonts w:ascii="Times New Roman" w:hAnsi="Times New Roman" w:eastAsia="宋体"/>
              </w:rPr>
              <w:t xml:space="preserve"> 废水污染源源强核算结果及相关参数一览表</w:t>
            </w:r>
          </w:p>
          <w:tbl>
            <w:tblPr>
              <w:tblStyle w:val="27"/>
              <w:tblW w:w="8258" w:type="dxa"/>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473.000000"/>
              <w:gridCol w:w="426.000000"/>
              <w:gridCol w:w="850.000000"/>
              <w:gridCol w:w="709.000000"/>
              <w:gridCol w:w="850.000000"/>
              <w:gridCol w:w="993.000000"/>
              <w:gridCol w:w="425.000000"/>
              <w:gridCol w:w="425.000000"/>
              <w:gridCol w:w="851.000000"/>
              <w:gridCol w:w="708.000000"/>
              <w:gridCol w:w="792.000000"/>
              <w:gridCol w:w="756.000000"/>
            </w:tblGrid>
            <w:tr w14:paraId="5AD13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538" w:hRule="atLeast"/>
                <w:jc w:val="center"/>
              </w:trPr>
              <w:tc>
                <w:tcPr>
                  <w:tcW w:w="473" w:type="dxa"/>
                  <w:vMerge w:val="restart"/>
                  <w:vAlign w:val="center"/>
                </w:tcPr>
                <w:p w14:paraId="680BCD25">
                  <w:pPr>
                    <w:jc w:val="center"/>
                    <w:contextualSpacing/>
                    <w:rPr>
                      <w:color w:val="auto"/>
                      <w:szCs w:val="21"/>
                      <w:rFonts w:eastAsiaTheme="minorEastAsia"/>
                    </w:rPr>
                  </w:pPr>
                  <w:r>
                    <w:rPr>
                      <w:color w:val="auto"/>
                      <w:szCs w:val="21"/>
                      <w:rFonts w:eastAsiaTheme="minorEastAsia"/>
                    </w:rPr>
                    <w:t>产污环节</w:t>
                  </w:r>
                </w:p>
              </w:tc>
              <w:tc>
                <w:tcPr>
                  <w:tcW w:w="426" w:type="dxa"/>
                  <w:vMerge w:val="restart"/>
                  <w:vAlign w:val="center"/>
                </w:tcPr>
                <w:p w14:paraId="7C3A38BF">
                  <w:pPr>
                    <w:jc w:val="center"/>
                    <w:contextualSpacing/>
                    <w:rPr>
                      <w:color w:val="auto"/>
                      <w:szCs w:val="21"/>
                      <w:rFonts w:eastAsiaTheme="minorEastAsia"/>
                    </w:rPr>
                  </w:pPr>
                  <w:r>
                    <w:rPr>
                      <w:color w:val="auto"/>
                      <w:szCs w:val="21"/>
                      <w:rFonts w:eastAsiaTheme="minorEastAsia"/>
                    </w:rPr>
                    <w:t>类别</w:t>
                  </w:r>
                </w:p>
              </w:tc>
              <w:tc>
                <w:tcPr>
                  <w:tcW w:w="850" w:type="dxa"/>
                  <w:vMerge w:val="restart"/>
                  <w:vAlign w:val="center"/>
                </w:tcPr>
                <w:p w14:paraId="1E75DD26">
                  <w:pPr>
                    <w:autoSpaceDE w:val="0"/>
                    <w:autoSpaceDN w:val="0"/>
                    <w:jc w:val="center"/>
                    <w:contextualSpacing/>
                    <w:rPr>
                      <w:color w:val="auto"/>
                      <w:szCs w:val="21"/>
                      <w:rFonts w:eastAsiaTheme="minorEastAsia"/>
                    </w:rPr>
                  </w:pPr>
                  <w:r>
                    <w:rPr>
                      <w:color w:val="auto"/>
                      <w:szCs w:val="21"/>
                      <w:rFonts w:eastAsiaTheme="minorEastAsia"/>
                    </w:rPr>
                    <w:t>污染物种类</w:t>
                  </w:r>
                </w:p>
              </w:tc>
              <w:tc>
                <w:tcPr>
                  <w:tcW w:w="2552" w:type="dxa"/>
                  <w:gridSpan w:val="3"/>
                  <w:vAlign w:val="center"/>
                </w:tcPr>
                <w:p w14:paraId="4C412F5C">
                  <w:pPr>
                    <w:autoSpaceDE w:val="0"/>
                    <w:autoSpaceDN w:val="0"/>
                    <w:jc w:val="center"/>
                    <w:contextualSpacing/>
                    <w:rPr>
                      <w:color w:val="auto"/>
                      <w:szCs w:val="21"/>
                      <w:rFonts w:eastAsiaTheme="minorEastAsia"/>
                    </w:rPr>
                  </w:pPr>
                  <w:r>
                    <w:rPr>
                      <w:color w:val="auto"/>
                      <w:szCs w:val="21"/>
                      <w:rFonts w:eastAsiaTheme="minorEastAsia"/>
                    </w:rPr>
                    <w:t>污染物产生</w:t>
                  </w:r>
                </w:p>
              </w:tc>
              <w:tc>
                <w:tcPr>
                  <w:tcW w:w="1701" w:type="dxa"/>
                  <w:gridSpan w:val="3"/>
                  <w:vAlign w:val="center"/>
                </w:tcPr>
                <w:p w14:paraId="1674ED1C">
                  <w:pPr>
                    <w:autoSpaceDE w:val="0"/>
                    <w:autoSpaceDN w:val="0"/>
                    <w:jc w:val="center"/>
                    <w:contextualSpacing/>
                    <w:rPr>
                      <w:color w:val="auto"/>
                      <w:szCs w:val="21"/>
                      <w:rFonts w:eastAsiaTheme="minorEastAsia"/>
                    </w:rPr>
                  </w:pPr>
                  <w:r>
                    <w:rPr>
                      <w:color w:val="auto"/>
                      <w:szCs w:val="21"/>
                      <w:rFonts w:eastAsiaTheme="minorEastAsia"/>
                    </w:rPr>
                    <w:t>治理措施</w:t>
                  </w:r>
                </w:p>
              </w:tc>
              <w:tc>
                <w:tcPr>
                  <w:tcW w:w="2256" w:type="dxa"/>
                  <w:gridSpan w:val="3"/>
                  <w:vAlign w:val="center"/>
                </w:tcPr>
                <w:p w14:paraId="70833265">
                  <w:pPr>
                    <w:autoSpaceDE w:val="0"/>
                    <w:autoSpaceDN w:val="0"/>
                    <w:jc w:val="center"/>
                    <w:contextualSpacing/>
                    <w:rPr>
                      <w:color w:val="auto"/>
                      <w:szCs w:val="21"/>
                      <w:rFonts w:eastAsiaTheme="minorEastAsia"/>
                    </w:rPr>
                  </w:pPr>
                  <w:r>
                    <w:rPr>
                      <w:color w:val="auto"/>
                      <w:szCs w:val="21"/>
                      <w:rFonts w:eastAsiaTheme="minorEastAsia"/>
                    </w:rPr>
                    <w:t>污染物排放</w:t>
                  </w:r>
                </w:p>
              </w:tc>
            </w:tr>
            <w:tr w14:paraId="7A07B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40" w:hRule="atLeast"/>
                <w:jc w:val="center"/>
              </w:trPr>
              <w:tc>
                <w:tcPr>
                  <w:tcW w:w="473" w:type="dxa"/>
                  <w:vMerge w:val="continue"/>
                  <w:vAlign w:val="center"/>
                </w:tcPr>
                <w:p w14:paraId="1A205641">
                  <w:pPr>
                    <w:autoSpaceDE w:val="0"/>
                    <w:autoSpaceDN w:val="0"/>
                    <w:jc w:val="center"/>
                    <w:contextualSpacing/>
                    <w:spacing w:line="240" w:lineRule="atLeast"/>
                    <w:rPr>
                      <w:color w:val="auto"/>
                      <w:szCs w:val="21"/>
                      <w:rFonts w:eastAsiaTheme="minorEastAsia"/>
                    </w:rPr>
                  </w:pPr>
                </w:p>
              </w:tc>
              <w:tc>
                <w:tcPr>
                  <w:tcW w:w="426" w:type="dxa"/>
                  <w:vMerge w:val="continue"/>
                  <w:vAlign w:val="center"/>
                </w:tcPr>
                <w:p w14:paraId="491990DD">
                  <w:pPr>
                    <w:autoSpaceDE w:val="0"/>
                    <w:autoSpaceDN w:val="0"/>
                    <w:jc w:val="center"/>
                    <w:contextualSpacing/>
                    <w:spacing w:line="240" w:lineRule="atLeast"/>
                    <w:rPr>
                      <w:color w:val="auto"/>
                      <w:szCs w:val="21"/>
                      <w:rFonts w:eastAsiaTheme="minorEastAsia"/>
                    </w:rPr>
                  </w:pPr>
                </w:p>
              </w:tc>
              <w:tc>
                <w:tcPr>
                  <w:tcW w:w="850" w:type="dxa"/>
                  <w:vMerge w:val="continue"/>
                  <w:vAlign w:val="center"/>
                </w:tcPr>
                <w:p w14:paraId="22E762B1">
                  <w:pPr>
                    <w:autoSpaceDE w:val="0"/>
                    <w:autoSpaceDN w:val="0"/>
                    <w:jc w:val="center"/>
                    <w:contextualSpacing/>
                    <w:spacing w:line="240" w:lineRule="atLeast"/>
                    <w:rPr>
                      <w:color w:val="auto"/>
                      <w:szCs w:val="21"/>
                      <w:rFonts w:eastAsiaTheme="minorEastAsia"/>
                    </w:rPr>
                  </w:pPr>
                </w:p>
              </w:tc>
              <w:tc>
                <w:tcPr>
                  <w:tcW w:w="709" w:type="dxa"/>
                  <w:vAlign w:val="center"/>
                </w:tcPr>
                <w:p w14:paraId="74BFE2B8">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废水产生量t/a</w:t>
                  </w:r>
                </w:p>
              </w:tc>
              <w:tc>
                <w:tcPr>
                  <w:tcW w:w="850" w:type="dxa"/>
                  <w:vAlign w:val="center"/>
                </w:tcPr>
                <w:p w14:paraId="5DAB4B5E">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产生浓度</w:t>
                  </w:r>
                </w:p>
                <w:p w14:paraId="5112EC14">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mg/L</w:t>
                  </w:r>
                </w:p>
              </w:tc>
              <w:tc>
                <w:tcPr>
                  <w:tcW w:w="993" w:type="dxa"/>
                  <w:vAlign w:val="center"/>
                </w:tcPr>
                <w:p w14:paraId="4F05D134">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产生量</w:t>
                  </w:r>
                </w:p>
                <w:p w14:paraId="1A23359D">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t/a</w:t>
                  </w:r>
                </w:p>
              </w:tc>
              <w:tc>
                <w:tcPr>
                  <w:tcW w:w="425" w:type="dxa"/>
                  <w:vAlign w:val="center"/>
                </w:tcPr>
                <w:p w14:paraId="04251DFF">
                  <w:pPr>
                    <w:autoSpaceDE w:val="0"/>
                    <w:autoSpaceDN w:val="0"/>
                    <w:jc w:val="center"/>
                    <w:contextualSpacing/>
                    <w:spacing w:line="240" w:lineRule="atLeast"/>
                    <w:rPr>
                      <w:color w:val="auto"/>
                      <w:szCs w:val="21"/>
                      <w:rFonts w:eastAsiaTheme="minorEastAsia"/>
                    </w:rPr>
                  </w:pPr>
                  <w:r>
                    <w:rPr>
                      <w:color w:val="auto"/>
                      <w:szCs w:val="21"/>
                      <w:rFonts w:eastAsiaTheme="minorEastAsia"/>
                    </w:rPr>
                    <w:t>工艺</w:t>
                  </w:r>
                </w:p>
              </w:tc>
              <w:tc>
                <w:tcPr>
                  <w:tcW w:w="425" w:type="dxa"/>
                  <w:vAlign w:val="center"/>
                </w:tcPr>
                <w:p w14:paraId="162F6F25">
                  <w:pPr>
                    <w:autoSpaceDE w:val="0"/>
                    <w:autoSpaceDN w:val="0"/>
                    <w:jc w:val="center"/>
                    <w:contextualSpacing/>
                    <w:spacing w:line="240" w:lineRule="atLeast"/>
                    <w:rPr>
                      <w:color w:val="auto"/>
                      <w:szCs w:val="21"/>
                      <w:rFonts w:eastAsiaTheme="minorEastAsia"/>
                    </w:rPr>
                  </w:pPr>
                  <w:r>
                    <w:rPr>
                      <w:color w:val="auto"/>
                      <w:szCs w:val="21"/>
                      <w:rFonts w:eastAsiaTheme="minorEastAsia"/>
                    </w:rPr>
                    <w:t>效率</w:t>
                  </w:r>
                </w:p>
              </w:tc>
              <w:tc>
                <w:tcPr>
                  <w:tcW w:w="851" w:type="dxa"/>
                  <w:vAlign w:val="center"/>
                </w:tcPr>
                <w:p w14:paraId="0401D229">
                  <w:pPr>
                    <w:autoSpaceDE w:val="0"/>
                    <w:autoSpaceDN w:val="0"/>
                    <w:jc w:val="center"/>
                    <w:contextualSpacing/>
                    <w:spacing w:line="240" w:lineRule="atLeast"/>
                    <w:rPr>
                      <w:color w:val="auto"/>
                      <w:szCs w:val="21"/>
                      <w:rFonts w:eastAsiaTheme="minorEastAsia"/>
                    </w:rPr>
                  </w:pPr>
                  <w:r>
                    <w:rPr>
                      <w:color w:val="auto"/>
                      <w:szCs w:val="21"/>
                      <w:rFonts w:eastAsiaTheme="minorEastAsia"/>
                    </w:rPr>
                    <w:t>是否为可行性技术</w:t>
                  </w:r>
                </w:p>
              </w:tc>
              <w:tc>
                <w:tcPr>
                  <w:tcW w:w="708" w:type="dxa"/>
                  <w:vAlign w:val="center"/>
                </w:tcPr>
                <w:p w14:paraId="20F4E7B5">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废水排放量t/a</w:t>
                  </w:r>
                </w:p>
              </w:tc>
              <w:tc>
                <w:tcPr>
                  <w:tcW w:w="792" w:type="dxa"/>
                  <w:vAlign w:val="center"/>
                </w:tcPr>
                <w:p w14:paraId="6990A426">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排放浓度mg/L</w:t>
                  </w:r>
                </w:p>
              </w:tc>
              <w:tc>
                <w:tcPr>
                  <w:tcW w:w="756" w:type="dxa"/>
                  <w:vAlign w:val="center"/>
                </w:tcPr>
                <w:p w14:paraId="517DC1B6">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排放量</w:t>
                  </w:r>
                </w:p>
                <w:p w14:paraId="4007145B">
                  <w:pPr>
                    <w:pStyle w:val="66"/>
                    <w:contextualSpacing/>
                    <w:rPr>
                      <w:color w:val="auto"/>
                      <w:sz w:val="21"/>
                      <w:szCs w:val="21"/>
                      <w:rFonts w:ascii="Times New Roman" w:hAnsi="Times New Roman" w:eastAsiaTheme="minorEastAsia"/>
                    </w:rPr>
                  </w:pPr>
                  <w:r>
                    <w:rPr>
                      <w:color w:val="auto"/>
                      <w:sz w:val="21"/>
                      <w:szCs w:val="21"/>
                      <w:rFonts w:ascii="Times New Roman" w:hAnsi="Times New Roman" w:eastAsiaTheme="minorEastAsia"/>
                    </w:rPr>
                    <w:t>t/a</w:t>
                  </w:r>
                </w:p>
              </w:tc>
            </w:tr>
            <w:tr w14:paraId="7884B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jc w:val="center"/>
              </w:trPr>
              <w:tc>
                <w:tcPr>
                  <w:tcW w:w="473" w:type="dxa"/>
                  <w:vMerge w:val="restart"/>
                  <w:vAlign w:val="center"/>
                </w:tcPr>
                <w:p w14:paraId="17D64E9C">
                  <w:pPr>
                    <w:autoSpaceDE w:val="0"/>
                    <w:autoSpaceDN w:val="0"/>
                    <w:jc w:val="center"/>
                    <w:contextualSpacing/>
                    <w:spacing w:line="240" w:lineRule="atLeast"/>
                    <w:rPr>
                      <w:color w:val="auto"/>
                      <w:szCs w:val="21"/>
                      <w:rFonts w:eastAsiaTheme="minorEastAsia"/>
                    </w:rPr>
                  </w:pPr>
                  <w:r>
                    <w:rPr>
                      <w:color w:val="auto"/>
                      <w:szCs w:val="21"/>
                      <w:rFonts w:eastAsiaTheme="minorEastAsia"/>
                    </w:rPr>
                    <w:t>员工生活</w:t>
                  </w:r>
                </w:p>
              </w:tc>
              <w:tc>
                <w:tcPr>
                  <w:tcW w:w="426" w:type="dxa"/>
                  <w:vMerge w:val="restart"/>
                  <w:vAlign w:val="center"/>
                </w:tcPr>
                <w:p w14:paraId="29FC1E04">
                  <w:pPr>
                    <w:widowControl w:val="1"/>
                    <w:jc w:val="center"/>
                    <w:contextualSpacing/>
                    <w:spacing w:line="240" w:lineRule="atLeast"/>
                    <w:rPr>
                      <w:color w:val="auto"/>
                      <w:szCs w:val="21"/>
                      <w:rFonts w:eastAsiaTheme="minorEastAsia"/>
                    </w:rPr>
                  </w:pPr>
                  <w:r>
                    <w:rPr>
                      <w:color w:val="auto"/>
                      <w:szCs w:val="21"/>
                      <w:rFonts w:eastAsiaTheme="minorEastAsia"/>
                    </w:rPr>
                    <w:t>生活污水</w:t>
                  </w:r>
                </w:p>
              </w:tc>
              <w:tc>
                <w:tcPr>
                  <w:tcW w:w="850" w:type="dxa"/>
                  <w:vAlign w:val="center"/>
                </w:tcPr>
                <w:p w14:paraId="75BDDC60">
                  <w:pPr>
                    <w:jc w:val="center"/>
                    <w:contextualSpacing/>
                    <w:spacing w:line="240" w:lineRule="atLeast"/>
                    <w:rPr>
                      <w:color w:val="auto"/>
                      <w:szCs w:val="21"/>
                      <w:rFonts w:eastAsiaTheme="minorEastAsia"/>
                    </w:rPr>
                  </w:pPr>
                  <w:r>
                    <w:rPr>
                      <w:color w:val="auto"/>
                      <w:szCs w:val="21"/>
                      <w:rFonts w:eastAsiaTheme="minorEastAsia"/>
                    </w:rPr>
                    <w:t>COD</w:t>
                  </w:r>
                </w:p>
              </w:tc>
              <w:tc>
                <w:tcPr>
                  <w:tcW w:w="709" w:type="dxa"/>
                  <w:vMerge w:val="restart"/>
                  <w:vAlign w:val="center"/>
                </w:tcPr>
                <w:p w14:paraId="720FFB22">
                  <w:pPr>
                    <w:autoSpaceDE w:val="0"/>
                    <w:autoSpaceDN w:val="0"/>
                    <w:jc w:val="center"/>
                    <w:contextualSpacing/>
                    <w:spacing w:line="240" w:lineRule="atLeast"/>
                    <w:rPr>
                      <w:color w:val="auto"/>
                      <w:szCs w:val="21"/>
                      <w:rFonts w:eastAsiaTheme="minorEastAsia"/>
                    </w:rPr>
                  </w:pPr>
                  <w:r>
                    <w:rPr>
                      <w:color w:val="auto"/>
                      <w:sz w:val="21"/>
                      <w:lang w:val="en-US" w:eastAsia="zh-CN"/>
                      <w:szCs w:val="21"/>
                      <w:rFonts w:hint="eastAsia"/>
                    </w:rPr>
                    <w:t>92.16</w:t>
                  </w:r>
                </w:p>
              </w:tc>
              <w:tc>
                <w:tcPr>
                  <w:tcW w:w="850" w:type="dxa"/>
                  <w:vAlign w:val="center"/>
                </w:tcPr>
                <w:p w14:paraId="46AD16C8">
                  <w:pPr>
                    <w:autoSpaceDE w:val="0"/>
                    <w:autoSpaceDN w:val="0"/>
                    <w:jc w:val="center"/>
                    <w:contextualSpacing/>
                    <w:spacing w:line="240" w:lineRule="atLeast"/>
                    <w:rPr>
                      <w:color w:val="auto"/>
                      <w:szCs w:val="21"/>
                      <w:rFonts w:eastAsiaTheme="minorEastAsia"/>
                    </w:rPr>
                  </w:pPr>
                  <w:r>
                    <w:rPr>
                      <w:color w:val="auto"/>
                      <w:szCs w:val="21"/>
                      <w:rFonts w:hint="eastAsia" w:eastAsiaTheme="minorEastAsia"/>
                    </w:rPr>
                    <w:t>45</w:t>
                  </w:r>
                  <w:r>
                    <w:rPr>
                      <w:color w:val="auto"/>
                      <w:szCs w:val="21"/>
                      <w:rFonts w:eastAsiaTheme="minorEastAsia"/>
                    </w:rPr>
                    <w:t>0</w:t>
                  </w:r>
                </w:p>
              </w:tc>
              <w:tc>
                <w:tcPr>
                  <w:tcW w:w="993" w:type="dxa"/>
                  <w:vAlign w:val="center"/>
                </w:tcPr>
                <w:p w14:paraId="7BA6EEAD">
                  <w:pPr>
                    <w:autoSpaceDE w:val="0"/>
                    <w:autoSpaceDN w:val="0"/>
                    <w:jc w:val="center"/>
                    <w:contextualSpacing/>
                    <w:spacing w:line="240" w:lineRule="atLeast"/>
                    <w:rPr>
                      <w:color w:val="auto"/>
                      <w:lang w:val="en-US" w:eastAsia="zh-CN"/>
                      <w:szCs w:val="21"/>
                      <w:rFonts w:hint="default" w:eastAsiaTheme="minorEastAsia"/>
                    </w:rPr>
                  </w:pPr>
                  <w:r>
                    <w:rPr>
                      <w:color w:val="auto"/>
                      <w:szCs w:val="21"/>
                      <w:rFonts w:hint="eastAsia" w:eastAsiaTheme="minorEastAsia"/>
                    </w:rPr>
                    <w:t>0.</w:t>
                  </w:r>
                  <w:r>
                    <w:rPr>
                      <w:color w:val="auto"/>
                      <w:lang w:val="en-US" w:eastAsia="zh-CN"/>
                      <w:szCs w:val="21"/>
                      <w:rFonts w:hint="eastAsia" w:eastAsiaTheme="minorEastAsia"/>
                    </w:rPr>
                    <w:t>03</w:t>
                  </w:r>
                </w:p>
              </w:tc>
              <w:tc>
                <w:tcPr>
                  <w:tcW w:w="425" w:type="dxa"/>
                  <w:vMerge w:val="restart"/>
                  <w:vAlign w:val="center"/>
                </w:tcPr>
                <w:p w14:paraId="6D0D2AAD">
                  <w:pPr>
                    <w:autoSpaceDE w:val="0"/>
                    <w:autoSpaceDN w:val="0"/>
                    <w:jc w:val="center"/>
                    <w:contextualSpacing/>
                    <w:spacing w:line="240" w:lineRule="atLeast"/>
                    <w:rPr>
                      <w:color w:val="auto"/>
                      <w:szCs w:val="21"/>
                      <w:rFonts w:eastAsiaTheme="minorEastAsia"/>
                    </w:rPr>
                  </w:pPr>
                  <w:r>
                    <w:rPr>
                      <w:color w:val="auto"/>
                      <w:szCs w:val="21"/>
                      <w:rFonts w:eastAsiaTheme="minorEastAsia"/>
                    </w:rPr>
                    <w:t>/</w:t>
                  </w:r>
                </w:p>
              </w:tc>
              <w:tc>
                <w:tcPr>
                  <w:tcW w:w="425" w:type="dxa"/>
                  <w:vMerge w:val="restart"/>
                  <w:vAlign w:val="center"/>
                </w:tcPr>
                <w:p w14:paraId="6C7FFBF0">
                  <w:pPr>
                    <w:pStyle w:val="69"/>
                    <w:adjustRightInd w:val="1"/>
                    <w:snapToGrid w:val="1"/>
                    <w:jc w:val="center"/>
                    <w:contextualSpacing/>
                    <w:spacing w:line="240" w:lineRule="atLeast"/>
                    <w:ind w:firstLine="0" w:firstLineChars="0"/>
                    <w:rPr>
                      <w:color w:val="auto"/>
                      <w:sz w:val="21"/>
                      <w:bCs/>
                      <w:szCs w:val="21"/>
                      <w:rFonts w:eastAsiaTheme="minorEastAsia"/>
                    </w:rPr>
                  </w:pPr>
                  <w:r>
                    <w:rPr>
                      <w:color w:val="auto"/>
                      <w:sz w:val="21"/>
                      <w:bCs/>
                      <w:szCs w:val="21"/>
                      <w:rFonts w:eastAsiaTheme="minorEastAsia"/>
                    </w:rPr>
                    <w:t>/</w:t>
                  </w:r>
                </w:p>
              </w:tc>
              <w:tc>
                <w:tcPr>
                  <w:tcW w:w="851" w:type="dxa"/>
                  <w:vMerge w:val="restart"/>
                  <w:vAlign w:val="center"/>
                </w:tcPr>
                <w:p w14:paraId="197A84E7">
                  <w:pPr>
                    <w:pStyle w:val="69"/>
                    <w:adjustRightInd w:val="1"/>
                    <w:snapToGrid w:val="1"/>
                    <w:jc w:val="center"/>
                    <w:contextualSpacing/>
                    <w:spacing w:line="240" w:lineRule="atLeast"/>
                    <w:ind w:firstLine="0" w:firstLineChars="0"/>
                    <w:rPr>
                      <w:color w:val="auto"/>
                      <w:sz w:val="21"/>
                      <w:bCs/>
                      <w:szCs w:val="21"/>
                      <w:rFonts w:eastAsiaTheme="minorEastAsia"/>
                    </w:rPr>
                  </w:pPr>
                  <w:r>
                    <w:rPr>
                      <w:color w:val="auto"/>
                      <w:sz w:val="21"/>
                      <w:szCs w:val="21"/>
                      <w:rFonts w:eastAsiaTheme="minorEastAsia"/>
                    </w:rPr>
                    <w:t>/</w:t>
                  </w:r>
                </w:p>
              </w:tc>
              <w:tc>
                <w:tcPr>
                  <w:tcW w:w="708" w:type="dxa"/>
                  <w:vMerge w:val="restart"/>
                  <w:vAlign w:val="center"/>
                </w:tcPr>
                <w:p w14:paraId="477BBA4F">
                  <w:pPr>
                    <w:autoSpaceDE w:val="0"/>
                    <w:autoSpaceDN w:val="0"/>
                    <w:jc w:val="center"/>
                    <w:contextualSpacing/>
                    <w:spacing w:line="240" w:lineRule="atLeast"/>
                    <w:rPr>
                      <w:color w:val="auto"/>
                      <w:szCs w:val="21"/>
                      <w:rFonts w:eastAsiaTheme="minorEastAsia"/>
                    </w:rPr>
                  </w:pPr>
                  <w:r>
                    <w:rPr>
                      <w:color w:val="auto"/>
                      <w:kern w:val="0"/>
                      <w:szCs w:val="21"/>
                      <w:rFonts w:eastAsiaTheme="minorEastAsia"/>
                    </w:rPr>
                    <w:t>0</w:t>
                  </w:r>
                </w:p>
              </w:tc>
              <w:tc>
                <w:tcPr>
                  <w:tcW w:w="792" w:type="dxa"/>
                  <w:vAlign w:val="center"/>
                </w:tcPr>
                <w:p w14:paraId="7B155EE6">
                  <w:pPr>
                    <w:autoSpaceDE w:val="0"/>
                    <w:autoSpaceDN w:val="0"/>
                    <w:jc w:val="center"/>
                    <w:contextualSpacing/>
                    <w:spacing w:line="240" w:lineRule="atLeast"/>
                    <w:rPr>
                      <w:color w:val="auto"/>
                      <w:szCs w:val="21"/>
                      <w:rFonts w:eastAsiaTheme="minorEastAsia"/>
                    </w:rPr>
                  </w:pPr>
                  <w:r>
                    <w:rPr>
                      <w:color w:val="auto"/>
                      <w:kern w:val="0"/>
                      <w:szCs w:val="21"/>
                      <w:rFonts w:eastAsiaTheme="minorEastAsia"/>
                    </w:rPr>
                    <w:t>0</w:t>
                  </w:r>
                </w:p>
              </w:tc>
              <w:tc>
                <w:tcPr>
                  <w:tcW w:w="756" w:type="dxa"/>
                  <w:vAlign w:val="center"/>
                </w:tcPr>
                <w:p w14:paraId="5D76803F">
                  <w:pPr>
                    <w:autoSpaceDE w:val="0"/>
                    <w:autoSpaceDN w:val="0"/>
                    <w:jc w:val="center"/>
                    <w:contextualSpacing/>
                    <w:spacing w:line="240" w:lineRule="atLeast"/>
                    <w:rPr>
                      <w:color w:val="auto"/>
                      <w:szCs w:val="21"/>
                      <w:rFonts w:eastAsiaTheme="minorEastAsia"/>
                    </w:rPr>
                  </w:pPr>
                  <w:r>
                    <w:rPr>
                      <w:color w:val="auto"/>
                      <w:kern w:val="0"/>
                      <w:szCs w:val="21"/>
                      <w:rFonts w:eastAsiaTheme="minorEastAsia"/>
                    </w:rPr>
                    <w:t>0</w:t>
                  </w:r>
                </w:p>
              </w:tc>
            </w:tr>
            <w:tr w14:paraId="3C45C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77" w:hRule="atLeast"/>
                <w:jc w:val="center"/>
              </w:trPr>
              <w:tc>
                <w:tcPr>
                  <w:tcW w:w="473" w:type="dxa"/>
                  <w:vMerge w:val="continue"/>
                  <w:vAlign w:val="center"/>
                </w:tcPr>
                <w:p w14:paraId="73B738E7">
                  <w:pPr>
                    <w:autoSpaceDE w:val="0"/>
                    <w:autoSpaceDN w:val="0"/>
                    <w:jc w:val="center"/>
                    <w:contextualSpacing/>
                    <w:spacing w:line="240" w:lineRule="atLeast"/>
                    <w:rPr>
                      <w:color w:val="auto"/>
                      <w:szCs w:val="21"/>
                      <w:rFonts w:eastAsiaTheme="minorEastAsia"/>
                    </w:rPr>
                  </w:pPr>
                </w:p>
              </w:tc>
              <w:tc>
                <w:tcPr>
                  <w:tcW w:w="426" w:type="dxa"/>
                  <w:vMerge w:val="continue"/>
                  <w:vAlign w:val="center"/>
                </w:tcPr>
                <w:p w14:paraId="6A845C49">
                  <w:pPr>
                    <w:jc w:val="center"/>
                    <w:contextualSpacing/>
                    <w:spacing w:line="240" w:lineRule="atLeast"/>
                    <w:rPr>
                      <w:color w:val="auto"/>
                      <w:szCs w:val="21"/>
                      <w:rFonts w:eastAsiaTheme="minorEastAsia"/>
                    </w:rPr>
                  </w:pPr>
                </w:p>
              </w:tc>
              <w:tc>
                <w:tcPr>
                  <w:tcW w:w="850" w:type="dxa"/>
                  <w:vAlign w:val="center"/>
                </w:tcPr>
                <w:p w14:paraId="188D6BD3">
                  <w:pPr>
                    <w:jc w:val="center"/>
                    <w:contextualSpacing/>
                    <w:spacing w:line="240" w:lineRule="atLeast"/>
                    <w:rPr>
                      <w:color w:val="auto"/>
                      <w:szCs w:val="21"/>
                      <w:rFonts w:eastAsiaTheme="minorEastAsia"/>
                    </w:rPr>
                  </w:pPr>
                  <w:r>
                    <w:rPr>
                      <w:color w:val="auto"/>
                      <w:szCs w:val="21"/>
                      <w:rFonts w:eastAsiaTheme="minorEastAsia"/>
                    </w:rPr>
                    <w:t>氨氮</w:t>
                  </w:r>
                </w:p>
              </w:tc>
              <w:tc>
                <w:tcPr>
                  <w:tcW w:w="709" w:type="dxa"/>
                  <w:vMerge w:val="continue"/>
                  <w:vAlign w:val="center"/>
                </w:tcPr>
                <w:p w14:paraId="4E33F312">
                  <w:pPr>
                    <w:autoSpaceDE w:val="0"/>
                    <w:autoSpaceDN w:val="0"/>
                    <w:jc w:val="center"/>
                    <w:contextualSpacing/>
                    <w:spacing w:line="240" w:lineRule="atLeast"/>
                    <w:rPr>
                      <w:color w:val="auto"/>
                      <w:szCs w:val="21"/>
                      <w:rFonts w:eastAsiaTheme="minorEastAsia"/>
                    </w:rPr>
                  </w:pPr>
                </w:p>
              </w:tc>
              <w:tc>
                <w:tcPr>
                  <w:tcW w:w="850" w:type="dxa"/>
                  <w:vAlign w:val="center"/>
                </w:tcPr>
                <w:p w14:paraId="379B77D0">
                  <w:pPr>
                    <w:autoSpaceDE w:val="0"/>
                    <w:autoSpaceDN w:val="0"/>
                    <w:jc w:val="center"/>
                    <w:contextualSpacing/>
                    <w:spacing w:line="240" w:lineRule="atLeast"/>
                    <w:rPr>
                      <w:color w:val="auto"/>
                      <w:szCs w:val="21"/>
                      <w:rFonts w:eastAsiaTheme="minorEastAsia"/>
                    </w:rPr>
                  </w:pPr>
                  <w:r>
                    <w:rPr>
                      <w:color w:val="auto"/>
                      <w:szCs w:val="21"/>
                      <w:rFonts w:hint="eastAsia" w:eastAsiaTheme="minorEastAsia"/>
                    </w:rPr>
                    <w:t>40</w:t>
                  </w:r>
                </w:p>
              </w:tc>
              <w:tc>
                <w:tcPr>
                  <w:tcW w:w="993" w:type="dxa"/>
                  <w:vAlign w:val="center"/>
                </w:tcPr>
                <w:p w14:paraId="16517D40">
                  <w:pPr>
                    <w:autoSpaceDE w:val="0"/>
                    <w:autoSpaceDN w:val="0"/>
                    <w:jc w:val="center"/>
                    <w:contextualSpacing/>
                    <w:spacing w:line="240" w:lineRule="atLeast"/>
                    <w:rPr>
                      <w:color w:val="auto"/>
                      <w:lang w:val="en-US" w:eastAsia="zh-CN"/>
                      <w:szCs w:val="21"/>
                      <w:rFonts w:hint="default" w:eastAsiaTheme="minorEastAsia"/>
                    </w:rPr>
                  </w:pPr>
                  <w:r>
                    <w:rPr>
                      <w:color w:val="auto"/>
                      <w:szCs w:val="21"/>
                      <w:rFonts w:hint="eastAsia" w:eastAsiaTheme="minorEastAsia"/>
                    </w:rPr>
                    <w:t>0.0</w:t>
                  </w:r>
                  <w:r>
                    <w:rPr>
                      <w:color w:val="auto"/>
                      <w:lang w:val="en-US" w:eastAsia="zh-CN"/>
                      <w:szCs w:val="21"/>
                      <w:rFonts w:hint="eastAsia" w:eastAsiaTheme="minorEastAsia"/>
                    </w:rPr>
                    <w:t>02</w:t>
                  </w:r>
                </w:p>
              </w:tc>
              <w:tc>
                <w:tcPr>
                  <w:tcW w:w="425" w:type="dxa"/>
                  <w:vMerge w:val="continue"/>
                  <w:vAlign w:val="center"/>
                </w:tcPr>
                <w:p w14:paraId="01D9B3F4">
                  <w:pPr>
                    <w:autoSpaceDE w:val="0"/>
                    <w:autoSpaceDN w:val="0"/>
                    <w:jc w:val="center"/>
                    <w:contextualSpacing/>
                    <w:spacing w:line="240" w:lineRule="atLeast"/>
                    <w:rPr>
                      <w:color w:val="auto"/>
                      <w:szCs w:val="21"/>
                      <w:rFonts w:eastAsiaTheme="minorEastAsia"/>
                    </w:rPr>
                  </w:pPr>
                </w:p>
              </w:tc>
              <w:tc>
                <w:tcPr>
                  <w:tcW w:w="425" w:type="dxa"/>
                  <w:vMerge w:val="continue"/>
                  <w:vAlign w:val="center"/>
                </w:tcPr>
                <w:p w14:paraId="76F6D431">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851" w:type="dxa"/>
                  <w:vMerge w:val="continue"/>
                  <w:vAlign w:val="center"/>
                </w:tcPr>
                <w:p w14:paraId="79CD1383">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708" w:type="dxa"/>
                  <w:vMerge w:val="continue"/>
                  <w:vAlign w:val="center"/>
                </w:tcPr>
                <w:p w14:paraId="32183062">
                  <w:pPr>
                    <w:autoSpaceDE w:val="0"/>
                    <w:autoSpaceDN w:val="0"/>
                    <w:jc w:val="center"/>
                    <w:contextualSpacing/>
                    <w:spacing w:line="240" w:lineRule="atLeast"/>
                    <w:rPr>
                      <w:color w:val="auto"/>
                      <w:szCs w:val="21"/>
                      <w:rFonts w:eastAsiaTheme="minorEastAsia"/>
                    </w:rPr>
                  </w:pPr>
                </w:p>
              </w:tc>
              <w:tc>
                <w:tcPr>
                  <w:tcW w:w="792" w:type="dxa"/>
                  <w:vAlign w:val="center"/>
                </w:tcPr>
                <w:p w14:paraId="7A771D7A">
                  <w:pPr>
                    <w:jc w:val="center"/>
                    <w:spacing w:line="240" w:lineRule="atLeast"/>
                    <w:rPr>
                      <w:color w:val="auto"/>
                      <w:szCs w:val="21"/>
                      <w:rFonts w:eastAsiaTheme="minorEastAsia"/>
                    </w:rPr>
                  </w:pPr>
                  <w:r>
                    <w:rPr>
                      <w:color w:val="auto"/>
                      <w:kern w:val="0"/>
                      <w:szCs w:val="21"/>
                      <w:rFonts w:eastAsiaTheme="minorEastAsia"/>
                    </w:rPr>
                    <w:t>0</w:t>
                  </w:r>
                </w:p>
              </w:tc>
              <w:tc>
                <w:tcPr>
                  <w:tcW w:w="756" w:type="dxa"/>
                  <w:vAlign w:val="center"/>
                </w:tcPr>
                <w:p w14:paraId="2784780B">
                  <w:pPr>
                    <w:jc w:val="center"/>
                    <w:spacing w:line="240" w:lineRule="atLeast"/>
                    <w:rPr>
                      <w:color w:val="auto"/>
                      <w:szCs w:val="21"/>
                      <w:rFonts w:eastAsiaTheme="minorEastAsia"/>
                    </w:rPr>
                  </w:pPr>
                  <w:r>
                    <w:rPr>
                      <w:color w:val="auto"/>
                      <w:kern w:val="0"/>
                      <w:szCs w:val="21"/>
                      <w:rFonts w:eastAsiaTheme="minorEastAsia"/>
                    </w:rPr>
                    <w:t>0</w:t>
                  </w:r>
                </w:p>
              </w:tc>
            </w:tr>
            <w:tr w14:paraId="08A0E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jc w:val="center"/>
              </w:trPr>
              <w:tc>
                <w:tcPr>
                  <w:tcW w:w="473" w:type="dxa"/>
                  <w:vMerge w:val="continue"/>
                  <w:vAlign w:val="center"/>
                </w:tcPr>
                <w:p w14:paraId="657A7026">
                  <w:pPr>
                    <w:autoSpaceDE w:val="0"/>
                    <w:autoSpaceDN w:val="0"/>
                    <w:jc w:val="center"/>
                    <w:contextualSpacing/>
                    <w:spacing w:line="240" w:lineRule="atLeast"/>
                    <w:rPr>
                      <w:color w:val="auto"/>
                      <w:szCs w:val="21"/>
                      <w:rFonts w:eastAsiaTheme="minorEastAsia"/>
                    </w:rPr>
                  </w:pPr>
                </w:p>
              </w:tc>
              <w:tc>
                <w:tcPr>
                  <w:tcW w:w="426" w:type="dxa"/>
                  <w:vMerge w:val="continue"/>
                  <w:vAlign w:val="center"/>
                </w:tcPr>
                <w:p w14:paraId="5D2D617C">
                  <w:pPr>
                    <w:jc w:val="center"/>
                    <w:contextualSpacing/>
                    <w:spacing w:line="240" w:lineRule="atLeast"/>
                    <w:rPr>
                      <w:color w:val="auto"/>
                      <w:szCs w:val="21"/>
                      <w:rFonts w:eastAsiaTheme="minorEastAsia"/>
                    </w:rPr>
                  </w:pPr>
                </w:p>
              </w:tc>
              <w:tc>
                <w:tcPr>
                  <w:tcW w:w="850" w:type="dxa"/>
                  <w:vAlign w:val="center"/>
                </w:tcPr>
                <w:p w14:paraId="58A3C2DB">
                  <w:pPr>
                    <w:jc w:val="center"/>
                    <w:contextualSpacing/>
                    <w:spacing w:line="240" w:lineRule="atLeast"/>
                    <w:rPr>
                      <w:color w:val="auto"/>
                      <w:szCs w:val="21"/>
                      <w:rFonts w:eastAsiaTheme="minorEastAsia"/>
                    </w:rPr>
                  </w:pPr>
                  <w:r>
                    <w:rPr>
                      <w:color w:val="auto"/>
                      <w:szCs w:val="21"/>
                      <w:rFonts w:eastAsiaTheme="minorEastAsia"/>
                    </w:rPr>
                    <w:t>SS</w:t>
                  </w:r>
                </w:p>
              </w:tc>
              <w:tc>
                <w:tcPr>
                  <w:tcW w:w="709" w:type="dxa"/>
                  <w:vMerge w:val="continue"/>
                  <w:vAlign w:val="center"/>
                </w:tcPr>
                <w:p w14:paraId="3ADBD447">
                  <w:pPr>
                    <w:autoSpaceDE w:val="0"/>
                    <w:autoSpaceDN w:val="0"/>
                    <w:jc w:val="center"/>
                    <w:contextualSpacing/>
                    <w:spacing w:line="240" w:lineRule="atLeast"/>
                    <w:rPr>
                      <w:color w:val="auto"/>
                      <w:szCs w:val="21"/>
                      <w:rFonts w:eastAsiaTheme="minorEastAsia"/>
                    </w:rPr>
                  </w:pPr>
                </w:p>
              </w:tc>
              <w:tc>
                <w:tcPr>
                  <w:tcW w:w="850" w:type="dxa"/>
                  <w:vAlign w:val="center"/>
                </w:tcPr>
                <w:p w14:paraId="55E6AB14">
                  <w:pPr>
                    <w:autoSpaceDE w:val="0"/>
                    <w:autoSpaceDN w:val="0"/>
                    <w:jc w:val="center"/>
                    <w:contextualSpacing/>
                    <w:spacing w:line="240" w:lineRule="atLeast"/>
                    <w:rPr>
                      <w:color w:val="auto"/>
                      <w:szCs w:val="21"/>
                      <w:rFonts w:eastAsiaTheme="minorEastAsia"/>
                    </w:rPr>
                  </w:pPr>
                  <w:r>
                    <w:rPr>
                      <w:color w:val="auto"/>
                      <w:szCs w:val="21"/>
                      <w:rFonts w:hint="eastAsia" w:eastAsiaTheme="minorEastAsia"/>
                    </w:rPr>
                    <w:t>3</w:t>
                  </w:r>
                  <w:r>
                    <w:rPr>
                      <w:color w:val="auto"/>
                      <w:szCs w:val="21"/>
                      <w:rFonts w:eastAsiaTheme="minorEastAsia"/>
                    </w:rPr>
                    <w:t>00</w:t>
                  </w:r>
                </w:p>
              </w:tc>
              <w:tc>
                <w:tcPr>
                  <w:tcW w:w="993" w:type="dxa"/>
                  <w:vAlign w:val="center"/>
                </w:tcPr>
                <w:p w14:paraId="59A98341">
                  <w:pPr>
                    <w:autoSpaceDE w:val="0"/>
                    <w:autoSpaceDN w:val="0"/>
                    <w:jc w:val="center"/>
                    <w:contextualSpacing/>
                    <w:spacing w:line="240" w:lineRule="atLeast"/>
                    <w:rPr>
                      <w:color w:val="auto"/>
                      <w:szCs w:val="21"/>
                      <w:rFonts w:eastAsiaTheme="minorEastAsia"/>
                    </w:rPr>
                  </w:pPr>
                  <w:r>
                    <w:rPr>
                      <w:color w:val="auto"/>
                      <w:szCs w:val="21"/>
                      <w:rFonts w:hint="eastAsia" w:eastAsiaTheme="minorEastAsia"/>
                    </w:rPr>
                    <w:t>0.0</w:t>
                  </w:r>
                  <w:r>
                    <w:rPr>
                      <w:color w:val="auto"/>
                      <w:lang w:val="en-US" w:eastAsia="zh-CN"/>
                      <w:szCs w:val="21"/>
                      <w:rFonts w:hint="eastAsia" w:eastAsiaTheme="minorEastAsia"/>
                    </w:rPr>
                    <w:t>1</w:t>
                  </w:r>
                  <w:r>
                    <w:rPr>
                      <w:color w:val="auto"/>
                      <w:szCs w:val="21"/>
                      <w:rFonts w:hint="eastAsia" w:eastAsiaTheme="minorEastAsia"/>
                    </w:rPr>
                    <w:t>8</w:t>
                  </w:r>
                </w:p>
              </w:tc>
              <w:tc>
                <w:tcPr>
                  <w:tcW w:w="425" w:type="dxa"/>
                  <w:vMerge w:val="continue"/>
                  <w:vAlign w:val="center"/>
                </w:tcPr>
                <w:p w14:paraId="39BE5D1B">
                  <w:pPr>
                    <w:autoSpaceDE w:val="0"/>
                    <w:autoSpaceDN w:val="0"/>
                    <w:jc w:val="center"/>
                    <w:contextualSpacing/>
                    <w:spacing w:line="240" w:lineRule="atLeast"/>
                    <w:rPr>
                      <w:color w:val="auto"/>
                      <w:szCs w:val="21"/>
                      <w:rFonts w:eastAsiaTheme="minorEastAsia"/>
                    </w:rPr>
                  </w:pPr>
                </w:p>
              </w:tc>
              <w:tc>
                <w:tcPr>
                  <w:tcW w:w="425" w:type="dxa"/>
                  <w:vMerge w:val="continue"/>
                  <w:vAlign w:val="center"/>
                </w:tcPr>
                <w:p w14:paraId="4DDE2F9A">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851" w:type="dxa"/>
                  <w:vMerge w:val="continue"/>
                  <w:vAlign w:val="center"/>
                </w:tcPr>
                <w:p w14:paraId="485DED82">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708" w:type="dxa"/>
                  <w:vMerge w:val="continue"/>
                  <w:vAlign w:val="center"/>
                </w:tcPr>
                <w:p w14:paraId="436BA4A3">
                  <w:pPr>
                    <w:autoSpaceDE w:val="0"/>
                    <w:autoSpaceDN w:val="0"/>
                    <w:jc w:val="center"/>
                    <w:contextualSpacing/>
                    <w:spacing w:line="240" w:lineRule="atLeast"/>
                    <w:rPr>
                      <w:color w:val="auto"/>
                      <w:szCs w:val="21"/>
                      <w:rFonts w:eastAsiaTheme="minorEastAsia"/>
                    </w:rPr>
                  </w:pPr>
                </w:p>
              </w:tc>
              <w:tc>
                <w:tcPr>
                  <w:tcW w:w="792" w:type="dxa"/>
                  <w:vAlign w:val="center"/>
                </w:tcPr>
                <w:p w14:paraId="0C52CD90">
                  <w:pPr>
                    <w:jc w:val="center"/>
                    <w:spacing w:line="240" w:lineRule="atLeast"/>
                    <w:rPr>
                      <w:color w:val="auto"/>
                      <w:szCs w:val="21"/>
                      <w:rFonts w:eastAsiaTheme="minorEastAsia"/>
                    </w:rPr>
                  </w:pPr>
                  <w:r>
                    <w:rPr>
                      <w:color w:val="auto"/>
                      <w:kern w:val="0"/>
                      <w:szCs w:val="21"/>
                      <w:rFonts w:eastAsiaTheme="minorEastAsia"/>
                    </w:rPr>
                    <w:t>0</w:t>
                  </w:r>
                </w:p>
              </w:tc>
              <w:tc>
                <w:tcPr>
                  <w:tcW w:w="756" w:type="dxa"/>
                  <w:vAlign w:val="center"/>
                </w:tcPr>
                <w:p w14:paraId="5475CAF1">
                  <w:pPr>
                    <w:jc w:val="center"/>
                    <w:spacing w:line="240" w:lineRule="atLeast"/>
                    <w:rPr>
                      <w:color w:val="auto"/>
                      <w:szCs w:val="21"/>
                      <w:rFonts w:eastAsiaTheme="minorEastAsia"/>
                    </w:rPr>
                  </w:pPr>
                  <w:r>
                    <w:rPr>
                      <w:color w:val="auto"/>
                      <w:kern w:val="0"/>
                      <w:szCs w:val="21"/>
                      <w:rFonts w:eastAsiaTheme="minorEastAsia"/>
                    </w:rPr>
                    <w:t>0</w:t>
                  </w:r>
                </w:p>
              </w:tc>
            </w:tr>
            <w:tr w14:paraId="5EEBF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jc w:val="center"/>
              </w:trPr>
              <w:tc>
                <w:tcPr>
                  <w:tcW w:w="473" w:type="dxa"/>
                  <w:vMerge w:val="continue"/>
                  <w:vAlign w:val="center"/>
                </w:tcPr>
                <w:p w14:paraId="35B02785">
                  <w:pPr>
                    <w:autoSpaceDE w:val="0"/>
                    <w:autoSpaceDN w:val="0"/>
                    <w:jc w:val="center"/>
                    <w:contextualSpacing/>
                    <w:spacing w:line="240" w:lineRule="atLeast"/>
                    <w:rPr>
                      <w:color w:val="auto"/>
                      <w:szCs w:val="21"/>
                      <w:rFonts w:eastAsiaTheme="minorEastAsia"/>
                    </w:rPr>
                  </w:pPr>
                </w:p>
              </w:tc>
              <w:tc>
                <w:tcPr>
                  <w:tcW w:w="426" w:type="dxa"/>
                  <w:vMerge w:val="continue"/>
                  <w:vAlign w:val="center"/>
                </w:tcPr>
                <w:p w14:paraId="3AB325D1">
                  <w:pPr>
                    <w:jc w:val="center"/>
                    <w:contextualSpacing/>
                    <w:spacing w:line="240" w:lineRule="atLeast"/>
                    <w:rPr>
                      <w:color w:val="auto"/>
                      <w:szCs w:val="21"/>
                      <w:rFonts w:eastAsiaTheme="minorEastAsia"/>
                    </w:rPr>
                  </w:pPr>
                </w:p>
              </w:tc>
              <w:tc>
                <w:tcPr>
                  <w:tcW w:w="850" w:type="dxa"/>
                  <w:vAlign w:val="center"/>
                </w:tcPr>
                <w:p w14:paraId="6BE8139B">
                  <w:pPr>
                    <w:jc w:val="center"/>
                    <w:contextualSpacing/>
                    <w:spacing w:line="240" w:lineRule="atLeast"/>
                    <w:rPr>
                      <w:color w:val="auto"/>
                      <w:szCs w:val="21"/>
                      <w:rFonts w:eastAsiaTheme="minorEastAsia"/>
                    </w:rPr>
                  </w:pPr>
                  <w:r>
                    <w:rPr>
                      <w:color w:val="auto"/>
                      <w:szCs w:val="21"/>
                      <w:rFonts w:eastAsiaTheme="minorEastAsia"/>
                    </w:rPr>
                    <w:t>pH</w:t>
                  </w:r>
                </w:p>
              </w:tc>
              <w:tc>
                <w:tcPr>
                  <w:tcW w:w="709" w:type="dxa"/>
                  <w:vMerge w:val="continue"/>
                  <w:vAlign w:val="center"/>
                </w:tcPr>
                <w:p w14:paraId="4500D349">
                  <w:pPr>
                    <w:autoSpaceDE w:val="0"/>
                    <w:autoSpaceDN w:val="0"/>
                    <w:jc w:val="center"/>
                    <w:contextualSpacing/>
                    <w:spacing w:line="240" w:lineRule="atLeast"/>
                    <w:rPr>
                      <w:color w:val="auto"/>
                      <w:szCs w:val="21"/>
                      <w:rFonts w:eastAsiaTheme="minorEastAsia"/>
                    </w:rPr>
                  </w:pPr>
                </w:p>
              </w:tc>
              <w:tc>
                <w:tcPr>
                  <w:tcW w:w="850" w:type="dxa"/>
                  <w:vAlign w:val="center"/>
                </w:tcPr>
                <w:p w14:paraId="68512078">
                  <w:pPr>
                    <w:autoSpaceDE w:val="0"/>
                    <w:autoSpaceDN w:val="0"/>
                    <w:jc w:val="center"/>
                    <w:contextualSpacing/>
                    <w:spacing w:line="240" w:lineRule="atLeast"/>
                    <w:rPr>
                      <w:color w:val="auto"/>
                      <w:szCs w:val="21"/>
                      <w:rFonts w:eastAsiaTheme="minorEastAsia"/>
                    </w:rPr>
                  </w:pPr>
                  <w:r>
                    <w:rPr>
                      <w:color w:val="auto"/>
                      <w:szCs w:val="21"/>
                      <w:rFonts w:eastAsiaTheme="minorEastAsia"/>
                    </w:rPr>
                    <w:t>6.5-7.5</w:t>
                  </w:r>
                </w:p>
              </w:tc>
              <w:tc>
                <w:tcPr>
                  <w:tcW w:w="993" w:type="dxa"/>
                  <w:vAlign w:val="center"/>
                </w:tcPr>
                <w:p w14:paraId="69FB0F8A">
                  <w:pPr>
                    <w:autoSpaceDE w:val="0"/>
                    <w:autoSpaceDN w:val="0"/>
                    <w:jc w:val="center"/>
                    <w:contextualSpacing/>
                    <w:spacing w:line="240" w:lineRule="atLeast"/>
                    <w:rPr>
                      <w:color w:val="auto"/>
                      <w:szCs w:val="21"/>
                      <w:rFonts w:eastAsiaTheme="minorEastAsia"/>
                    </w:rPr>
                  </w:pPr>
                  <w:r>
                    <w:rPr>
                      <w:color w:val="auto"/>
                      <w:szCs w:val="21"/>
                      <w:rFonts w:eastAsiaTheme="minorEastAsia"/>
                    </w:rPr>
                    <w:t>/</w:t>
                  </w:r>
                </w:p>
              </w:tc>
              <w:tc>
                <w:tcPr>
                  <w:tcW w:w="425" w:type="dxa"/>
                  <w:vMerge w:val="continue"/>
                  <w:vAlign w:val="center"/>
                </w:tcPr>
                <w:p w14:paraId="457CA8A3">
                  <w:pPr>
                    <w:autoSpaceDE w:val="0"/>
                    <w:autoSpaceDN w:val="0"/>
                    <w:jc w:val="center"/>
                    <w:contextualSpacing/>
                    <w:spacing w:line="240" w:lineRule="atLeast"/>
                    <w:rPr>
                      <w:color w:val="auto"/>
                      <w:szCs w:val="21"/>
                      <w:rFonts w:eastAsiaTheme="minorEastAsia"/>
                    </w:rPr>
                  </w:pPr>
                </w:p>
              </w:tc>
              <w:tc>
                <w:tcPr>
                  <w:tcW w:w="425" w:type="dxa"/>
                  <w:vMerge w:val="continue"/>
                  <w:vAlign w:val="center"/>
                </w:tcPr>
                <w:p w14:paraId="3125A332">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851" w:type="dxa"/>
                  <w:vMerge w:val="continue"/>
                  <w:vAlign w:val="center"/>
                </w:tcPr>
                <w:p w14:paraId="65C444EF">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708" w:type="dxa"/>
                  <w:vMerge w:val="continue"/>
                  <w:vAlign w:val="center"/>
                </w:tcPr>
                <w:p w14:paraId="102DA816">
                  <w:pPr>
                    <w:autoSpaceDE w:val="0"/>
                    <w:autoSpaceDN w:val="0"/>
                    <w:jc w:val="center"/>
                    <w:contextualSpacing/>
                    <w:spacing w:line="240" w:lineRule="atLeast"/>
                    <w:rPr>
                      <w:color w:val="auto"/>
                      <w:szCs w:val="21"/>
                      <w:rFonts w:eastAsiaTheme="minorEastAsia"/>
                    </w:rPr>
                  </w:pPr>
                </w:p>
              </w:tc>
              <w:tc>
                <w:tcPr>
                  <w:tcW w:w="792" w:type="dxa"/>
                  <w:vAlign w:val="center"/>
                </w:tcPr>
                <w:p w14:paraId="75A6C828">
                  <w:pPr>
                    <w:jc w:val="center"/>
                    <w:spacing w:line="240" w:lineRule="atLeast"/>
                    <w:rPr>
                      <w:color w:val="auto"/>
                      <w:szCs w:val="21"/>
                      <w:rFonts w:eastAsiaTheme="minorEastAsia"/>
                    </w:rPr>
                  </w:pPr>
                  <w:r>
                    <w:rPr>
                      <w:color w:val="auto"/>
                      <w:kern w:val="0"/>
                      <w:szCs w:val="21"/>
                      <w:rFonts w:eastAsiaTheme="minorEastAsia"/>
                    </w:rPr>
                    <w:t>0</w:t>
                  </w:r>
                </w:p>
              </w:tc>
              <w:tc>
                <w:tcPr>
                  <w:tcW w:w="756" w:type="dxa"/>
                  <w:vAlign w:val="center"/>
                </w:tcPr>
                <w:p w14:paraId="53ABD6B3">
                  <w:pPr>
                    <w:jc w:val="center"/>
                    <w:spacing w:line="240" w:lineRule="atLeast"/>
                    <w:rPr>
                      <w:color w:val="auto"/>
                      <w:szCs w:val="21"/>
                      <w:rFonts w:eastAsiaTheme="minorEastAsia"/>
                    </w:rPr>
                  </w:pPr>
                  <w:r>
                    <w:rPr>
                      <w:color w:val="auto"/>
                      <w:kern w:val="0"/>
                      <w:szCs w:val="21"/>
                      <w:rFonts w:eastAsiaTheme="minorEastAsia"/>
                    </w:rPr>
                    <w:t>0</w:t>
                  </w:r>
                </w:p>
              </w:tc>
            </w:tr>
            <w:tr w14:paraId="3127B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jc w:val="center"/>
              </w:trPr>
              <w:tc>
                <w:tcPr>
                  <w:tcW w:w="473" w:type="dxa"/>
                  <w:vMerge w:val="continue"/>
                  <w:vAlign w:val="center"/>
                </w:tcPr>
                <w:p w14:paraId="09572432">
                  <w:pPr>
                    <w:autoSpaceDE w:val="0"/>
                    <w:autoSpaceDN w:val="0"/>
                    <w:jc w:val="center"/>
                    <w:contextualSpacing/>
                    <w:spacing w:line="240" w:lineRule="atLeast"/>
                    <w:rPr>
                      <w:color w:val="auto"/>
                      <w:szCs w:val="21"/>
                      <w:rFonts w:eastAsiaTheme="minorEastAsia"/>
                    </w:rPr>
                  </w:pPr>
                </w:p>
              </w:tc>
              <w:tc>
                <w:tcPr>
                  <w:tcW w:w="426" w:type="dxa"/>
                  <w:vMerge w:val="continue"/>
                  <w:vAlign w:val="center"/>
                </w:tcPr>
                <w:p w14:paraId="69F80EFA">
                  <w:pPr>
                    <w:jc w:val="center"/>
                    <w:contextualSpacing/>
                    <w:spacing w:line="240" w:lineRule="atLeast"/>
                    <w:rPr>
                      <w:color w:val="auto"/>
                      <w:szCs w:val="21"/>
                      <w:rFonts w:eastAsiaTheme="minorEastAsia"/>
                    </w:rPr>
                  </w:pPr>
                </w:p>
              </w:tc>
              <w:tc>
                <w:tcPr>
                  <w:tcW w:w="850" w:type="dxa"/>
                  <w:vAlign w:val="center"/>
                </w:tcPr>
                <w:p w14:paraId="009494F7">
                  <w:pPr>
                    <w:jc w:val="center"/>
                    <w:contextualSpacing/>
                    <w:spacing w:line="240" w:lineRule="atLeast"/>
                    <w:rPr>
                      <w:color w:val="auto"/>
                      <w:szCs w:val="21"/>
                      <w:rFonts w:eastAsiaTheme="minorEastAsia"/>
                    </w:rPr>
                  </w:pPr>
                  <w:r>
                    <w:rPr>
                      <w:color w:val="auto"/>
                      <w:szCs w:val="21"/>
                      <w:rFonts w:eastAsiaTheme="minorEastAsia"/>
                    </w:rPr>
                    <w:t>BOD</w:t>
                  </w:r>
                  <w:r>
                    <w:rPr>
                      <w:vertAlign w:val="subscript"/>
                      <w:color w:val="auto"/>
                      <w:szCs w:val="21"/>
                      <w:rFonts w:eastAsiaTheme="minorEastAsia"/>
                    </w:rPr>
                    <w:t>5</w:t>
                  </w:r>
                </w:p>
              </w:tc>
              <w:tc>
                <w:tcPr>
                  <w:tcW w:w="709" w:type="dxa"/>
                  <w:vMerge w:val="continue"/>
                  <w:vAlign w:val="center"/>
                </w:tcPr>
                <w:p w14:paraId="408FA9C2">
                  <w:pPr>
                    <w:autoSpaceDE w:val="0"/>
                    <w:autoSpaceDN w:val="0"/>
                    <w:jc w:val="center"/>
                    <w:contextualSpacing/>
                    <w:spacing w:line="240" w:lineRule="atLeast"/>
                    <w:rPr>
                      <w:color w:val="auto"/>
                      <w:szCs w:val="21"/>
                      <w:rFonts w:eastAsiaTheme="minorEastAsia"/>
                    </w:rPr>
                  </w:pPr>
                </w:p>
              </w:tc>
              <w:tc>
                <w:tcPr>
                  <w:tcW w:w="850" w:type="dxa"/>
                  <w:vAlign w:val="center"/>
                </w:tcPr>
                <w:p w14:paraId="24B709B1">
                  <w:pPr>
                    <w:autoSpaceDE w:val="0"/>
                    <w:autoSpaceDN w:val="0"/>
                    <w:jc w:val="center"/>
                    <w:contextualSpacing/>
                    <w:spacing w:line="240" w:lineRule="atLeast"/>
                    <w:rPr>
                      <w:color w:val="auto"/>
                      <w:szCs w:val="21"/>
                      <w:rFonts w:eastAsiaTheme="minorEastAsia"/>
                    </w:rPr>
                  </w:pPr>
                  <w:r>
                    <w:rPr>
                      <w:color w:val="auto"/>
                      <w:szCs w:val="21"/>
                      <w:rFonts w:hint="eastAsia" w:eastAsiaTheme="minorEastAsia"/>
                    </w:rPr>
                    <w:t>250</w:t>
                  </w:r>
                </w:p>
              </w:tc>
              <w:tc>
                <w:tcPr>
                  <w:tcW w:w="993" w:type="dxa"/>
                  <w:vAlign w:val="center"/>
                </w:tcPr>
                <w:p w14:paraId="7A1AE9CE">
                  <w:pPr>
                    <w:autoSpaceDE w:val="0"/>
                    <w:autoSpaceDN w:val="0"/>
                    <w:jc w:val="center"/>
                    <w:contextualSpacing/>
                    <w:spacing w:line="240" w:lineRule="atLeast"/>
                    <w:rPr>
                      <w:color w:val="auto"/>
                      <w:szCs w:val="21"/>
                      <w:rFonts w:eastAsiaTheme="minorEastAsia"/>
                    </w:rPr>
                  </w:pPr>
                  <w:r>
                    <w:rPr>
                      <w:color w:val="auto"/>
                      <w:szCs w:val="21"/>
                      <w:rFonts w:hint="eastAsia" w:eastAsiaTheme="minorEastAsia"/>
                    </w:rPr>
                    <w:t>0.0</w:t>
                  </w:r>
                  <w:r>
                    <w:rPr>
                      <w:color w:val="auto"/>
                      <w:lang w:val="en-US" w:eastAsia="zh-CN"/>
                      <w:szCs w:val="21"/>
                      <w:rFonts w:hint="eastAsia" w:eastAsiaTheme="minorEastAsia"/>
                    </w:rPr>
                    <w:t>1</w:t>
                  </w:r>
                  <w:r>
                    <w:rPr>
                      <w:color w:val="auto"/>
                      <w:szCs w:val="21"/>
                      <w:rFonts w:hint="eastAsia" w:eastAsiaTheme="minorEastAsia"/>
                    </w:rPr>
                    <w:t>6</w:t>
                  </w:r>
                </w:p>
              </w:tc>
              <w:tc>
                <w:tcPr>
                  <w:tcW w:w="425" w:type="dxa"/>
                  <w:vMerge w:val="continue"/>
                  <w:vAlign w:val="center"/>
                </w:tcPr>
                <w:p w14:paraId="529BDEB0">
                  <w:pPr>
                    <w:autoSpaceDE w:val="0"/>
                    <w:autoSpaceDN w:val="0"/>
                    <w:jc w:val="center"/>
                    <w:contextualSpacing/>
                    <w:spacing w:line="240" w:lineRule="atLeast"/>
                    <w:rPr>
                      <w:color w:val="auto"/>
                      <w:szCs w:val="21"/>
                      <w:rFonts w:eastAsiaTheme="minorEastAsia"/>
                    </w:rPr>
                  </w:pPr>
                </w:p>
              </w:tc>
              <w:tc>
                <w:tcPr>
                  <w:tcW w:w="425" w:type="dxa"/>
                  <w:vMerge w:val="continue"/>
                  <w:vAlign w:val="center"/>
                </w:tcPr>
                <w:p w14:paraId="0AEE586F">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851" w:type="dxa"/>
                  <w:vMerge w:val="continue"/>
                  <w:vAlign w:val="center"/>
                </w:tcPr>
                <w:p w14:paraId="601D9775">
                  <w:pPr>
                    <w:pStyle w:val="69"/>
                    <w:adjustRightInd w:val="1"/>
                    <w:snapToGrid w:val="1"/>
                    <w:jc w:val="center"/>
                    <w:contextualSpacing/>
                    <w:spacing w:line="240" w:lineRule="atLeast"/>
                    <w:ind w:firstLine="0" w:firstLineChars="0"/>
                    <w:rPr>
                      <w:color w:val="auto"/>
                      <w:sz w:val="21"/>
                      <w:bCs/>
                      <w:szCs w:val="21"/>
                      <w:rFonts w:eastAsiaTheme="minorEastAsia"/>
                    </w:rPr>
                  </w:pPr>
                </w:p>
              </w:tc>
              <w:tc>
                <w:tcPr>
                  <w:tcW w:w="708" w:type="dxa"/>
                  <w:vMerge w:val="continue"/>
                  <w:vAlign w:val="center"/>
                </w:tcPr>
                <w:p w14:paraId="38541016">
                  <w:pPr>
                    <w:autoSpaceDE w:val="0"/>
                    <w:autoSpaceDN w:val="0"/>
                    <w:jc w:val="center"/>
                    <w:contextualSpacing/>
                    <w:spacing w:line="240" w:lineRule="atLeast"/>
                    <w:rPr>
                      <w:color w:val="auto"/>
                      <w:szCs w:val="21"/>
                      <w:rFonts w:eastAsiaTheme="minorEastAsia"/>
                    </w:rPr>
                  </w:pPr>
                </w:p>
              </w:tc>
              <w:tc>
                <w:tcPr>
                  <w:tcW w:w="792" w:type="dxa"/>
                  <w:vAlign w:val="center"/>
                </w:tcPr>
                <w:p w14:paraId="24681FA5">
                  <w:pPr>
                    <w:jc w:val="center"/>
                    <w:spacing w:line="240" w:lineRule="atLeast"/>
                    <w:rPr>
                      <w:color w:val="auto"/>
                      <w:szCs w:val="21"/>
                      <w:rFonts w:eastAsiaTheme="minorEastAsia"/>
                    </w:rPr>
                  </w:pPr>
                  <w:r>
                    <w:rPr>
                      <w:color w:val="auto"/>
                      <w:kern w:val="0"/>
                      <w:szCs w:val="21"/>
                      <w:rFonts w:eastAsiaTheme="minorEastAsia"/>
                    </w:rPr>
                    <w:t>0</w:t>
                  </w:r>
                </w:p>
              </w:tc>
              <w:tc>
                <w:tcPr>
                  <w:tcW w:w="756" w:type="dxa"/>
                  <w:vAlign w:val="center"/>
                </w:tcPr>
                <w:p w14:paraId="78F0171D">
                  <w:pPr>
                    <w:jc w:val="center"/>
                    <w:spacing w:line="240" w:lineRule="atLeast"/>
                    <w:rPr>
                      <w:color w:val="auto"/>
                      <w:szCs w:val="21"/>
                      <w:rFonts w:eastAsiaTheme="minorEastAsia"/>
                    </w:rPr>
                  </w:pPr>
                  <w:r>
                    <w:rPr>
                      <w:color w:val="auto"/>
                      <w:kern w:val="0"/>
                      <w:szCs w:val="21"/>
                      <w:rFonts w:eastAsiaTheme="minorEastAsia"/>
                    </w:rPr>
                    <w:t>0</w:t>
                  </w:r>
                </w:p>
              </w:tc>
            </w:tr>
          </w:tbl>
          <w:p w14:paraId="2D415A07">
            <w:pPr>
              <w:contextualSpacing/>
              <w:spacing w:line="360" w:lineRule="auto"/>
              <w:ind w:firstLine="482" w:firstLineChars="200"/>
              <w:rPr>
                <w:b w:val="1"/>
                <w:color w:val="auto"/>
                <w:sz w:val="24"/>
                <w:bCs/>
                <w:rFonts w:eastAsiaTheme="minorEastAsia"/>
              </w:rPr>
            </w:pPr>
            <w:r>
              <w:rPr>
                <w:b w:val="1"/>
                <w:color w:val="auto"/>
                <w:sz w:val="24"/>
                <w:bCs/>
                <w:rFonts w:hint="eastAsia" w:eastAsiaTheme="minorEastAsia"/>
              </w:rPr>
              <w:t>2、环境影响分析</w:t>
            </w:r>
          </w:p>
          <w:p w14:paraId="05CDC798">
            <w:pPr>
              <w:spacing w:line="360" w:lineRule="auto"/>
              <w:ind w:firstLine="480" w:firstLineChars="200"/>
              <w:rPr>
                <w:color w:val="auto"/>
                <w:sz w:val="24"/>
              </w:rPr>
            </w:pPr>
            <w:r>
              <w:rPr>
                <w:color w:val="auto"/>
                <w:sz w:val="24"/>
                <w:rFonts w:hint="eastAsia"/>
              </w:rPr>
              <w:t>本项目废水主要为生活污水、初期雨水。其生初期雨水量29.3</w:t>
            </w:r>
            <w:r>
              <w:rPr>
                <w:color w:val="auto"/>
                <w:sz w:val="24"/>
              </w:rPr>
              <w:t>m</w:t>
            </w:r>
            <w:r>
              <w:rPr>
                <w:vertAlign w:val="superscript"/>
                <w:color w:val="auto"/>
                <w:sz w:val="24"/>
              </w:rPr>
              <w:t>3</w:t>
            </w:r>
            <w:r>
              <w:rPr>
                <w:color w:val="auto"/>
                <w:sz w:val="24"/>
              </w:rPr>
              <w:t>/次</w:t>
            </w:r>
            <w:r>
              <w:rPr>
                <w:color w:val="auto"/>
                <w:sz w:val="24"/>
                <w:rFonts w:hint="eastAsia"/>
              </w:rPr>
              <w:t>，项目设置初期雨水池容积35m</w:t>
            </w:r>
            <w:r>
              <w:rPr>
                <w:vertAlign w:val="superscript"/>
                <w:color w:val="auto"/>
                <w:sz w:val="24"/>
                <w:rFonts w:hint="eastAsia"/>
              </w:rPr>
              <w:t>3</w:t>
            </w:r>
            <w:r>
              <w:rPr>
                <w:color w:val="auto"/>
                <w:sz w:val="24"/>
                <w:rFonts w:hint="eastAsia"/>
              </w:rPr>
              <w:t>，能够满足初期雨水排入初期雨水池要求；除初期雨水外，生活污水产生量约为0.96t/d（259.2t/a），生活污水排入防渗旱厕，定期清掏，外运堆肥，对项目周围区域地表水影响小。</w:t>
            </w:r>
          </w:p>
          <w:p w14:paraId="29683C00">
            <w:pPr>
              <w:spacing w:line="360" w:lineRule="auto"/>
              <w:ind w:firstLine="480" w:firstLineChars="200"/>
              <w:rPr>
                <w:color w:val="auto"/>
                <w:sz w:val="24"/>
                <w:rFonts w:hAnsiTheme="minorEastAsia" w:eastAsiaTheme="minorEastAsia"/>
              </w:rPr>
            </w:pPr>
            <w:r>
              <w:rPr>
                <w:color w:val="auto"/>
                <w:sz w:val="24"/>
                <w:rFonts w:hint="eastAsia"/>
              </w:rPr>
              <w:t>采取上述措施后，可进一步降低本项目所产生的废水对周围的地表水的环境影响。</w:t>
            </w:r>
          </w:p>
          <w:p w14:paraId="0DDA1656">
            <w:pPr>
              <w:contextualSpacing/>
              <w:spacing w:line="360" w:lineRule="auto"/>
              <w:ind w:firstLine="482" w:firstLineChars="200"/>
              <w:rPr>
                <w:b w:val="1"/>
                <w:color w:val="auto"/>
                <w:sz w:val="24"/>
                <w:bCs/>
              </w:rPr>
            </w:pPr>
            <w:r>
              <w:rPr>
                <w:b w:val="1"/>
                <w:color w:val="auto"/>
                <w:sz w:val="24"/>
                <w:bCs/>
              </w:rPr>
              <w:t>（三）噪声</w:t>
            </w:r>
          </w:p>
          <w:p w14:paraId="4203D588">
            <w:pPr>
              <w:contextualSpacing/>
              <w:spacing w:line="360" w:lineRule="auto"/>
              <w:ind w:firstLine="482" w:firstLineChars="200"/>
              <w:rPr>
                <w:b w:val="1"/>
                <w:color w:val="auto"/>
                <w:sz w:val="24"/>
                <w:bCs/>
              </w:rPr>
            </w:pPr>
            <w:r>
              <w:rPr>
                <w:b w:val="1"/>
                <w:color w:val="auto"/>
                <w:sz w:val="24"/>
                <w:bCs/>
              </w:rPr>
              <w:t>1、噪声源强</w:t>
            </w:r>
          </w:p>
          <w:p w14:paraId="41268449">
            <w:pPr>
              <w:pStyle w:val="59"/>
              <w:spacing w:afterLines="0" w:beforeLines="0" w:line="360" w:lineRule="auto"/>
              <w:ind w:firstLine="480"/>
              <w:rPr>
                <w:color w:val="auto"/>
              </w:rPr>
            </w:pPr>
            <w:r>
              <w:rPr>
                <w:color w:val="auto"/>
              </w:rPr>
              <w:t>该项目的</w:t>
            </w:r>
            <w:r>
              <w:rPr>
                <w:color w:val="auto"/>
                <w:bCs/>
              </w:rPr>
              <w:t>主要噪声来自于</w:t>
            </w:r>
            <w:r>
              <w:rPr>
                <w:color w:val="auto"/>
              </w:rPr>
              <w:t>混凝土生产线中各设施运行时产生噪声。设备噪声在</w:t>
            </w:r>
            <w:r>
              <w:rPr>
                <w:color w:val="auto"/>
                <w:rFonts w:hint="eastAsia"/>
              </w:rPr>
              <w:t>70</w:t>
            </w:r>
            <w:r>
              <w:rPr>
                <w:color w:val="auto"/>
              </w:rPr>
              <w:t>~</w:t>
            </w:r>
            <w:r>
              <w:rPr>
                <w:color w:val="auto"/>
                <w:rFonts w:hint="eastAsia"/>
              </w:rPr>
              <w:t>85</w:t>
            </w:r>
            <w:r>
              <w:rPr>
                <w:color w:val="auto"/>
              </w:rPr>
              <w:t>dB(A)左右。本项目设备产生的噪声源强见下表。</w:t>
            </w:r>
          </w:p>
          <w:p w14:paraId="0BB3D60C">
            <w:pPr>
              <w:pStyle w:val="95"/>
              <w:jc w:val="center"/>
              <w:spacing w:line="240" w:lineRule="auto"/>
              <w:ind w:firstLine="0" w:firstLineChars="0"/>
              <w:rPr>
                <w:b w:val="1"/>
                <w:color w:val="auto"/>
                <w:rFonts w:cs="Times New Roman"/>
              </w:rPr>
            </w:pPr>
            <w:r>
              <w:rPr>
                <w:b w:val="1"/>
                <w:color w:val="auto"/>
                <w:rFonts w:cs="Times New Roman"/>
              </w:rPr>
              <w:t>表</w:t>
            </w:r>
            <w:r>
              <w:rPr>
                <w:b w:val="1"/>
                <w:color w:val="auto"/>
                <w:lang w:val="en-US" w:eastAsia="zh-CN"/>
                <w:rFonts w:cs="Times New Roman" w:hint="eastAsia"/>
              </w:rPr>
              <w:t>4-7</w:t>
            </w:r>
            <w:r>
              <w:rPr>
                <w:b w:val="1"/>
                <w:color w:val="auto"/>
                <w:rFonts w:cs="Times New Roman"/>
              </w:rPr>
              <w:t>工业企业噪声源强调查清单（室外声源）</w:t>
            </w:r>
          </w:p>
          <w:tbl>
            <w:tblPr>
              <w:tblStyle w:val="28"/>
              <w:tblW w:w="5000" w:type="pct"/>
              <w:tblInd w:type="dxa" w:w="0.000000"/>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559.000000"/>
              <w:gridCol w:w="1388.000000"/>
              <w:gridCol w:w="458.000000"/>
              <w:gridCol w:w="523.000000"/>
              <w:gridCol w:w="523.000000"/>
              <w:gridCol w:w="575.000000"/>
              <w:gridCol w:w="1408.000000"/>
              <w:gridCol w:w="1802.000000"/>
              <w:gridCol w:w="1153.000000"/>
            </w:tblGrid>
            <w:tr w14:paraId="23809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33" w:type="pct"/>
                  <w:vMerge w:val="restart"/>
                  <w:vAlign w:val="center"/>
                  <w:tcBorders>
                    <w:tl2br w:val="nil"/>
                    <w:tr2bl w:val="nil"/>
                  </w:tcBorders>
                </w:tcPr>
                <w:p w14:paraId="5D2BA212">
                  <w:pPr>
                    <w:jc w:val="center"/>
                    <w:rPr>
                      <w:color w:val="auto"/>
                      <w:szCs w:val="21"/>
                    </w:rPr>
                  </w:pPr>
                  <w:r>
                    <w:rPr>
                      <w:color w:val="auto"/>
                      <w:szCs w:val="21"/>
                      <w:rFonts w:hint="eastAsia"/>
                    </w:rPr>
                    <w:t>序号</w:t>
                  </w:r>
                </w:p>
              </w:tc>
              <w:tc>
                <w:tcPr>
                  <w:tcW w:w="827" w:type="pct"/>
                  <w:vMerge w:val="restart"/>
                  <w:vAlign w:val="center"/>
                  <w:tcBorders>
                    <w:tl2br w:val="nil"/>
                    <w:tr2bl w:val="nil"/>
                  </w:tcBorders>
                </w:tcPr>
                <w:p w14:paraId="0E28FB0E">
                  <w:pPr>
                    <w:jc w:val="center"/>
                    <w:rPr>
                      <w:color w:val="auto"/>
                      <w:szCs w:val="21"/>
                    </w:rPr>
                  </w:pPr>
                  <w:r>
                    <w:rPr>
                      <w:color w:val="auto"/>
                      <w:szCs w:val="21"/>
                      <w:rFonts w:hint="eastAsia"/>
                    </w:rPr>
                    <w:t>声源名称</w:t>
                  </w:r>
                </w:p>
              </w:tc>
              <w:tc>
                <w:tcPr>
                  <w:tcW w:w="273" w:type="pct"/>
                  <w:vMerge w:val="restart"/>
                  <w:vAlign w:val="center"/>
                  <w:tcBorders>
                    <w:tl2br w:val="nil"/>
                    <w:tr2bl w:val="nil"/>
                  </w:tcBorders>
                </w:tcPr>
                <w:p w14:paraId="4BD216B1">
                  <w:pPr>
                    <w:jc w:val="center"/>
                    <w:rPr>
                      <w:color w:val="auto"/>
                      <w:szCs w:val="21"/>
                    </w:rPr>
                  </w:pPr>
                  <w:r>
                    <w:rPr>
                      <w:color w:val="auto"/>
                      <w:szCs w:val="21"/>
                      <w:rFonts w:hint="eastAsia"/>
                    </w:rPr>
                    <w:t>型号</w:t>
                  </w:r>
                </w:p>
              </w:tc>
              <w:tc>
                <w:tcPr>
                  <w:tcW w:w="967" w:type="pct"/>
                  <w:gridSpan w:val="3"/>
                  <w:vAlign w:val="center"/>
                  <w:tcBorders>
                    <w:tl2br w:val="nil"/>
                    <w:tr2bl w:val="nil"/>
                  </w:tcBorders>
                </w:tcPr>
                <w:p w14:paraId="0235892C">
                  <w:pPr>
                    <w:jc w:val="center"/>
                    <w:rPr>
                      <w:color w:val="auto"/>
                      <w:szCs w:val="21"/>
                    </w:rPr>
                  </w:pPr>
                  <w:r>
                    <w:rPr>
                      <w:color w:val="auto"/>
                      <w:szCs w:val="21"/>
                      <w:rFonts w:hint="eastAsia"/>
                    </w:rPr>
                    <w:t>空间相对位置</w:t>
                  </w:r>
                </w:p>
              </w:tc>
              <w:tc>
                <w:tcPr>
                  <w:tcW w:w="839" w:type="pct"/>
                  <w:vMerge w:val="restart"/>
                  <w:vAlign w:val="center"/>
                  <w:tcBorders>
                    <w:tl2br w:val="nil"/>
                    <w:tr2bl w:val="nil"/>
                  </w:tcBorders>
                </w:tcPr>
                <w:p w14:paraId="7827E3B4">
                  <w:pPr>
                    <w:jc w:val="center"/>
                    <w:rPr>
                      <w:color w:val="auto"/>
                      <w:szCs w:val="21"/>
                    </w:rPr>
                  </w:pPr>
                  <w:r>
                    <w:rPr>
                      <w:color w:val="auto"/>
                      <w:szCs w:val="21"/>
                      <w:rFonts w:hint="eastAsia"/>
                    </w:rPr>
                    <w:t>声功率级/dB(A)</w:t>
                  </w:r>
                </w:p>
              </w:tc>
              <w:tc>
                <w:tcPr>
                  <w:tcW w:w="1074" w:type="pct"/>
                  <w:vMerge w:val="restart"/>
                  <w:vAlign w:val="center"/>
                  <w:tcBorders>
                    <w:tl2br w:val="nil"/>
                    <w:tr2bl w:val="nil"/>
                  </w:tcBorders>
                </w:tcPr>
                <w:p w14:paraId="74922BE6">
                  <w:pPr>
                    <w:jc w:val="center"/>
                    <w:rPr>
                      <w:color w:val="auto"/>
                      <w:szCs w:val="21"/>
                    </w:rPr>
                  </w:pPr>
                  <w:r>
                    <w:rPr>
                      <w:color w:val="auto"/>
                      <w:szCs w:val="21"/>
                      <w:rFonts w:hint="eastAsia"/>
                    </w:rPr>
                    <w:t>声源控制措施</w:t>
                  </w:r>
                </w:p>
              </w:tc>
              <w:tc>
                <w:tcPr>
                  <w:tcW w:w="687" w:type="pct"/>
                  <w:vMerge w:val="restart"/>
                  <w:vAlign w:val="center"/>
                  <w:tcBorders>
                    <w:tl2br w:val="nil"/>
                    <w:tr2bl w:val="nil"/>
                  </w:tcBorders>
                </w:tcPr>
                <w:p w14:paraId="51C30D76">
                  <w:pPr>
                    <w:jc w:val="center"/>
                    <w:rPr>
                      <w:color w:val="auto"/>
                      <w:szCs w:val="21"/>
                    </w:rPr>
                  </w:pPr>
                  <w:r>
                    <w:rPr>
                      <w:color w:val="auto"/>
                      <w:szCs w:val="21"/>
                      <w:rFonts w:hint="eastAsia"/>
                    </w:rPr>
                    <w:t>运行时段</w:t>
                  </w:r>
                  <w:r>
                    <w:rPr>
                      <w:color w:val="auto"/>
                      <w:kern w:val="0"/>
                      <w:szCs w:val="21"/>
                      <w:rFonts w:hint="eastAsia"/>
                    </w:rPr>
                    <w:t>/h</w:t>
                  </w:r>
                </w:p>
              </w:tc>
            </w:tr>
            <w:tr w14:paraId="137CE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c>
                <w:tcPr>
                  <w:tcW w:w="333" w:type="pct"/>
                  <w:vMerge w:val="continue"/>
                  <w:vAlign w:val="center"/>
                  <w:tcBorders>
                    <w:tl2br w:val="nil"/>
                    <w:tr2bl w:val="nil"/>
                  </w:tcBorders>
                </w:tcPr>
                <w:p w14:paraId="2B2AE6E2">
                  <w:pPr>
                    <w:jc w:val="center"/>
                    <w:rPr>
                      <w:color w:val="auto"/>
                      <w:szCs w:val="21"/>
                    </w:rPr>
                  </w:pPr>
                </w:p>
              </w:tc>
              <w:tc>
                <w:tcPr>
                  <w:tcW w:w="827" w:type="pct"/>
                  <w:vMerge w:val="continue"/>
                  <w:vAlign w:val="center"/>
                  <w:tcBorders>
                    <w:tl2br w:val="nil"/>
                    <w:tr2bl w:val="nil"/>
                  </w:tcBorders>
                </w:tcPr>
                <w:p w14:paraId="45291F0C">
                  <w:pPr>
                    <w:jc w:val="center"/>
                    <w:rPr>
                      <w:color w:val="auto"/>
                      <w:szCs w:val="21"/>
                    </w:rPr>
                  </w:pPr>
                </w:p>
              </w:tc>
              <w:tc>
                <w:tcPr>
                  <w:tcW w:w="273" w:type="pct"/>
                  <w:vMerge w:val="continue"/>
                  <w:vAlign w:val="center"/>
                  <w:tcBorders>
                    <w:tl2br w:val="nil"/>
                    <w:tr2bl w:val="nil"/>
                  </w:tcBorders>
                </w:tcPr>
                <w:p w14:paraId="305494B0">
                  <w:pPr>
                    <w:jc w:val="center"/>
                    <w:rPr>
                      <w:color w:val="auto"/>
                      <w:szCs w:val="21"/>
                    </w:rPr>
                  </w:pPr>
                </w:p>
              </w:tc>
              <w:tc>
                <w:tcPr>
                  <w:tcW w:w="312" w:type="pct"/>
                  <w:vAlign w:val="center"/>
                  <w:tcBorders>
                    <w:tl2br w:val="nil"/>
                    <w:tr2bl w:val="nil"/>
                  </w:tcBorders>
                </w:tcPr>
                <w:p w14:paraId="4B4F80C9">
                  <w:pPr>
                    <w:jc w:val="center"/>
                    <w:rPr>
                      <w:color w:val="auto"/>
                      <w:szCs w:val="21"/>
                    </w:rPr>
                  </w:pPr>
                  <w:r>
                    <w:rPr>
                      <w:color w:val="auto"/>
                      <w:szCs w:val="21"/>
                      <w:rFonts w:hint="eastAsia"/>
                    </w:rPr>
                    <w:t>X</w:t>
                  </w:r>
                </w:p>
              </w:tc>
              <w:tc>
                <w:tcPr>
                  <w:tcW w:w="312" w:type="pct"/>
                  <w:vAlign w:val="center"/>
                  <w:tcBorders>
                    <w:tl2br w:val="nil"/>
                    <w:tr2bl w:val="nil"/>
                  </w:tcBorders>
                </w:tcPr>
                <w:p w14:paraId="0DDA63CB">
                  <w:pPr>
                    <w:jc w:val="center"/>
                    <w:rPr>
                      <w:color w:val="auto"/>
                      <w:szCs w:val="21"/>
                    </w:rPr>
                  </w:pPr>
                  <w:r>
                    <w:rPr>
                      <w:color w:val="auto"/>
                      <w:szCs w:val="21"/>
                      <w:rFonts w:hint="eastAsia"/>
                    </w:rPr>
                    <w:t>Y</w:t>
                  </w:r>
                </w:p>
              </w:tc>
              <w:tc>
                <w:tcPr>
                  <w:tcW w:w="343" w:type="pct"/>
                  <w:vAlign w:val="center"/>
                  <w:tcBorders>
                    <w:tl2br w:val="nil"/>
                    <w:tr2bl w:val="nil"/>
                  </w:tcBorders>
                </w:tcPr>
                <w:p w14:paraId="2B514A78">
                  <w:pPr>
                    <w:jc w:val="center"/>
                    <w:rPr>
                      <w:color w:val="auto"/>
                      <w:szCs w:val="21"/>
                    </w:rPr>
                  </w:pPr>
                  <w:r>
                    <w:rPr>
                      <w:color w:val="auto"/>
                      <w:szCs w:val="21"/>
                      <w:rFonts w:hint="eastAsia"/>
                    </w:rPr>
                    <w:t>Z</w:t>
                  </w:r>
                </w:p>
              </w:tc>
              <w:tc>
                <w:tcPr>
                  <w:tcW w:w="839" w:type="pct"/>
                  <w:vMerge w:val="continue"/>
                  <w:vAlign w:val="center"/>
                  <w:tcBorders>
                    <w:tl2br w:val="nil"/>
                    <w:tr2bl w:val="nil"/>
                  </w:tcBorders>
                </w:tcPr>
                <w:p w14:paraId="5446E3A3">
                  <w:pPr>
                    <w:jc w:val="center"/>
                    <w:rPr>
                      <w:color w:val="auto"/>
                      <w:szCs w:val="21"/>
                    </w:rPr>
                  </w:pPr>
                </w:p>
              </w:tc>
              <w:tc>
                <w:tcPr>
                  <w:tcW w:w="1074" w:type="pct"/>
                  <w:vMerge w:val="continue"/>
                  <w:vAlign w:val="center"/>
                  <w:tcBorders>
                    <w:tl2br w:val="nil"/>
                    <w:tr2bl w:val="nil"/>
                  </w:tcBorders>
                </w:tcPr>
                <w:p w14:paraId="72AAEBE4">
                  <w:pPr>
                    <w:jc w:val="center"/>
                    <w:rPr>
                      <w:color w:val="auto"/>
                      <w:szCs w:val="21"/>
                    </w:rPr>
                  </w:pPr>
                </w:p>
              </w:tc>
              <w:tc>
                <w:tcPr>
                  <w:tcW w:w="687" w:type="pct"/>
                  <w:vMerge w:val="continue"/>
                  <w:vAlign w:val="center"/>
                  <w:tcBorders>
                    <w:tl2br w:val="nil"/>
                    <w:tr2bl w:val="nil"/>
                  </w:tcBorders>
                </w:tcPr>
                <w:p w14:paraId="08604B5D">
                  <w:pPr>
                    <w:jc w:val="center"/>
                    <w:rPr>
                      <w:color w:val="auto"/>
                      <w:szCs w:val="21"/>
                    </w:rPr>
                  </w:pPr>
                </w:p>
              </w:tc>
            </w:tr>
            <w:tr w14:paraId="7AE82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c>
                <w:tcPr>
                  <w:tcW w:w="333" w:type="pct"/>
                  <w:vAlign w:val="center"/>
                  <w:tcBorders>
                    <w:tl2br w:val="nil"/>
                    <w:tr2bl w:val="nil"/>
                  </w:tcBorders>
                </w:tcPr>
                <w:p w14:paraId="405AEF3F">
                  <w:pPr>
                    <w:jc w:val="center"/>
                    <w:rPr>
                      <w:color w:val="auto"/>
                      <w:szCs w:val="21"/>
                    </w:rPr>
                  </w:pPr>
                  <w:r>
                    <w:rPr>
                      <w:color w:val="auto"/>
                      <w:szCs w:val="21"/>
                      <w:rFonts w:hint="eastAsia"/>
                    </w:rPr>
                    <w:t>1</w:t>
                  </w:r>
                </w:p>
              </w:tc>
              <w:tc>
                <w:tcPr>
                  <w:tcW w:w="827" w:type="pct"/>
                  <w:vAlign w:val="center"/>
                  <w:tcBorders>
                    <w:tl2br w:val="nil"/>
                    <w:tr2bl w:val="nil"/>
                  </w:tcBorders>
                </w:tcPr>
                <w:p w14:paraId="35697DE3">
                  <w:pPr>
                    <w:jc w:val="center"/>
                    <w:rPr>
                      <w:color w:val="auto"/>
                      <w:szCs w:val="21"/>
                    </w:rPr>
                  </w:pPr>
                  <w:r>
                    <w:rPr>
                      <w:color w:val="auto"/>
                      <w:szCs w:val="21"/>
                      <w:rFonts w:hint="eastAsia"/>
                    </w:rPr>
                    <w:t>搅拌站</w:t>
                  </w:r>
                </w:p>
              </w:tc>
              <w:tc>
                <w:tcPr>
                  <w:tcW w:w="273" w:type="pct"/>
                  <w:vAlign w:val="center"/>
                  <w:tcBorders>
                    <w:tl2br w:val="nil"/>
                    <w:tr2bl w:val="nil"/>
                  </w:tcBorders>
                </w:tcPr>
                <w:p w14:paraId="374CDAEC">
                  <w:pPr>
                    <w:jc w:val="center"/>
                    <w:rPr>
                      <w:color w:val="auto"/>
                      <w:szCs w:val="21"/>
                    </w:rPr>
                  </w:pPr>
                  <w:r>
                    <w:rPr>
                      <w:color w:val="auto"/>
                      <w:szCs w:val="21"/>
                      <w:rFonts w:hint="eastAsia"/>
                    </w:rPr>
                    <w:t>/</w:t>
                  </w:r>
                </w:p>
              </w:tc>
              <w:tc>
                <w:tcPr>
                  <w:tcW w:w="312" w:type="pct"/>
                  <w:vAlign w:val="center"/>
                  <w:tcBorders>
                    <w:tl2br w:val="nil"/>
                    <w:tr2bl w:val="nil"/>
                  </w:tcBorders>
                </w:tcPr>
                <w:p w14:paraId="7F16A142">
                  <w:pPr>
                    <w:jc w:val="center"/>
                    <w:rPr>
                      <w:color w:val="auto"/>
                      <w:szCs w:val="21"/>
                    </w:rPr>
                  </w:pPr>
                  <w:r>
                    <w:rPr>
                      <w:color w:val="auto"/>
                      <w:szCs w:val="21"/>
                      <w:rFonts w:hint="eastAsia"/>
                    </w:rPr>
                    <w:t>-15</w:t>
                  </w:r>
                </w:p>
              </w:tc>
              <w:tc>
                <w:tcPr>
                  <w:tcW w:w="312" w:type="pct"/>
                  <w:vAlign w:val="center"/>
                  <w:tcBorders>
                    <w:tl2br w:val="nil"/>
                    <w:tr2bl w:val="nil"/>
                  </w:tcBorders>
                </w:tcPr>
                <w:p w14:paraId="521BD629">
                  <w:pPr>
                    <w:jc w:val="center"/>
                    <w:rPr>
                      <w:color w:val="auto"/>
                      <w:szCs w:val="21"/>
                    </w:rPr>
                  </w:pPr>
                  <w:r>
                    <w:rPr>
                      <w:color w:val="auto"/>
                      <w:szCs w:val="21"/>
                      <w:rFonts w:hint="eastAsia"/>
                    </w:rPr>
                    <w:t>18</w:t>
                  </w:r>
                </w:p>
              </w:tc>
              <w:tc>
                <w:tcPr>
                  <w:tcW w:w="343" w:type="pct"/>
                  <w:vAlign w:val="center"/>
                  <w:tcBorders>
                    <w:tl2br w:val="nil"/>
                    <w:tr2bl w:val="nil"/>
                  </w:tcBorders>
                </w:tcPr>
                <w:p w14:paraId="1EC9CE64">
                  <w:pPr>
                    <w:jc w:val="center"/>
                    <w:rPr>
                      <w:color w:val="auto"/>
                      <w:szCs w:val="21"/>
                    </w:rPr>
                  </w:pPr>
                  <w:r>
                    <w:rPr>
                      <w:color w:val="auto"/>
                      <w:szCs w:val="21"/>
                      <w:rFonts w:hint="eastAsia"/>
                    </w:rPr>
                    <w:t>164</w:t>
                  </w:r>
                </w:p>
              </w:tc>
              <w:tc>
                <w:tcPr>
                  <w:tcW w:w="839" w:type="pct"/>
                  <w:vAlign w:val="center"/>
                  <w:tcBorders>
                    <w:tl2br w:val="nil"/>
                    <w:tr2bl w:val="nil"/>
                  </w:tcBorders>
                </w:tcPr>
                <w:p w14:paraId="6FBD61AA">
                  <w:pPr>
                    <w:jc w:val="center"/>
                    <w:rPr>
                      <w:color w:val="auto"/>
                      <w:szCs w:val="21"/>
                    </w:rPr>
                  </w:pPr>
                  <w:r>
                    <w:rPr>
                      <w:color w:val="auto"/>
                      <w:szCs w:val="21"/>
                      <w:rFonts w:hint="eastAsia"/>
                    </w:rPr>
                    <w:t>85</w:t>
                  </w:r>
                </w:p>
              </w:tc>
              <w:tc>
                <w:tcPr>
                  <w:tcW w:w="1074" w:type="pct"/>
                  <w:vAlign w:val="center"/>
                  <w:tcBorders>
                    <w:tl2br w:val="nil"/>
                    <w:tr2bl w:val="nil"/>
                  </w:tcBorders>
                </w:tcPr>
                <w:p w14:paraId="26E59F53">
                  <w:pPr>
                    <w:jc w:val="center"/>
                    <w:rPr>
                      <w:color w:val="auto"/>
                      <w:szCs w:val="21"/>
                    </w:rPr>
                  </w:pPr>
                  <w:r>
                    <w:rPr>
                      <w:color w:val="auto"/>
                      <w:szCs w:val="21"/>
                      <w:rFonts w:hint="eastAsia"/>
                    </w:rPr>
                    <w:t>减振措施</w:t>
                  </w:r>
                </w:p>
              </w:tc>
              <w:tc>
                <w:tcPr>
                  <w:tcW w:w="687" w:type="pct"/>
                  <w:vMerge w:val="restart"/>
                  <w:vAlign w:val="center"/>
                  <w:tcBorders>
                    <w:tl2br w:val="nil"/>
                    <w:tr2bl w:val="nil"/>
                  </w:tcBorders>
                </w:tcPr>
                <w:p w14:paraId="4DD06B77">
                  <w:pPr>
                    <w:jc w:val="center"/>
                    <w:rPr>
                      <w:color w:val="auto"/>
                      <w:szCs w:val="21"/>
                    </w:rPr>
                  </w:pPr>
                  <w:r>
                    <w:rPr>
                      <w:color w:val="auto"/>
                      <w:szCs w:val="21"/>
                      <w:rFonts w:hint="eastAsia"/>
                    </w:rPr>
                    <w:t>2</w:t>
                  </w:r>
                  <w:r>
                    <w:rPr>
                      <w:color w:val="auto"/>
                      <w:lang w:val="en-US" w:eastAsia="zh-CN"/>
                      <w:szCs w:val="21"/>
                      <w:rFonts w:hint="eastAsia"/>
                    </w:rPr>
                    <w:t>4</w:t>
                  </w:r>
                  <w:r>
                    <w:rPr>
                      <w:color w:val="auto"/>
                      <w:szCs w:val="21"/>
                      <w:rFonts w:hint="eastAsia"/>
                    </w:rPr>
                    <w:t>00</w:t>
                  </w:r>
                </w:p>
              </w:tc>
            </w:tr>
            <w:tr w14:paraId="10EE1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430EA8A2">
                  <w:pPr>
                    <w:jc w:val="center"/>
                    <w:rPr>
                      <w:color w:val="auto"/>
                      <w:szCs w:val="21"/>
                    </w:rPr>
                  </w:pPr>
                  <w:r>
                    <w:rPr>
                      <w:color w:val="auto"/>
                      <w:szCs w:val="21"/>
                      <w:rFonts w:hint="eastAsia"/>
                    </w:rPr>
                    <w:t>2</w:t>
                  </w:r>
                </w:p>
              </w:tc>
              <w:tc>
                <w:tcPr>
                  <w:tcW w:w="827" w:type="pct"/>
                  <w:vAlign w:val="center"/>
                  <w:tcBorders>
                    <w:tl2br w:val="nil"/>
                    <w:tr2bl w:val="nil"/>
                  </w:tcBorders>
                </w:tcPr>
                <w:p w14:paraId="44ABDDFF">
                  <w:pPr>
                    <w:jc w:val="center"/>
                    <w:rPr>
                      <w:color w:val="auto"/>
                      <w:szCs w:val="21"/>
                    </w:rPr>
                  </w:pPr>
                  <w:r>
                    <w:rPr>
                      <w:color w:val="auto"/>
                      <w:szCs w:val="21"/>
                    </w:rPr>
                    <w:t>振动筛</w:t>
                  </w:r>
                </w:p>
              </w:tc>
              <w:tc>
                <w:tcPr>
                  <w:tcW w:w="273" w:type="pct"/>
                  <w:vAlign w:val="center"/>
                  <w:tcBorders>
                    <w:tl2br w:val="nil"/>
                    <w:tr2bl w:val="nil"/>
                  </w:tcBorders>
                </w:tcPr>
                <w:p w14:paraId="462A5B69">
                  <w:pPr>
                    <w:jc w:val="center"/>
                    <w:rPr>
                      <w:color w:val="auto"/>
                      <w:szCs w:val="21"/>
                    </w:rPr>
                  </w:pPr>
                  <w:r>
                    <w:rPr>
                      <w:color w:val="auto"/>
                      <w:szCs w:val="21"/>
                      <w:rFonts w:hint="eastAsia"/>
                    </w:rPr>
                    <w:t>/</w:t>
                  </w:r>
                </w:p>
              </w:tc>
              <w:tc>
                <w:tcPr>
                  <w:tcW w:w="312" w:type="pct"/>
                  <w:vAlign w:val="center"/>
                  <w:tcBorders>
                    <w:tl2br w:val="nil"/>
                    <w:tr2bl w:val="nil"/>
                  </w:tcBorders>
                </w:tcPr>
                <w:p w14:paraId="54528D75">
                  <w:pPr>
                    <w:jc w:val="center"/>
                    <w:rPr>
                      <w:color w:val="auto"/>
                      <w:szCs w:val="21"/>
                    </w:rPr>
                  </w:pPr>
                  <w:r>
                    <w:rPr>
                      <w:color w:val="auto"/>
                      <w:szCs w:val="21"/>
                      <w:rFonts w:hint="eastAsia"/>
                    </w:rPr>
                    <w:t>-4</w:t>
                  </w:r>
                </w:p>
              </w:tc>
              <w:tc>
                <w:tcPr>
                  <w:tcW w:w="312" w:type="pct"/>
                  <w:vAlign w:val="center"/>
                  <w:tcBorders>
                    <w:tl2br w:val="nil"/>
                    <w:tr2bl w:val="nil"/>
                  </w:tcBorders>
                </w:tcPr>
                <w:p w14:paraId="0049C8AD">
                  <w:pPr>
                    <w:jc w:val="center"/>
                    <w:rPr>
                      <w:color w:val="auto"/>
                      <w:szCs w:val="21"/>
                    </w:rPr>
                  </w:pPr>
                  <w:r>
                    <w:rPr>
                      <w:color w:val="auto"/>
                      <w:szCs w:val="21"/>
                      <w:rFonts w:hint="eastAsia"/>
                    </w:rPr>
                    <w:t>7</w:t>
                  </w:r>
                </w:p>
              </w:tc>
              <w:tc>
                <w:tcPr>
                  <w:tcW w:w="343" w:type="pct"/>
                  <w:vAlign w:val="center"/>
                  <w:tcBorders>
                    <w:tl2br w:val="nil"/>
                    <w:tr2bl w:val="nil"/>
                  </w:tcBorders>
                </w:tcPr>
                <w:p w14:paraId="5EC0C6F4">
                  <w:pPr>
                    <w:jc w:val="center"/>
                    <w:rPr>
                      <w:color w:val="auto"/>
                      <w:szCs w:val="21"/>
                    </w:rPr>
                  </w:pPr>
                  <w:r>
                    <w:rPr>
                      <w:color w:val="auto"/>
                      <w:szCs w:val="21"/>
                      <w:rFonts w:hint="eastAsia"/>
                    </w:rPr>
                    <w:t>164</w:t>
                  </w:r>
                </w:p>
              </w:tc>
              <w:tc>
                <w:tcPr>
                  <w:tcW w:w="839" w:type="pct"/>
                  <w:vAlign w:val="center"/>
                  <w:tcBorders>
                    <w:tl2br w:val="nil"/>
                    <w:tr2bl w:val="nil"/>
                  </w:tcBorders>
                </w:tcPr>
                <w:p w14:paraId="5DDA89FF">
                  <w:pPr>
                    <w:jc w:val="center"/>
                    <w:rPr>
                      <w:color w:val="auto"/>
                      <w:szCs w:val="21"/>
                    </w:rPr>
                  </w:pPr>
                  <w:r>
                    <w:rPr>
                      <w:color w:val="auto"/>
                      <w:szCs w:val="21"/>
                      <w:rFonts w:hint="eastAsia"/>
                    </w:rPr>
                    <w:t>70</w:t>
                  </w:r>
                </w:p>
              </w:tc>
              <w:tc>
                <w:tcPr>
                  <w:tcW w:w="1074" w:type="pct"/>
                  <w:vAlign w:val="center"/>
                  <w:tcBorders>
                    <w:tl2br w:val="nil"/>
                    <w:tr2bl w:val="nil"/>
                  </w:tcBorders>
                </w:tcPr>
                <w:p w14:paraId="4A4CD301">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31955E2D">
                  <w:pPr>
                    <w:jc w:val="center"/>
                    <w:rPr>
                      <w:color w:val="auto"/>
                      <w:szCs w:val="21"/>
                    </w:rPr>
                  </w:pPr>
                </w:p>
              </w:tc>
            </w:tr>
            <w:tr w14:paraId="7F57C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12AD031E">
                  <w:pPr>
                    <w:jc w:val="center"/>
                    <w:rPr>
                      <w:color w:val="auto"/>
                      <w:szCs w:val="21"/>
                    </w:rPr>
                  </w:pPr>
                  <w:r>
                    <w:rPr>
                      <w:color w:val="auto"/>
                      <w:szCs w:val="21"/>
                      <w:rFonts w:hint="eastAsia"/>
                    </w:rPr>
                    <w:t>3</w:t>
                  </w:r>
                </w:p>
              </w:tc>
              <w:tc>
                <w:tcPr>
                  <w:tcW w:w="827" w:type="pct"/>
                  <w:vAlign w:val="center"/>
                  <w:tcBorders>
                    <w:tl2br w:val="nil"/>
                    <w:tr2bl w:val="nil"/>
                  </w:tcBorders>
                </w:tcPr>
                <w:p w14:paraId="159632B3">
                  <w:pPr>
                    <w:jc w:val="center"/>
                    <w:rPr>
                      <w:color w:val="auto"/>
                      <w:szCs w:val="21"/>
                    </w:rPr>
                  </w:pPr>
                  <w:r>
                    <w:rPr>
                      <w:color w:val="auto"/>
                      <w:szCs w:val="21"/>
                    </w:rPr>
                    <w:t>干燥筒</w:t>
                  </w:r>
                </w:p>
              </w:tc>
              <w:tc>
                <w:tcPr>
                  <w:tcW w:w="273" w:type="pct"/>
                  <w:vAlign w:val="center"/>
                  <w:tcBorders>
                    <w:tl2br w:val="nil"/>
                    <w:tr2bl w:val="nil"/>
                  </w:tcBorders>
                </w:tcPr>
                <w:p w14:paraId="26C3542A">
                  <w:pPr>
                    <w:jc w:val="center"/>
                    <w:rPr>
                      <w:color w:val="auto"/>
                      <w:szCs w:val="21"/>
                    </w:rPr>
                  </w:pPr>
                </w:p>
              </w:tc>
              <w:tc>
                <w:tcPr>
                  <w:tcW w:w="312" w:type="pct"/>
                  <w:vAlign w:val="center"/>
                  <w:tcBorders>
                    <w:tl2br w:val="nil"/>
                    <w:tr2bl w:val="nil"/>
                  </w:tcBorders>
                </w:tcPr>
                <w:p w14:paraId="16D122FB">
                  <w:pPr>
                    <w:jc w:val="center"/>
                    <w:rPr>
                      <w:color w:val="auto"/>
                      <w:szCs w:val="21"/>
                    </w:rPr>
                  </w:pPr>
                  <w:r>
                    <w:rPr>
                      <w:color w:val="auto"/>
                      <w:szCs w:val="21"/>
                      <w:rFonts w:hint="eastAsia"/>
                    </w:rPr>
                    <w:t>0</w:t>
                  </w:r>
                </w:p>
              </w:tc>
              <w:tc>
                <w:tcPr>
                  <w:tcW w:w="312" w:type="pct"/>
                  <w:vAlign w:val="center"/>
                  <w:tcBorders>
                    <w:tl2br w:val="nil"/>
                    <w:tr2bl w:val="nil"/>
                  </w:tcBorders>
                </w:tcPr>
                <w:p w14:paraId="2130D33A">
                  <w:pPr>
                    <w:jc w:val="center"/>
                    <w:rPr>
                      <w:color w:val="auto"/>
                      <w:szCs w:val="21"/>
                    </w:rPr>
                  </w:pPr>
                  <w:r>
                    <w:rPr>
                      <w:color w:val="auto"/>
                      <w:szCs w:val="21"/>
                      <w:rFonts w:hint="eastAsia"/>
                    </w:rPr>
                    <w:t>0</w:t>
                  </w:r>
                </w:p>
              </w:tc>
              <w:tc>
                <w:tcPr>
                  <w:tcW w:w="343" w:type="pct"/>
                  <w:vAlign w:val="center"/>
                  <w:tcBorders>
                    <w:tl2br w:val="nil"/>
                    <w:tr2bl w:val="nil"/>
                  </w:tcBorders>
                </w:tcPr>
                <w:p w14:paraId="161BE7DE">
                  <w:pPr>
                    <w:jc w:val="center"/>
                    <w:rPr>
                      <w:color w:val="auto"/>
                      <w:szCs w:val="21"/>
                    </w:rPr>
                  </w:pPr>
                  <w:r>
                    <w:rPr>
                      <w:color w:val="auto"/>
                      <w:szCs w:val="21"/>
                      <w:rFonts w:hint="eastAsia"/>
                    </w:rPr>
                    <w:t>164</w:t>
                  </w:r>
                </w:p>
              </w:tc>
              <w:tc>
                <w:tcPr>
                  <w:tcW w:w="839" w:type="pct"/>
                  <w:vAlign w:val="center"/>
                  <w:tcBorders>
                    <w:tl2br w:val="nil"/>
                    <w:tr2bl w:val="nil"/>
                  </w:tcBorders>
                </w:tcPr>
                <w:p w14:paraId="5F9A602F">
                  <w:pPr>
                    <w:jc w:val="center"/>
                    <w:rPr>
                      <w:color w:val="auto"/>
                      <w:szCs w:val="21"/>
                    </w:rPr>
                  </w:pPr>
                  <w:r>
                    <w:rPr>
                      <w:color w:val="auto"/>
                      <w:szCs w:val="21"/>
                      <w:rFonts w:hint="eastAsia"/>
                    </w:rPr>
                    <w:t>70</w:t>
                  </w:r>
                </w:p>
              </w:tc>
              <w:tc>
                <w:tcPr>
                  <w:tcW w:w="1074" w:type="pct"/>
                  <w:vAlign w:val="center"/>
                  <w:tcBorders>
                    <w:tl2br w:val="nil"/>
                    <w:tr2bl w:val="nil"/>
                  </w:tcBorders>
                </w:tcPr>
                <w:p w14:paraId="13F6EDF0">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1972BCA8">
                  <w:pPr>
                    <w:jc w:val="center"/>
                    <w:rPr>
                      <w:color w:val="auto"/>
                      <w:szCs w:val="21"/>
                    </w:rPr>
                  </w:pPr>
                </w:p>
              </w:tc>
            </w:tr>
            <w:tr w14:paraId="27E2A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0" w:hRule="atLeast"/>
              </w:trPr>
              <w:tc>
                <w:tcPr>
                  <w:tcW w:w="333" w:type="pct"/>
                  <w:vAlign w:val="center"/>
                  <w:tcBorders>
                    <w:tl2br w:val="nil"/>
                    <w:tr2bl w:val="nil"/>
                  </w:tcBorders>
                </w:tcPr>
                <w:p w14:paraId="113C1009">
                  <w:pPr>
                    <w:jc w:val="center"/>
                    <w:rPr>
                      <w:color w:val="auto"/>
                      <w:szCs w:val="21"/>
                    </w:rPr>
                  </w:pPr>
                  <w:r>
                    <w:rPr>
                      <w:color w:val="auto"/>
                      <w:szCs w:val="21"/>
                      <w:rFonts w:hint="eastAsia"/>
                    </w:rPr>
                    <w:t>4</w:t>
                  </w:r>
                </w:p>
              </w:tc>
              <w:tc>
                <w:tcPr>
                  <w:tcW w:w="827" w:type="pct"/>
                  <w:vAlign w:val="center"/>
                  <w:tcBorders>
                    <w:tl2br w:val="nil"/>
                    <w:tr2bl w:val="nil"/>
                  </w:tcBorders>
                </w:tcPr>
                <w:p w14:paraId="68E985EA">
                  <w:pPr>
                    <w:jc w:val="center"/>
                    <w:rPr>
                      <w:color w:val="auto"/>
                      <w:szCs w:val="21"/>
                    </w:rPr>
                  </w:pPr>
                  <w:r>
                    <w:rPr>
                      <w:color w:val="auto"/>
                      <w:szCs w:val="21"/>
                    </w:rPr>
                    <w:t>铲车</w:t>
                  </w:r>
                </w:p>
              </w:tc>
              <w:tc>
                <w:tcPr>
                  <w:tcW w:w="273" w:type="pct"/>
                  <w:vAlign w:val="center"/>
                  <w:tcBorders>
                    <w:tl2br w:val="nil"/>
                    <w:tr2bl w:val="nil"/>
                  </w:tcBorders>
                </w:tcPr>
                <w:p w14:paraId="7413B640">
                  <w:pPr>
                    <w:jc w:val="center"/>
                    <w:rPr>
                      <w:color w:val="auto"/>
                      <w:szCs w:val="21"/>
                    </w:rPr>
                  </w:pPr>
                </w:p>
              </w:tc>
              <w:tc>
                <w:tcPr>
                  <w:tcW w:w="312" w:type="pct"/>
                  <w:vAlign w:val="center"/>
                  <w:tcBorders>
                    <w:tl2br w:val="nil"/>
                    <w:tr2bl w:val="nil"/>
                  </w:tcBorders>
                </w:tcPr>
                <w:p w14:paraId="60B8F1A7">
                  <w:pPr>
                    <w:jc w:val="center"/>
                    <w:rPr>
                      <w:color w:val="auto"/>
                      <w:szCs w:val="21"/>
                    </w:rPr>
                  </w:pPr>
                  <w:r>
                    <w:rPr>
                      <w:color w:val="auto"/>
                      <w:szCs w:val="21"/>
                      <w:rFonts w:hint="eastAsia"/>
                    </w:rPr>
                    <w:t>24</w:t>
                  </w:r>
                </w:p>
              </w:tc>
              <w:tc>
                <w:tcPr>
                  <w:tcW w:w="312" w:type="pct"/>
                  <w:vAlign w:val="center"/>
                  <w:tcBorders>
                    <w:tl2br w:val="nil"/>
                    <w:tr2bl w:val="nil"/>
                  </w:tcBorders>
                </w:tcPr>
                <w:p w14:paraId="3CB07E58">
                  <w:pPr>
                    <w:jc w:val="center"/>
                    <w:rPr>
                      <w:color w:val="auto"/>
                      <w:szCs w:val="21"/>
                    </w:rPr>
                  </w:pPr>
                  <w:r>
                    <w:rPr>
                      <w:color w:val="auto"/>
                      <w:szCs w:val="21"/>
                      <w:rFonts w:hint="eastAsia"/>
                    </w:rPr>
                    <w:t>15</w:t>
                  </w:r>
                </w:p>
              </w:tc>
              <w:tc>
                <w:tcPr>
                  <w:tcW w:w="343" w:type="pct"/>
                  <w:vAlign w:val="center"/>
                  <w:tcBorders>
                    <w:tl2br w:val="nil"/>
                    <w:tr2bl w:val="nil"/>
                  </w:tcBorders>
                </w:tcPr>
                <w:p w14:paraId="281CDB1A">
                  <w:pPr>
                    <w:jc w:val="center"/>
                    <w:rPr>
                      <w:color w:val="auto"/>
                      <w:szCs w:val="21"/>
                    </w:rPr>
                  </w:pPr>
                  <w:r>
                    <w:rPr>
                      <w:color w:val="auto"/>
                      <w:szCs w:val="21"/>
                      <w:rFonts w:hint="eastAsia"/>
                    </w:rPr>
                    <w:t>165</w:t>
                  </w:r>
                </w:p>
              </w:tc>
              <w:tc>
                <w:tcPr>
                  <w:tcW w:w="839" w:type="pct"/>
                  <w:vAlign w:val="center"/>
                  <w:tcBorders>
                    <w:tl2br w:val="nil"/>
                    <w:tr2bl w:val="nil"/>
                  </w:tcBorders>
                </w:tcPr>
                <w:p w14:paraId="73EFB2EE">
                  <w:pPr>
                    <w:jc w:val="center"/>
                    <w:rPr>
                      <w:color w:val="auto"/>
                      <w:szCs w:val="21"/>
                    </w:rPr>
                  </w:pPr>
                  <w:r>
                    <w:rPr>
                      <w:color w:val="auto"/>
                      <w:szCs w:val="21"/>
                      <w:rFonts w:hint="eastAsia"/>
                    </w:rPr>
                    <w:t>80</w:t>
                  </w:r>
                </w:p>
              </w:tc>
              <w:tc>
                <w:tcPr>
                  <w:tcW w:w="1074" w:type="pct"/>
                  <w:vAlign w:val="center"/>
                  <w:tcBorders>
                    <w:tl2br w:val="nil"/>
                    <w:tr2bl w:val="nil"/>
                  </w:tcBorders>
                </w:tcPr>
                <w:p w14:paraId="3943AEE5">
                  <w:pPr>
                    <w:jc w:val="center"/>
                    <w:rPr>
                      <w:color w:val="auto"/>
                      <w:szCs w:val="21"/>
                    </w:rPr>
                  </w:pPr>
                  <w:r>
                    <w:rPr>
                      <w:color w:val="auto"/>
                      <w:szCs w:val="21"/>
                      <w:rFonts w:hint="eastAsia"/>
                    </w:rPr>
                    <w:t>采取禁鸣限速措施</w:t>
                  </w:r>
                </w:p>
              </w:tc>
              <w:tc>
                <w:tcPr>
                  <w:tcW w:w="687" w:type="pct"/>
                  <w:vMerge w:val="continue"/>
                  <w:vAlign w:val="center"/>
                  <w:tcBorders>
                    <w:tl2br w:val="nil"/>
                    <w:tr2bl w:val="nil"/>
                  </w:tcBorders>
                </w:tcPr>
                <w:p w14:paraId="298A883F">
                  <w:pPr>
                    <w:jc w:val="center"/>
                    <w:rPr>
                      <w:color w:val="auto"/>
                      <w:szCs w:val="21"/>
                    </w:rPr>
                  </w:pPr>
                </w:p>
              </w:tc>
            </w:tr>
            <w:tr w14:paraId="4CB60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6A167E87">
                  <w:pPr>
                    <w:jc w:val="center"/>
                    <w:rPr>
                      <w:color w:val="auto"/>
                      <w:szCs w:val="21"/>
                    </w:rPr>
                  </w:pPr>
                  <w:r>
                    <w:rPr>
                      <w:color w:val="auto"/>
                      <w:szCs w:val="21"/>
                      <w:rFonts w:hint="eastAsia"/>
                    </w:rPr>
                    <w:t>5</w:t>
                  </w:r>
                </w:p>
              </w:tc>
              <w:tc>
                <w:tcPr>
                  <w:tcW w:w="827" w:type="pct"/>
                  <w:vAlign w:val="center"/>
                  <w:tcBorders>
                    <w:tl2br w:val="nil"/>
                    <w:tr2bl w:val="nil"/>
                  </w:tcBorders>
                </w:tcPr>
                <w:p w14:paraId="6D1EB95A">
                  <w:pPr>
                    <w:jc w:val="center"/>
                    <w:rPr>
                      <w:color w:val="auto"/>
                      <w:szCs w:val="21"/>
                    </w:rPr>
                  </w:pPr>
                  <w:r>
                    <w:rPr>
                      <w:color w:val="auto"/>
                      <w:szCs w:val="21"/>
                    </w:rPr>
                    <w:t>风机</w:t>
                  </w:r>
                </w:p>
              </w:tc>
              <w:tc>
                <w:tcPr>
                  <w:tcW w:w="273" w:type="pct"/>
                  <w:vAlign w:val="center"/>
                  <w:tcBorders>
                    <w:tl2br w:val="nil"/>
                    <w:tr2bl w:val="nil"/>
                  </w:tcBorders>
                </w:tcPr>
                <w:p w14:paraId="61221943">
                  <w:pPr>
                    <w:jc w:val="center"/>
                    <w:rPr>
                      <w:color w:val="auto"/>
                      <w:szCs w:val="21"/>
                    </w:rPr>
                  </w:pPr>
                  <w:r>
                    <w:rPr>
                      <w:color w:val="auto"/>
                      <w:szCs w:val="21"/>
                      <w:rFonts w:hint="eastAsia"/>
                    </w:rPr>
                    <w:t>/</w:t>
                  </w:r>
                </w:p>
              </w:tc>
              <w:tc>
                <w:tcPr>
                  <w:tcW w:w="312" w:type="pct"/>
                  <w:vAlign w:val="center"/>
                  <w:tcBorders>
                    <w:tl2br w:val="nil"/>
                    <w:tr2bl w:val="nil"/>
                  </w:tcBorders>
                </w:tcPr>
                <w:p w14:paraId="2393FBCB">
                  <w:pPr>
                    <w:jc w:val="center"/>
                    <w:rPr>
                      <w:color w:val="auto"/>
                      <w:szCs w:val="21"/>
                    </w:rPr>
                  </w:pPr>
                  <w:r>
                    <w:rPr>
                      <w:color w:val="auto"/>
                      <w:szCs w:val="21"/>
                      <w:rFonts w:hint="eastAsia"/>
                    </w:rPr>
                    <w:t>-5</w:t>
                  </w:r>
                </w:p>
              </w:tc>
              <w:tc>
                <w:tcPr>
                  <w:tcW w:w="312" w:type="pct"/>
                  <w:vAlign w:val="center"/>
                  <w:tcBorders>
                    <w:tl2br w:val="nil"/>
                    <w:tr2bl w:val="nil"/>
                  </w:tcBorders>
                </w:tcPr>
                <w:p w14:paraId="6FE54F28">
                  <w:pPr>
                    <w:jc w:val="center"/>
                    <w:rPr>
                      <w:color w:val="auto"/>
                      <w:szCs w:val="21"/>
                    </w:rPr>
                  </w:pPr>
                  <w:r>
                    <w:rPr>
                      <w:color w:val="auto"/>
                      <w:szCs w:val="21"/>
                      <w:rFonts w:hint="eastAsia"/>
                    </w:rPr>
                    <w:t>15</w:t>
                  </w:r>
                </w:p>
              </w:tc>
              <w:tc>
                <w:tcPr>
                  <w:tcW w:w="343" w:type="pct"/>
                  <w:vAlign w:val="center"/>
                  <w:tcBorders>
                    <w:tl2br w:val="nil"/>
                    <w:tr2bl w:val="nil"/>
                  </w:tcBorders>
                </w:tcPr>
                <w:p w14:paraId="48A61F82">
                  <w:pPr>
                    <w:jc w:val="center"/>
                    <w:rPr>
                      <w:color w:val="auto"/>
                      <w:szCs w:val="21"/>
                    </w:rPr>
                  </w:pPr>
                  <w:r>
                    <w:rPr>
                      <w:color w:val="auto"/>
                      <w:szCs w:val="21"/>
                      <w:rFonts w:hint="eastAsia"/>
                    </w:rPr>
                    <w:t>164</w:t>
                  </w:r>
                </w:p>
              </w:tc>
              <w:tc>
                <w:tcPr>
                  <w:tcW w:w="839" w:type="pct"/>
                  <w:vAlign w:val="center"/>
                  <w:tcBorders>
                    <w:tl2br w:val="nil"/>
                    <w:tr2bl w:val="nil"/>
                  </w:tcBorders>
                </w:tcPr>
                <w:p w14:paraId="02673709">
                  <w:pPr>
                    <w:jc w:val="center"/>
                    <w:rPr>
                      <w:color w:val="auto"/>
                      <w:szCs w:val="21"/>
                    </w:rPr>
                  </w:pPr>
                  <w:r>
                    <w:rPr>
                      <w:color w:val="auto"/>
                      <w:szCs w:val="21"/>
                      <w:rFonts w:hint="eastAsia"/>
                    </w:rPr>
                    <w:t>85</w:t>
                  </w:r>
                </w:p>
              </w:tc>
              <w:tc>
                <w:tcPr>
                  <w:tcW w:w="1074" w:type="pct"/>
                  <w:vAlign w:val="center"/>
                  <w:tcBorders>
                    <w:tl2br w:val="nil"/>
                    <w:tr2bl w:val="nil"/>
                  </w:tcBorders>
                </w:tcPr>
                <w:p w14:paraId="6BE86E79">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2092754D">
                  <w:pPr>
                    <w:jc w:val="center"/>
                    <w:rPr>
                      <w:color w:val="auto"/>
                      <w:szCs w:val="21"/>
                    </w:rPr>
                  </w:pPr>
                </w:p>
              </w:tc>
            </w:tr>
            <w:tr w14:paraId="49B2A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33024DEB">
                  <w:pPr>
                    <w:jc w:val="center"/>
                    <w:rPr>
                      <w:color w:val="auto"/>
                      <w:szCs w:val="21"/>
                    </w:rPr>
                  </w:pPr>
                  <w:r>
                    <w:rPr>
                      <w:color w:val="auto"/>
                      <w:szCs w:val="21"/>
                      <w:rFonts w:hint="eastAsia"/>
                    </w:rPr>
                    <w:t>6</w:t>
                  </w:r>
                </w:p>
              </w:tc>
              <w:tc>
                <w:tcPr>
                  <w:tcW w:w="827" w:type="pct"/>
                  <w:vAlign w:val="center"/>
                  <w:tcBorders>
                    <w:tl2br w:val="nil"/>
                    <w:tr2bl w:val="nil"/>
                  </w:tcBorders>
                </w:tcPr>
                <w:p w14:paraId="0C7F6111">
                  <w:pPr>
                    <w:jc w:val="center"/>
                    <w:rPr>
                      <w:color w:val="auto"/>
                      <w:szCs w:val="21"/>
                    </w:rPr>
                  </w:pPr>
                  <w:r>
                    <w:rPr>
                      <w:color w:val="auto"/>
                      <w:szCs w:val="21"/>
                    </w:rPr>
                    <w:t>风机</w:t>
                  </w:r>
                </w:p>
              </w:tc>
              <w:tc>
                <w:tcPr>
                  <w:tcW w:w="273" w:type="pct"/>
                  <w:vAlign w:val="center"/>
                  <w:tcBorders>
                    <w:tl2br w:val="nil"/>
                    <w:tr2bl w:val="nil"/>
                  </w:tcBorders>
                </w:tcPr>
                <w:p w14:paraId="3540B479">
                  <w:pPr>
                    <w:jc w:val="center"/>
                    <w:rPr>
                      <w:color w:val="auto"/>
                      <w:szCs w:val="21"/>
                    </w:rPr>
                  </w:pPr>
                </w:p>
              </w:tc>
              <w:tc>
                <w:tcPr>
                  <w:tcW w:w="312" w:type="pct"/>
                  <w:vAlign w:val="center"/>
                  <w:tcBorders>
                    <w:tl2br w:val="nil"/>
                    <w:tr2bl w:val="nil"/>
                  </w:tcBorders>
                </w:tcPr>
                <w:p w14:paraId="679F87BC">
                  <w:pPr>
                    <w:jc w:val="center"/>
                    <w:rPr>
                      <w:color w:val="auto"/>
                      <w:szCs w:val="21"/>
                    </w:rPr>
                  </w:pPr>
                  <w:r>
                    <w:rPr>
                      <w:color w:val="auto"/>
                      <w:szCs w:val="21"/>
                      <w:rFonts w:hint="eastAsia"/>
                    </w:rPr>
                    <w:t>20</w:t>
                  </w:r>
                </w:p>
              </w:tc>
              <w:tc>
                <w:tcPr>
                  <w:tcW w:w="312" w:type="pct"/>
                  <w:vAlign w:val="center"/>
                  <w:tcBorders>
                    <w:tl2br w:val="nil"/>
                    <w:tr2bl w:val="nil"/>
                  </w:tcBorders>
                </w:tcPr>
                <w:p w14:paraId="0BD99025">
                  <w:pPr>
                    <w:jc w:val="center"/>
                    <w:rPr>
                      <w:color w:val="auto"/>
                      <w:szCs w:val="21"/>
                    </w:rPr>
                  </w:pPr>
                  <w:r>
                    <w:rPr>
                      <w:color w:val="auto"/>
                      <w:szCs w:val="21"/>
                      <w:rFonts w:hint="eastAsia"/>
                    </w:rPr>
                    <w:t>10</w:t>
                  </w:r>
                </w:p>
              </w:tc>
              <w:tc>
                <w:tcPr>
                  <w:tcW w:w="343" w:type="pct"/>
                  <w:vAlign w:val="center"/>
                  <w:tcBorders>
                    <w:tl2br w:val="nil"/>
                    <w:tr2bl w:val="nil"/>
                  </w:tcBorders>
                </w:tcPr>
                <w:p w14:paraId="331FECAF">
                  <w:pPr>
                    <w:jc w:val="center"/>
                    <w:rPr>
                      <w:color w:val="auto"/>
                      <w:szCs w:val="21"/>
                    </w:rPr>
                  </w:pPr>
                  <w:r>
                    <w:rPr>
                      <w:color w:val="auto"/>
                      <w:szCs w:val="21"/>
                      <w:rFonts w:hint="eastAsia"/>
                    </w:rPr>
                    <w:t>165</w:t>
                  </w:r>
                </w:p>
              </w:tc>
              <w:tc>
                <w:tcPr>
                  <w:tcW w:w="839" w:type="pct"/>
                  <w:vAlign w:val="center"/>
                  <w:tcBorders>
                    <w:tl2br w:val="nil"/>
                    <w:tr2bl w:val="nil"/>
                  </w:tcBorders>
                </w:tcPr>
                <w:p w14:paraId="0CC12F04">
                  <w:pPr>
                    <w:jc w:val="center"/>
                    <w:rPr>
                      <w:color w:val="auto"/>
                      <w:szCs w:val="21"/>
                    </w:rPr>
                  </w:pPr>
                  <w:r>
                    <w:rPr>
                      <w:color w:val="auto"/>
                      <w:szCs w:val="21"/>
                      <w:rFonts w:hint="eastAsia"/>
                    </w:rPr>
                    <w:t>70</w:t>
                  </w:r>
                </w:p>
              </w:tc>
              <w:tc>
                <w:tcPr>
                  <w:tcW w:w="1074" w:type="pct"/>
                  <w:vAlign w:val="center"/>
                  <w:tcBorders>
                    <w:tl2br w:val="nil"/>
                    <w:tr2bl w:val="nil"/>
                  </w:tcBorders>
                </w:tcPr>
                <w:p w14:paraId="5B14AA6F">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5BC6BADE">
                  <w:pPr>
                    <w:jc w:val="center"/>
                    <w:rPr>
                      <w:color w:val="auto"/>
                      <w:szCs w:val="21"/>
                    </w:rPr>
                  </w:pPr>
                </w:p>
              </w:tc>
            </w:tr>
            <w:tr w14:paraId="5C2FA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6EE65646">
                  <w:pPr>
                    <w:jc w:val="center"/>
                    <w:rPr>
                      <w:color w:val="auto"/>
                      <w:szCs w:val="21"/>
                    </w:rPr>
                  </w:pPr>
                  <w:r>
                    <w:rPr>
                      <w:color w:val="auto"/>
                      <w:szCs w:val="21"/>
                      <w:rFonts w:hint="eastAsia"/>
                    </w:rPr>
                    <w:t>7</w:t>
                  </w:r>
                </w:p>
              </w:tc>
              <w:tc>
                <w:tcPr>
                  <w:tcW w:w="827" w:type="pct"/>
                  <w:vAlign w:val="center"/>
                  <w:tcBorders>
                    <w:tl2br w:val="nil"/>
                    <w:tr2bl w:val="nil"/>
                  </w:tcBorders>
                </w:tcPr>
                <w:p w14:paraId="42944D6F">
                  <w:pPr>
                    <w:jc w:val="center"/>
                    <w:rPr>
                      <w:color w:val="auto"/>
                      <w:szCs w:val="21"/>
                    </w:rPr>
                  </w:pPr>
                  <w:r>
                    <w:rPr>
                      <w:color w:val="auto"/>
                      <w:szCs w:val="21"/>
                    </w:rPr>
                    <w:t>风机</w:t>
                  </w:r>
                </w:p>
              </w:tc>
              <w:tc>
                <w:tcPr>
                  <w:tcW w:w="273" w:type="pct"/>
                  <w:vAlign w:val="center"/>
                  <w:tcBorders>
                    <w:tl2br w:val="nil"/>
                    <w:tr2bl w:val="nil"/>
                  </w:tcBorders>
                </w:tcPr>
                <w:p w14:paraId="42ACC9E9">
                  <w:pPr>
                    <w:jc w:val="center"/>
                    <w:rPr>
                      <w:color w:val="auto"/>
                      <w:szCs w:val="21"/>
                    </w:rPr>
                  </w:pPr>
                </w:p>
              </w:tc>
              <w:tc>
                <w:tcPr>
                  <w:tcW w:w="312" w:type="pct"/>
                  <w:vAlign w:val="center"/>
                  <w:tcBorders>
                    <w:tl2br w:val="nil"/>
                    <w:tr2bl w:val="nil"/>
                  </w:tcBorders>
                </w:tcPr>
                <w:p w14:paraId="72B709B6">
                  <w:pPr>
                    <w:jc w:val="center"/>
                    <w:rPr>
                      <w:color w:val="auto"/>
                      <w:szCs w:val="21"/>
                    </w:rPr>
                  </w:pPr>
                  <w:r>
                    <w:rPr>
                      <w:color w:val="auto"/>
                      <w:szCs w:val="21"/>
                      <w:rFonts w:hint="eastAsia"/>
                    </w:rPr>
                    <w:t>25</w:t>
                  </w:r>
                </w:p>
              </w:tc>
              <w:tc>
                <w:tcPr>
                  <w:tcW w:w="312" w:type="pct"/>
                  <w:vAlign w:val="center"/>
                  <w:tcBorders>
                    <w:tl2br w:val="nil"/>
                    <w:tr2bl w:val="nil"/>
                  </w:tcBorders>
                </w:tcPr>
                <w:p w14:paraId="1D6A2690">
                  <w:pPr>
                    <w:jc w:val="center"/>
                    <w:rPr>
                      <w:color w:val="auto"/>
                      <w:szCs w:val="21"/>
                    </w:rPr>
                  </w:pPr>
                  <w:r>
                    <w:rPr>
                      <w:color w:val="auto"/>
                      <w:szCs w:val="21"/>
                      <w:rFonts w:hint="eastAsia"/>
                    </w:rPr>
                    <w:t>7</w:t>
                  </w:r>
                </w:p>
              </w:tc>
              <w:tc>
                <w:tcPr>
                  <w:tcW w:w="343" w:type="pct"/>
                  <w:vAlign w:val="center"/>
                  <w:tcBorders>
                    <w:tl2br w:val="nil"/>
                    <w:tr2bl w:val="nil"/>
                  </w:tcBorders>
                </w:tcPr>
                <w:p w14:paraId="73E998C9">
                  <w:pPr>
                    <w:jc w:val="center"/>
                    <w:rPr>
                      <w:color w:val="auto"/>
                      <w:szCs w:val="21"/>
                    </w:rPr>
                  </w:pPr>
                  <w:r>
                    <w:rPr>
                      <w:color w:val="auto"/>
                      <w:szCs w:val="21"/>
                      <w:rFonts w:hint="eastAsia"/>
                    </w:rPr>
                    <w:t>164</w:t>
                  </w:r>
                </w:p>
              </w:tc>
              <w:tc>
                <w:tcPr>
                  <w:tcW w:w="839" w:type="pct"/>
                  <w:vAlign w:val="center"/>
                  <w:tcBorders>
                    <w:tl2br w:val="nil"/>
                    <w:tr2bl w:val="nil"/>
                  </w:tcBorders>
                </w:tcPr>
                <w:p w14:paraId="201251FA">
                  <w:pPr>
                    <w:jc w:val="center"/>
                    <w:rPr>
                      <w:color w:val="auto"/>
                      <w:szCs w:val="21"/>
                    </w:rPr>
                  </w:pPr>
                  <w:r>
                    <w:rPr>
                      <w:color w:val="auto"/>
                      <w:szCs w:val="21"/>
                      <w:rFonts w:hint="eastAsia"/>
                    </w:rPr>
                    <w:t>70</w:t>
                  </w:r>
                </w:p>
              </w:tc>
              <w:tc>
                <w:tcPr>
                  <w:tcW w:w="1074" w:type="pct"/>
                  <w:vAlign w:val="center"/>
                  <w:tcBorders>
                    <w:tl2br w:val="nil"/>
                    <w:tr2bl w:val="nil"/>
                  </w:tcBorders>
                </w:tcPr>
                <w:p w14:paraId="42569648">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6EF980DA">
                  <w:pPr>
                    <w:jc w:val="center"/>
                    <w:rPr>
                      <w:color w:val="auto"/>
                      <w:szCs w:val="21"/>
                    </w:rPr>
                  </w:pPr>
                </w:p>
              </w:tc>
            </w:tr>
            <w:tr w14:paraId="0C475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3E8F0B32">
                  <w:pPr>
                    <w:jc w:val="center"/>
                    <w:rPr>
                      <w:color w:val="auto"/>
                      <w:szCs w:val="21"/>
                    </w:rPr>
                  </w:pPr>
                  <w:r>
                    <w:rPr>
                      <w:color w:val="auto"/>
                      <w:szCs w:val="21"/>
                      <w:rFonts w:hint="eastAsia"/>
                    </w:rPr>
                    <w:t>8</w:t>
                  </w:r>
                </w:p>
              </w:tc>
              <w:tc>
                <w:tcPr>
                  <w:tcW w:w="827" w:type="pct"/>
                  <w:vAlign w:val="center"/>
                  <w:tcBorders>
                    <w:tl2br w:val="nil"/>
                    <w:tr2bl w:val="nil"/>
                  </w:tcBorders>
                </w:tcPr>
                <w:p w14:paraId="3BBB1DAC">
                  <w:pPr>
                    <w:jc w:val="center"/>
                    <w:rPr>
                      <w:color w:val="auto"/>
                      <w:szCs w:val="21"/>
                    </w:rPr>
                  </w:pPr>
                  <w:r>
                    <w:rPr>
                      <w:color w:val="auto"/>
                      <w:szCs w:val="21"/>
                    </w:rPr>
                    <w:t>风机</w:t>
                  </w:r>
                </w:p>
              </w:tc>
              <w:tc>
                <w:tcPr>
                  <w:tcW w:w="273" w:type="pct"/>
                  <w:vAlign w:val="center"/>
                  <w:tcBorders>
                    <w:tl2br w:val="nil"/>
                    <w:tr2bl w:val="nil"/>
                  </w:tcBorders>
                </w:tcPr>
                <w:p w14:paraId="186A12E9">
                  <w:pPr>
                    <w:jc w:val="center"/>
                    <w:rPr>
                      <w:color w:val="auto"/>
                      <w:szCs w:val="21"/>
                    </w:rPr>
                  </w:pPr>
                </w:p>
              </w:tc>
              <w:tc>
                <w:tcPr>
                  <w:tcW w:w="312" w:type="pct"/>
                  <w:vAlign w:val="center"/>
                  <w:tcBorders>
                    <w:tl2br w:val="nil"/>
                    <w:tr2bl w:val="nil"/>
                  </w:tcBorders>
                </w:tcPr>
                <w:p w14:paraId="47EF2E77">
                  <w:pPr>
                    <w:jc w:val="center"/>
                    <w:rPr>
                      <w:color w:val="auto"/>
                      <w:szCs w:val="21"/>
                    </w:rPr>
                  </w:pPr>
                  <w:r>
                    <w:rPr>
                      <w:color w:val="auto"/>
                      <w:szCs w:val="21"/>
                      <w:rFonts w:hint="eastAsia"/>
                    </w:rPr>
                    <w:t>-5</w:t>
                  </w:r>
                </w:p>
              </w:tc>
              <w:tc>
                <w:tcPr>
                  <w:tcW w:w="312" w:type="pct"/>
                  <w:vAlign w:val="center"/>
                  <w:tcBorders>
                    <w:tl2br w:val="nil"/>
                    <w:tr2bl w:val="nil"/>
                  </w:tcBorders>
                </w:tcPr>
                <w:p w14:paraId="569D1DF9">
                  <w:pPr>
                    <w:jc w:val="center"/>
                    <w:rPr>
                      <w:color w:val="auto"/>
                      <w:szCs w:val="21"/>
                    </w:rPr>
                  </w:pPr>
                  <w:r>
                    <w:rPr>
                      <w:color w:val="auto"/>
                      <w:szCs w:val="21"/>
                      <w:rFonts w:hint="eastAsia"/>
                    </w:rPr>
                    <w:t>16</w:t>
                  </w:r>
                </w:p>
              </w:tc>
              <w:tc>
                <w:tcPr>
                  <w:tcW w:w="343" w:type="pct"/>
                  <w:vAlign w:val="center"/>
                  <w:tcBorders>
                    <w:tl2br w:val="nil"/>
                    <w:tr2bl w:val="nil"/>
                  </w:tcBorders>
                </w:tcPr>
                <w:p w14:paraId="376CF4EF">
                  <w:pPr>
                    <w:jc w:val="center"/>
                    <w:rPr>
                      <w:color w:val="auto"/>
                      <w:szCs w:val="21"/>
                    </w:rPr>
                  </w:pPr>
                  <w:r>
                    <w:rPr>
                      <w:color w:val="auto"/>
                      <w:szCs w:val="21"/>
                      <w:rFonts w:hint="eastAsia"/>
                    </w:rPr>
                    <w:t>164</w:t>
                  </w:r>
                </w:p>
              </w:tc>
              <w:tc>
                <w:tcPr>
                  <w:tcW w:w="839" w:type="pct"/>
                  <w:vAlign w:val="center"/>
                  <w:tcBorders>
                    <w:tl2br w:val="nil"/>
                    <w:tr2bl w:val="nil"/>
                  </w:tcBorders>
                </w:tcPr>
                <w:p w14:paraId="2683874B">
                  <w:pPr>
                    <w:jc w:val="center"/>
                    <w:rPr>
                      <w:color w:val="auto"/>
                      <w:szCs w:val="21"/>
                    </w:rPr>
                  </w:pPr>
                  <w:r>
                    <w:rPr>
                      <w:color w:val="auto"/>
                      <w:szCs w:val="21"/>
                      <w:rFonts w:hint="eastAsia"/>
                    </w:rPr>
                    <w:t>70</w:t>
                  </w:r>
                </w:p>
              </w:tc>
              <w:tc>
                <w:tcPr>
                  <w:tcW w:w="1074" w:type="pct"/>
                  <w:vAlign w:val="center"/>
                  <w:tcBorders>
                    <w:tl2br w:val="nil"/>
                    <w:tr2bl w:val="nil"/>
                  </w:tcBorders>
                </w:tcPr>
                <w:p w14:paraId="528D9589">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3EC4CC75">
                  <w:pPr>
                    <w:jc w:val="center"/>
                    <w:rPr>
                      <w:color w:val="auto"/>
                      <w:szCs w:val="21"/>
                    </w:rPr>
                  </w:pPr>
                </w:p>
              </w:tc>
            </w:tr>
            <w:tr w14:paraId="1DE1D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73C0365B">
                  <w:pPr>
                    <w:jc w:val="center"/>
                    <w:rPr>
                      <w:color w:val="auto"/>
                      <w:szCs w:val="21"/>
                    </w:rPr>
                  </w:pPr>
                  <w:r>
                    <w:rPr>
                      <w:color w:val="auto"/>
                      <w:szCs w:val="21"/>
                      <w:rFonts w:hint="eastAsia"/>
                    </w:rPr>
                    <w:t>9</w:t>
                  </w:r>
                </w:p>
              </w:tc>
              <w:tc>
                <w:tcPr>
                  <w:tcW w:w="827" w:type="pct"/>
                  <w:vAlign w:val="center"/>
                  <w:tcBorders>
                    <w:tl2br w:val="nil"/>
                    <w:tr2bl w:val="nil"/>
                  </w:tcBorders>
                </w:tcPr>
                <w:p w14:paraId="61501657">
                  <w:pPr>
                    <w:jc w:val="center"/>
                    <w:rPr>
                      <w:color w:val="auto"/>
                      <w:szCs w:val="21"/>
                    </w:rPr>
                  </w:pPr>
                  <w:r>
                    <w:rPr>
                      <w:color w:val="auto"/>
                      <w:szCs w:val="21"/>
                    </w:rPr>
                    <w:t>风机</w:t>
                  </w:r>
                </w:p>
              </w:tc>
              <w:tc>
                <w:tcPr>
                  <w:tcW w:w="273" w:type="pct"/>
                  <w:vAlign w:val="center"/>
                  <w:tcBorders>
                    <w:tl2br w:val="nil"/>
                    <w:tr2bl w:val="nil"/>
                  </w:tcBorders>
                </w:tcPr>
                <w:p w14:paraId="4C554F74">
                  <w:pPr>
                    <w:jc w:val="center"/>
                    <w:rPr>
                      <w:color w:val="auto"/>
                      <w:szCs w:val="21"/>
                    </w:rPr>
                  </w:pPr>
                </w:p>
              </w:tc>
              <w:tc>
                <w:tcPr>
                  <w:tcW w:w="312" w:type="pct"/>
                  <w:vAlign w:val="center"/>
                  <w:tcBorders>
                    <w:tl2br w:val="nil"/>
                    <w:tr2bl w:val="nil"/>
                  </w:tcBorders>
                </w:tcPr>
                <w:p w14:paraId="1BFC4F2A">
                  <w:pPr>
                    <w:jc w:val="center"/>
                    <w:rPr>
                      <w:color w:val="auto"/>
                      <w:szCs w:val="21"/>
                    </w:rPr>
                  </w:pPr>
                  <w:r>
                    <w:rPr>
                      <w:color w:val="auto"/>
                      <w:szCs w:val="21"/>
                      <w:rFonts w:hint="eastAsia"/>
                    </w:rPr>
                    <w:t>-8</w:t>
                  </w:r>
                </w:p>
              </w:tc>
              <w:tc>
                <w:tcPr>
                  <w:tcW w:w="312" w:type="pct"/>
                  <w:vAlign w:val="center"/>
                  <w:tcBorders>
                    <w:tl2br w:val="nil"/>
                    <w:tr2bl w:val="nil"/>
                  </w:tcBorders>
                </w:tcPr>
                <w:p w14:paraId="7F85E782">
                  <w:pPr>
                    <w:jc w:val="center"/>
                    <w:rPr>
                      <w:color w:val="auto"/>
                      <w:szCs w:val="21"/>
                    </w:rPr>
                  </w:pPr>
                  <w:r>
                    <w:rPr>
                      <w:color w:val="auto"/>
                      <w:szCs w:val="21"/>
                      <w:rFonts w:hint="eastAsia"/>
                    </w:rPr>
                    <w:t>9</w:t>
                  </w:r>
                </w:p>
              </w:tc>
              <w:tc>
                <w:tcPr>
                  <w:tcW w:w="343" w:type="pct"/>
                  <w:vAlign w:val="center"/>
                  <w:tcBorders>
                    <w:tl2br w:val="nil"/>
                    <w:tr2bl w:val="nil"/>
                  </w:tcBorders>
                </w:tcPr>
                <w:p w14:paraId="7C16AB41">
                  <w:pPr>
                    <w:jc w:val="center"/>
                    <w:rPr>
                      <w:color w:val="auto"/>
                      <w:szCs w:val="21"/>
                    </w:rPr>
                  </w:pPr>
                  <w:r>
                    <w:rPr>
                      <w:color w:val="auto"/>
                      <w:szCs w:val="21"/>
                      <w:rFonts w:hint="eastAsia"/>
                    </w:rPr>
                    <w:t>164</w:t>
                  </w:r>
                </w:p>
              </w:tc>
              <w:tc>
                <w:tcPr>
                  <w:tcW w:w="839" w:type="pct"/>
                  <w:vAlign w:val="center"/>
                  <w:tcBorders>
                    <w:tl2br w:val="nil"/>
                    <w:tr2bl w:val="nil"/>
                  </w:tcBorders>
                </w:tcPr>
                <w:p w14:paraId="2D8CEE2E">
                  <w:pPr>
                    <w:jc w:val="center"/>
                    <w:rPr>
                      <w:color w:val="auto"/>
                      <w:szCs w:val="21"/>
                    </w:rPr>
                  </w:pPr>
                  <w:r>
                    <w:rPr>
                      <w:color w:val="auto"/>
                      <w:szCs w:val="21"/>
                      <w:rFonts w:hint="eastAsia"/>
                    </w:rPr>
                    <w:t>70</w:t>
                  </w:r>
                </w:p>
              </w:tc>
              <w:tc>
                <w:tcPr>
                  <w:tcW w:w="1074" w:type="pct"/>
                  <w:vAlign w:val="center"/>
                  <w:tcBorders>
                    <w:tl2br w:val="nil"/>
                    <w:tr2bl w:val="nil"/>
                  </w:tcBorders>
                </w:tcPr>
                <w:p w14:paraId="09C7238F">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5C973496">
                  <w:pPr>
                    <w:jc w:val="center"/>
                    <w:rPr>
                      <w:color w:val="auto"/>
                      <w:szCs w:val="21"/>
                    </w:rPr>
                  </w:pPr>
                </w:p>
              </w:tc>
            </w:tr>
            <w:tr w14:paraId="19A74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267495A1">
                  <w:pPr>
                    <w:jc w:val="center"/>
                    <w:rPr>
                      <w:color w:val="auto"/>
                      <w:szCs w:val="21"/>
                    </w:rPr>
                  </w:pPr>
                  <w:r>
                    <w:rPr>
                      <w:color w:val="auto"/>
                      <w:szCs w:val="21"/>
                      <w:rFonts w:hint="eastAsia"/>
                    </w:rPr>
                    <w:t>10</w:t>
                  </w:r>
                </w:p>
              </w:tc>
              <w:tc>
                <w:tcPr>
                  <w:tcW w:w="827" w:type="pct"/>
                  <w:vAlign w:val="center"/>
                  <w:tcBorders>
                    <w:tl2br w:val="nil"/>
                    <w:tr2bl w:val="nil"/>
                  </w:tcBorders>
                </w:tcPr>
                <w:p w14:paraId="19920B08">
                  <w:pPr>
                    <w:jc w:val="center"/>
                    <w:rPr>
                      <w:color w:val="auto"/>
                      <w:szCs w:val="21"/>
                    </w:rPr>
                  </w:pPr>
                  <w:r>
                    <w:rPr>
                      <w:color w:val="auto"/>
                      <w:szCs w:val="21"/>
                    </w:rPr>
                    <w:t>风机</w:t>
                  </w:r>
                </w:p>
              </w:tc>
              <w:tc>
                <w:tcPr>
                  <w:tcW w:w="273" w:type="pct"/>
                  <w:vAlign w:val="center"/>
                  <w:tcBorders>
                    <w:tl2br w:val="nil"/>
                    <w:tr2bl w:val="nil"/>
                  </w:tcBorders>
                </w:tcPr>
                <w:p w14:paraId="4D5FD97E">
                  <w:pPr>
                    <w:jc w:val="center"/>
                    <w:rPr>
                      <w:color w:val="auto"/>
                      <w:szCs w:val="21"/>
                    </w:rPr>
                  </w:pPr>
                </w:p>
              </w:tc>
              <w:tc>
                <w:tcPr>
                  <w:tcW w:w="312" w:type="pct"/>
                  <w:vAlign w:val="center"/>
                  <w:tcBorders>
                    <w:tl2br w:val="nil"/>
                    <w:tr2bl w:val="nil"/>
                  </w:tcBorders>
                </w:tcPr>
                <w:p w14:paraId="3B8E325B">
                  <w:pPr>
                    <w:jc w:val="center"/>
                    <w:rPr>
                      <w:color w:val="auto"/>
                      <w:szCs w:val="21"/>
                    </w:rPr>
                  </w:pPr>
                  <w:r>
                    <w:rPr>
                      <w:color w:val="auto"/>
                      <w:szCs w:val="21"/>
                      <w:rFonts w:hint="eastAsia"/>
                    </w:rPr>
                    <w:t>15</w:t>
                  </w:r>
                </w:p>
              </w:tc>
              <w:tc>
                <w:tcPr>
                  <w:tcW w:w="312" w:type="pct"/>
                  <w:vAlign w:val="center"/>
                  <w:tcBorders>
                    <w:tl2br w:val="nil"/>
                    <w:tr2bl w:val="nil"/>
                  </w:tcBorders>
                </w:tcPr>
                <w:p w14:paraId="5611FE85">
                  <w:pPr>
                    <w:jc w:val="center"/>
                    <w:rPr>
                      <w:color w:val="auto"/>
                      <w:szCs w:val="21"/>
                    </w:rPr>
                  </w:pPr>
                  <w:r>
                    <w:rPr>
                      <w:color w:val="auto"/>
                      <w:szCs w:val="21"/>
                      <w:rFonts w:hint="eastAsia"/>
                    </w:rPr>
                    <w:t>-30</w:t>
                  </w:r>
                </w:p>
              </w:tc>
              <w:tc>
                <w:tcPr>
                  <w:tcW w:w="343" w:type="pct"/>
                  <w:vAlign w:val="center"/>
                  <w:tcBorders>
                    <w:tl2br w:val="nil"/>
                    <w:tr2bl w:val="nil"/>
                  </w:tcBorders>
                </w:tcPr>
                <w:p w14:paraId="50230F0D">
                  <w:pPr>
                    <w:jc w:val="center"/>
                    <w:rPr>
                      <w:color w:val="auto"/>
                      <w:szCs w:val="21"/>
                    </w:rPr>
                  </w:pPr>
                  <w:r>
                    <w:rPr>
                      <w:color w:val="auto"/>
                      <w:szCs w:val="21"/>
                      <w:rFonts w:hint="eastAsia"/>
                    </w:rPr>
                    <w:t>164</w:t>
                  </w:r>
                </w:p>
              </w:tc>
              <w:tc>
                <w:tcPr>
                  <w:tcW w:w="839" w:type="pct"/>
                  <w:vAlign w:val="center"/>
                  <w:tcBorders>
                    <w:tl2br w:val="nil"/>
                    <w:tr2bl w:val="nil"/>
                  </w:tcBorders>
                </w:tcPr>
                <w:p w14:paraId="2B389A56">
                  <w:pPr>
                    <w:jc w:val="center"/>
                    <w:rPr>
                      <w:color w:val="auto"/>
                      <w:szCs w:val="21"/>
                    </w:rPr>
                  </w:pPr>
                  <w:r>
                    <w:rPr>
                      <w:color w:val="auto"/>
                      <w:szCs w:val="21"/>
                      <w:rFonts w:hint="eastAsia"/>
                    </w:rPr>
                    <w:t>80</w:t>
                  </w:r>
                </w:p>
              </w:tc>
              <w:tc>
                <w:tcPr>
                  <w:tcW w:w="1074" w:type="pct"/>
                  <w:vAlign w:val="center"/>
                  <w:tcBorders>
                    <w:tl2br w:val="nil"/>
                    <w:tr2bl w:val="nil"/>
                  </w:tcBorders>
                </w:tcPr>
                <w:p w14:paraId="7F8815EB">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68F4AEE8">
                  <w:pPr>
                    <w:jc w:val="center"/>
                    <w:rPr>
                      <w:color w:val="auto"/>
                      <w:szCs w:val="21"/>
                    </w:rPr>
                  </w:pPr>
                </w:p>
              </w:tc>
            </w:tr>
            <w:tr w14:paraId="140CC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1A07BBE2">
                  <w:pPr>
                    <w:jc w:val="center"/>
                    <w:rPr>
                      <w:color w:val="auto"/>
                      <w:szCs w:val="21"/>
                    </w:rPr>
                  </w:pPr>
                  <w:r>
                    <w:rPr>
                      <w:color w:val="auto"/>
                      <w:szCs w:val="21"/>
                      <w:rFonts w:hint="eastAsia"/>
                    </w:rPr>
                    <w:t>11</w:t>
                  </w:r>
                </w:p>
              </w:tc>
              <w:tc>
                <w:tcPr>
                  <w:tcW w:w="827" w:type="pct"/>
                  <w:vAlign w:val="center"/>
                  <w:tcBorders>
                    <w:tl2br w:val="nil"/>
                    <w:tr2bl w:val="nil"/>
                  </w:tcBorders>
                </w:tcPr>
                <w:p w14:paraId="06F04FF2">
                  <w:pPr>
                    <w:jc w:val="center"/>
                    <w:rPr>
                      <w:color w:val="auto"/>
                      <w:szCs w:val="21"/>
                    </w:rPr>
                  </w:pPr>
                  <w:r>
                    <w:rPr>
                      <w:color w:val="auto"/>
                      <w:szCs w:val="21"/>
                    </w:rPr>
                    <w:t>风机</w:t>
                  </w:r>
                </w:p>
              </w:tc>
              <w:tc>
                <w:tcPr>
                  <w:tcW w:w="273" w:type="pct"/>
                  <w:vAlign w:val="center"/>
                  <w:tcBorders>
                    <w:tl2br w:val="nil"/>
                    <w:tr2bl w:val="nil"/>
                  </w:tcBorders>
                </w:tcPr>
                <w:p w14:paraId="7E13A7DA">
                  <w:pPr>
                    <w:jc w:val="center"/>
                    <w:rPr>
                      <w:color w:val="auto"/>
                      <w:szCs w:val="21"/>
                    </w:rPr>
                  </w:pPr>
                </w:p>
              </w:tc>
              <w:tc>
                <w:tcPr>
                  <w:tcW w:w="312" w:type="pct"/>
                  <w:vAlign w:val="center"/>
                  <w:tcBorders>
                    <w:tl2br w:val="nil"/>
                    <w:tr2bl w:val="nil"/>
                  </w:tcBorders>
                </w:tcPr>
                <w:p w14:paraId="3320BDEE">
                  <w:pPr>
                    <w:jc w:val="center"/>
                    <w:rPr>
                      <w:color w:val="auto"/>
                      <w:szCs w:val="21"/>
                    </w:rPr>
                  </w:pPr>
                  <w:r>
                    <w:rPr>
                      <w:color w:val="auto"/>
                      <w:szCs w:val="21"/>
                      <w:rFonts w:hint="eastAsia"/>
                    </w:rPr>
                    <w:t>13</w:t>
                  </w:r>
                </w:p>
              </w:tc>
              <w:tc>
                <w:tcPr>
                  <w:tcW w:w="312" w:type="pct"/>
                  <w:vAlign w:val="center"/>
                  <w:tcBorders>
                    <w:tl2br w:val="nil"/>
                    <w:tr2bl w:val="nil"/>
                  </w:tcBorders>
                </w:tcPr>
                <w:p w14:paraId="5B177152">
                  <w:pPr>
                    <w:jc w:val="center"/>
                    <w:rPr>
                      <w:color w:val="auto"/>
                      <w:szCs w:val="21"/>
                    </w:rPr>
                  </w:pPr>
                  <w:r>
                    <w:rPr>
                      <w:color w:val="auto"/>
                      <w:szCs w:val="21"/>
                      <w:rFonts w:hint="eastAsia"/>
                    </w:rPr>
                    <w:t>-11</w:t>
                  </w:r>
                </w:p>
              </w:tc>
              <w:tc>
                <w:tcPr>
                  <w:tcW w:w="343" w:type="pct"/>
                  <w:vAlign w:val="center"/>
                  <w:tcBorders>
                    <w:tl2br w:val="nil"/>
                    <w:tr2bl w:val="nil"/>
                  </w:tcBorders>
                </w:tcPr>
                <w:p w14:paraId="0FA804C9">
                  <w:pPr>
                    <w:jc w:val="center"/>
                    <w:rPr>
                      <w:color w:val="auto"/>
                      <w:szCs w:val="21"/>
                    </w:rPr>
                  </w:pPr>
                  <w:r>
                    <w:rPr>
                      <w:color w:val="auto"/>
                      <w:szCs w:val="21"/>
                      <w:rFonts w:hint="eastAsia"/>
                    </w:rPr>
                    <w:t>164</w:t>
                  </w:r>
                </w:p>
              </w:tc>
              <w:tc>
                <w:tcPr>
                  <w:tcW w:w="839" w:type="pct"/>
                  <w:vAlign w:val="center"/>
                  <w:tcBorders>
                    <w:tl2br w:val="nil"/>
                    <w:tr2bl w:val="nil"/>
                  </w:tcBorders>
                </w:tcPr>
                <w:p w14:paraId="3682DBA9">
                  <w:pPr>
                    <w:jc w:val="center"/>
                    <w:rPr>
                      <w:color w:val="auto"/>
                      <w:szCs w:val="21"/>
                    </w:rPr>
                  </w:pPr>
                  <w:r>
                    <w:rPr>
                      <w:color w:val="auto"/>
                      <w:szCs w:val="21"/>
                      <w:rFonts w:hint="eastAsia"/>
                    </w:rPr>
                    <w:t>70</w:t>
                  </w:r>
                </w:p>
              </w:tc>
              <w:tc>
                <w:tcPr>
                  <w:tcW w:w="1074" w:type="pct"/>
                  <w:vAlign w:val="center"/>
                  <w:tcBorders>
                    <w:tl2br w:val="nil"/>
                    <w:tr2bl w:val="nil"/>
                  </w:tcBorders>
                </w:tcPr>
                <w:p w14:paraId="1F9E24AF">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03B35A4C">
                  <w:pPr>
                    <w:jc w:val="center"/>
                    <w:rPr>
                      <w:color w:val="auto"/>
                      <w:szCs w:val="21"/>
                    </w:rPr>
                  </w:pPr>
                </w:p>
              </w:tc>
            </w:tr>
            <w:tr w14:paraId="17360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60" w:hRule="atLeast"/>
              </w:trPr>
              <w:tc>
                <w:tcPr>
                  <w:tcW w:w="333" w:type="pct"/>
                  <w:vAlign w:val="center"/>
                  <w:tcBorders>
                    <w:tl2br w:val="nil"/>
                    <w:tr2bl w:val="nil"/>
                  </w:tcBorders>
                </w:tcPr>
                <w:p w14:paraId="274EC703">
                  <w:pPr>
                    <w:jc w:val="center"/>
                    <w:rPr>
                      <w:color w:val="auto"/>
                      <w:szCs w:val="21"/>
                    </w:rPr>
                  </w:pPr>
                  <w:r>
                    <w:rPr>
                      <w:color w:val="auto"/>
                      <w:szCs w:val="21"/>
                      <w:rFonts w:hint="eastAsia"/>
                    </w:rPr>
                    <w:t>12</w:t>
                  </w:r>
                </w:p>
              </w:tc>
              <w:tc>
                <w:tcPr>
                  <w:tcW w:w="827" w:type="pct"/>
                  <w:vAlign w:val="center"/>
                  <w:tcBorders>
                    <w:tl2br w:val="nil"/>
                    <w:tr2bl w:val="nil"/>
                  </w:tcBorders>
                </w:tcPr>
                <w:p w14:paraId="06B162AD">
                  <w:pPr>
                    <w:jc w:val="center"/>
                    <w:rPr>
                      <w:color w:val="auto"/>
                      <w:szCs w:val="21"/>
                    </w:rPr>
                  </w:pPr>
                  <w:r>
                    <w:rPr>
                      <w:color w:val="auto"/>
                      <w:szCs w:val="21"/>
                    </w:rPr>
                    <w:t>风机</w:t>
                  </w:r>
                </w:p>
              </w:tc>
              <w:tc>
                <w:tcPr>
                  <w:tcW w:w="273" w:type="pct"/>
                  <w:vAlign w:val="center"/>
                  <w:tcBorders>
                    <w:tl2br w:val="nil"/>
                    <w:tr2bl w:val="nil"/>
                  </w:tcBorders>
                </w:tcPr>
                <w:p w14:paraId="649D2C83">
                  <w:pPr>
                    <w:jc w:val="center"/>
                    <w:rPr>
                      <w:color w:val="auto"/>
                      <w:szCs w:val="21"/>
                    </w:rPr>
                  </w:pPr>
                </w:p>
              </w:tc>
              <w:tc>
                <w:tcPr>
                  <w:tcW w:w="312" w:type="pct"/>
                  <w:vAlign w:val="center"/>
                  <w:tcBorders>
                    <w:tl2br w:val="nil"/>
                    <w:tr2bl w:val="nil"/>
                  </w:tcBorders>
                </w:tcPr>
                <w:p w14:paraId="64CFA78F">
                  <w:pPr>
                    <w:jc w:val="center"/>
                    <w:rPr>
                      <w:color w:val="auto"/>
                      <w:szCs w:val="21"/>
                    </w:rPr>
                  </w:pPr>
                  <w:r>
                    <w:rPr>
                      <w:color w:val="auto"/>
                      <w:szCs w:val="21"/>
                      <w:rFonts w:hint="eastAsia"/>
                    </w:rPr>
                    <w:t>6</w:t>
                  </w:r>
                </w:p>
              </w:tc>
              <w:tc>
                <w:tcPr>
                  <w:tcW w:w="312" w:type="pct"/>
                  <w:vAlign w:val="center"/>
                  <w:tcBorders>
                    <w:tl2br w:val="nil"/>
                    <w:tr2bl w:val="nil"/>
                  </w:tcBorders>
                </w:tcPr>
                <w:p w14:paraId="409B11EA">
                  <w:pPr>
                    <w:jc w:val="center"/>
                    <w:rPr>
                      <w:color w:val="auto"/>
                      <w:szCs w:val="21"/>
                    </w:rPr>
                  </w:pPr>
                  <w:r>
                    <w:rPr>
                      <w:color w:val="auto"/>
                      <w:szCs w:val="21"/>
                      <w:rFonts w:hint="eastAsia"/>
                    </w:rPr>
                    <w:t>-7</w:t>
                  </w:r>
                </w:p>
              </w:tc>
              <w:tc>
                <w:tcPr>
                  <w:tcW w:w="343" w:type="pct"/>
                  <w:vAlign w:val="center"/>
                  <w:tcBorders>
                    <w:tl2br w:val="nil"/>
                    <w:tr2bl w:val="nil"/>
                  </w:tcBorders>
                </w:tcPr>
                <w:p w14:paraId="283C5274">
                  <w:pPr>
                    <w:jc w:val="center"/>
                    <w:rPr>
                      <w:color w:val="auto"/>
                      <w:szCs w:val="21"/>
                    </w:rPr>
                  </w:pPr>
                  <w:r>
                    <w:rPr>
                      <w:color w:val="auto"/>
                      <w:szCs w:val="21"/>
                      <w:rFonts w:hint="eastAsia"/>
                    </w:rPr>
                    <w:t>164</w:t>
                  </w:r>
                </w:p>
              </w:tc>
              <w:tc>
                <w:tcPr>
                  <w:tcW w:w="839" w:type="pct"/>
                  <w:vAlign w:val="center"/>
                  <w:tcBorders>
                    <w:tl2br w:val="nil"/>
                    <w:tr2bl w:val="nil"/>
                  </w:tcBorders>
                </w:tcPr>
                <w:p w14:paraId="613B8CFE">
                  <w:pPr>
                    <w:jc w:val="center"/>
                    <w:rPr>
                      <w:color w:val="auto"/>
                      <w:szCs w:val="21"/>
                    </w:rPr>
                  </w:pPr>
                  <w:r>
                    <w:rPr>
                      <w:color w:val="auto"/>
                      <w:szCs w:val="21"/>
                      <w:rFonts w:hint="eastAsia"/>
                    </w:rPr>
                    <w:t>70</w:t>
                  </w:r>
                </w:p>
              </w:tc>
              <w:tc>
                <w:tcPr>
                  <w:tcW w:w="1074" w:type="pct"/>
                  <w:vAlign w:val="center"/>
                  <w:tcBorders>
                    <w:tl2br w:val="nil"/>
                    <w:tr2bl w:val="nil"/>
                  </w:tcBorders>
                </w:tcPr>
                <w:p w14:paraId="5741AA29">
                  <w:pPr>
                    <w:jc w:val="center"/>
                    <w:rPr>
                      <w:color w:val="auto"/>
                      <w:szCs w:val="21"/>
                    </w:rPr>
                  </w:pPr>
                  <w:r>
                    <w:rPr>
                      <w:color w:val="auto"/>
                      <w:szCs w:val="21"/>
                      <w:rFonts w:hint="eastAsia"/>
                    </w:rPr>
                    <w:t>减振措施</w:t>
                  </w:r>
                </w:p>
              </w:tc>
              <w:tc>
                <w:tcPr>
                  <w:tcW w:w="687" w:type="pct"/>
                  <w:vMerge w:val="continue"/>
                  <w:vAlign w:val="center"/>
                  <w:tcBorders>
                    <w:tl2br w:val="nil"/>
                    <w:tr2bl w:val="nil"/>
                  </w:tcBorders>
                </w:tcPr>
                <w:p w14:paraId="7DC369CA">
                  <w:pPr>
                    <w:jc w:val="center"/>
                    <w:rPr>
                      <w:color w:val="auto"/>
                      <w:szCs w:val="21"/>
                    </w:rPr>
                  </w:pPr>
                </w:p>
              </w:tc>
            </w:tr>
          </w:tbl>
          <w:p w14:paraId="106454EC">
            <w:pPr>
              <w:contextualSpacing/>
              <w:spacing w:line="360" w:lineRule="auto"/>
              <w:ind w:firstLine="482" w:firstLineChars="200"/>
              <w:rPr>
                <w:b w:val="1"/>
                <w:color w:val="auto"/>
                <w:sz w:val="24"/>
                <w:bCs/>
              </w:rPr>
            </w:pPr>
            <w:r>
              <w:rPr>
                <w:b w:val="1"/>
                <w:color w:val="auto"/>
                <w:sz w:val="24"/>
                <w:bCs/>
              </w:rPr>
              <w:t>2、监测计划</w:t>
            </w:r>
          </w:p>
          <w:p w14:paraId="0FCC7636">
            <w:pPr>
              <w:contextualSpacing/>
              <w:spacing w:line="360" w:lineRule="auto"/>
              <w:ind w:firstLine="480" w:firstLineChars="200"/>
              <w:rPr>
                <w:color w:val="auto"/>
                <w:sz w:val="24"/>
              </w:rPr>
            </w:pPr>
            <w:r>
              <w:rPr>
                <w:color w:val="auto"/>
                <w:sz w:val="24"/>
              </w:rPr>
              <w:t>根据</w:t>
            </w:r>
            <w:r>
              <w:rPr>
                <w:color w:val="auto"/>
                <w:sz w:val="24"/>
                <w:rFonts w:eastAsiaTheme="minorEastAsia"/>
              </w:rPr>
              <w:t>《排污单位自行监测技术指南 总则》（H819-2017）</w:t>
            </w:r>
            <w:r>
              <w:rPr>
                <w:color w:val="auto"/>
                <w:sz w:val="24"/>
              </w:rPr>
              <w:t>，制定本项目噪声监测计划如下。</w:t>
            </w:r>
          </w:p>
          <w:p w14:paraId="48077395">
            <w:pPr>
              <w:jc w:val="center"/>
              <w:contextualSpacing/>
              <w:rPr>
                <w:b w:val="1"/>
                <w:color w:val="auto"/>
                <w:sz w:val="24"/>
              </w:rPr>
            </w:pPr>
            <w:r>
              <w:rPr>
                <w:b w:val="1"/>
                <w:color w:val="auto"/>
                <w:sz w:val="24"/>
              </w:rPr>
              <w:t>表</w:t>
            </w:r>
            <w:r>
              <w:rPr>
                <w:b w:val="1"/>
                <w:color w:val="auto"/>
                <w:sz w:val="24"/>
                <w:lang w:val="en-US" w:eastAsia="zh-CN"/>
                <w:rFonts w:hint="eastAsia"/>
              </w:rPr>
              <w:t>4-8</w:t>
            </w:r>
            <w:r>
              <w:rPr>
                <w:b w:val="1"/>
                <w:color w:val="auto"/>
                <w:sz w:val="24"/>
              </w:rPr>
              <w:t>项目噪声监测计划表</w:t>
            </w:r>
          </w:p>
          <w:tbl>
            <w:tblPr>
              <w:tblStyle w:val="27"/>
              <w:tblW w:w="0" w:type="auto"/>
              <w:tblInd w:type="dxa" w:w="0.000000"/>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1628.000000"/>
              <w:gridCol w:w="1701.000000"/>
              <w:gridCol w:w="2410.000000"/>
              <w:gridCol w:w="3078.000000"/>
            </w:tblGrid>
            <w:tr w14:paraId="0D396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28" w:type="dxa"/>
                  <w:vAlign w:val="center"/>
                </w:tcPr>
                <w:p w14:paraId="407804B6">
                  <w:pPr>
                    <w:jc w:val="center"/>
                    <w:contextualSpacing/>
                    <w:rPr>
                      <w:color w:val="auto"/>
                      <w:kern w:val="0"/>
                      <w:szCs w:val="21"/>
                    </w:rPr>
                  </w:pPr>
                  <w:r>
                    <w:rPr>
                      <w:color w:val="auto"/>
                      <w:kern w:val="0"/>
                      <w:szCs w:val="21"/>
                    </w:rPr>
                    <w:t>类别</w:t>
                  </w:r>
                </w:p>
              </w:tc>
              <w:tc>
                <w:tcPr>
                  <w:tcW w:w="1701" w:type="dxa"/>
                  <w:vAlign w:val="center"/>
                </w:tcPr>
                <w:p w14:paraId="1B8985BE">
                  <w:pPr>
                    <w:jc w:val="center"/>
                    <w:contextualSpacing/>
                    <w:rPr>
                      <w:color w:val="auto"/>
                      <w:kern w:val="0"/>
                      <w:szCs w:val="21"/>
                    </w:rPr>
                  </w:pPr>
                  <w:r>
                    <w:rPr>
                      <w:color w:val="auto"/>
                      <w:kern w:val="0"/>
                      <w:szCs w:val="21"/>
                    </w:rPr>
                    <w:t>监测点位</w:t>
                  </w:r>
                </w:p>
              </w:tc>
              <w:tc>
                <w:tcPr>
                  <w:tcW w:w="2410" w:type="dxa"/>
                  <w:vAlign w:val="center"/>
                </w:tcPr>
                <w:p w14:paraId="7BCA272D">
                  <w:pPr>
                    <w:jc w:val="center"/>
                    <w:contextualSpacing/>
                    <w:rPr>
                      <w:color w:val="auto"/>
                      <w:kern w:val="0"/>
                      <w:szCs w:val="21"/>
                    </w:rPr>
                  </w:pPr>
                  <w:r>
                    <w:rPr>
                      <w:color w:val="auto"/>
                      <w:kern w:val="0"/>
                      <w:szCs w:val="21"/>
                    </w:rPr>
                    <w:t>监测项目</w:t>
                  </w:r>
                </w:p>
              </w:tc>
              <w:tc>
                <w:tcPr>
                  <w:tcW w:w="3078" w:type="dxa"/>
                  <w:vAlign w:val="center"/>
                </w:tcPr>
                <w:p w14:paraId="112AC8D5">
                  <w:pPr>
                    <w:jc w:val="center"/>
                    <w:contextualSpacing/>
                    <w:rPr>
                      <w:color w:val="auto"/>
                      <w:kern w:val="0"/>
                      <w:szCs w:val="21"/>
                    </w:rPr>
                  </w:pPr>
                  <w:r>
                    <w:rPr>
                      <w:color w:val="auto"/>
                      <w:kern w:val="0"/>
                      <w:szCs w:val="21"/>
                    </w:rPr>
                    <w:t>监测频次</w:t>
                  </w:r>
                </w:p>
              </w:tc>
            </w:tr>
            <w:tr w14:paraId="0CD74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c>
                <w:tcPr>
                  <w:tcW w:w="1628" w:type="dxa"/>
                  <w:vAlign w:val="center"/>
                </w:tcPr>
                <w:p w14:paraId="73EA459F">
                  <w:pPr>
                    <w:jc w:val="center"/>
                    <w:contextualSpacing/>
                    <w:rPr>
                      <w:color w:val="auto"/>
                      <w:kern w:val="0"/>
                      <w:szCs w:val="21"/>
                    </w:rPr>
                  </w:pPr>
                  <w:r>
                    <w:rPr>
                      <w:color w:val="auto"/>
                      <w:kern w:val="0"/>
                      <w:szCs w:val="21"/>
                    </w:rPr>
                    <w:t>厂界噪声</w:t>
                  </w:r>
                </w:p>
              </w:tc>
              <w:tc>
                <w:tcPr>
                  <w:tcW w:w="1701" w:type="dxa"/>
                  <w:vAlign w:val="center"/>
                </w:tcPr>
                <w:p w14:paraId="29950F44">
                  <w:pPr>
                    <w:jc w:val="center"/>
                    <w:contextualSpacing/>
                    <w:rPr>
                      <w:color w:val="auto"/>
                      <w:kern w:val="0"/>
                      <w:szCs w:val="21"/>
                    </w:rPr>
                  </w:pPr>
                  <w:r>
                    <w:rPr>
                      <w:color w:val="auto"/>
                      <w:kern w:val="0"/>
                      <w:szCs w:val="21"/>
                    </w:rPr>
                    <w:t>厂界四周</w:t>
                  </w:r>
                </w:p>
              </w:tc>
              <w:tc>
                <w:tcPr>
                  <w:tcW w:w="2410" w:type="dxa"/>
                  <w:vAlign w:val="center"/>
                </w:tcPr>
                <w:p w14:paraId="40E874FA">
                  <w:pPr>
                    <w:jc w:val="center"/>
                    <w:contextualSpacing/>
                    <w:rPr>
                      <w:color w:val="auto"/>
                      <w:kern w:val="0"/>
                      <w:szCs w:val="21"/>
                    </w:rPr>
                  </w:pPr>
                  <w:r>
                    <w:rPr>
                      <w:color w:val="auto"/>
                      <w:kern w:val="0"/>
                      <w:szCs w:val="21"/>
                    </w:rPr>
                    <w:t>等效连续A声级</w:t>
                  </w:r>
                </w:p>
              </w:tc>
              <w:tc>
                <w:tcPr>
                  <w:tcW w:w="3078" w:type="dxa"/>
                  <w:vAlign w:val="center"/>
                </w:tcPr>
                <w:p w14:paraId="606C61B1">
                  <w:pPr>
                    <w:jc w:val="center"/>
                    <w:contextualSpacing/>
                    <w:rPr>
                      <w:color w:val="auto"/>
                      <w:kern w:val="0"/>
                      <w:szCs w:val="21"/>
                    </w:rPr>
                  </w:pPr>
                  <w:r>
                    <w:rPr>
                      <w:color w:val="auto"/>
                      <w:kern w:val="0"/>
                      <w:szCs w:val="21"/>
                      <w:rFonts w:eastAsiaTheme="minorEastAsia"/>
                    </w:rPr>
                    <w:t>1次/季度</w:t>
                  </w:r>
                </w:p>
              </w:tc>
            </w:tr>
          </w:tbl>
          <w:p w14:paraId="2D1016F3">
            <w:pPr>
              <w:contextualSpacing/>
              <w:spacing w:line="360" w:lineRule="auto"/>
              <w:ind w:firstLine="482" w:firstLineChars="200"/>
              <w:rPr>
                <w:b w:val="1"/>
                <w:color w:val="auto"/>
                <w:sz w:val="24"/>
                <w:bCs/>
              </w:rPr>
            </w:pPr>
            <w:r>
              <w:rPr>
                <w:b w:val="1"/>
                <w:color w:val="auto"/>
                <w:sz w:val="24"/>
                <w:bCs/>
              </w:rPr>
              <w:t>3、噪声影响分析</w:t>
            </w:r>
          </w:p>
          <w:p w14:paraId="70AFAE4B">
            <w:pPr>
              <w:spacing w:line="360" w:lineRule="auto"/>
              <w:ind w:firstLine="480" w:firstLineChars="200"/>
              <w:rPr>
                <w:color w:val="auto"/>
                <w:sz w:val="24"/>
              </w:rPr>
            </w:pPr>
            <w:r>
              <w:rPr>
                <w:color w:val="auto"/>
                <w:sz w:val="24"/>
              </w:rPr>
              <w:t>根据《环境影响评价技术导则 声环境》（HJ2.4-2021）的要求，本项目声环境影响预测模型采用导则中附录A（规范性附录）户外声传播的衰减和附录B（规范性附录）中“B.1工业噪声预测计算模型”。</w:t>
            </w:r>
          </w:p>
          <w:p w14:paraId="3EEE67F5">
            <w:pPr>
              <w:pStyle w:val="97"/>
              <w:adjustRightInd w:val="0"/>
              <w:snapToGrid w:val="0"/>
              <w:spacing w:line="360" w:lineRule="auto"/>
              <w:ind w:firstLine="480" w:firstLineChars="200"/>
              <w:rPr>
                <w:color w:val="auto"/>
                <w:sz w:val="24"/>
                <w:szCs w:val="24"/>
              </w:rPr>
            </w:pPr>
            <w:r>
              <w:rPr>
                <w:color w:val="auto"/>
                <w:sz w:val="24"/>
                <w:rFonts w:hint="eastAsia" w:asciiTheme="minorEastAsia" w:hAnsiTheme="minorEastAsia" w:eastAsiaTheme="minorEastAsia"/>
              </w:rPr>
              <w:t>①</w:t>
            </w:r>
            <w:r>
              <w:rPr>
                <w:color w:val="auto"/>
                <w:sz w:val="24"/>
                <w:szCs w:val="24"/>
              </w:rPr>
              <w:t>无指向性点声源几何发散衰减的基本公式是：</w:t>
            </w:r>
          </w:p>
          <w:p w14:paraId="1793250D">
            <w:pPr>
              <w:pStyle w:val="97"/>
              <w:adjustRightInd w:val="0"/>
              <w:snapToGrid w:val="0"/>
              <w:jc w:val="center"/>
              <w:spacing w:line="360" w:lineRule="auto"/>
              <w:ind w:firstLine="198"/>
              <w:rPr>
                <w:color w:val="auto"/>
                <w:sz w:val="24"/>
                <w:szCs w:val="24"/>
              </w:rPr>
            </w:pPr>
            <w:r>
              <w:rPr>
                <w:color w:val="auto"/>
                <w:position w:val="-30"/>
                <w:sz w:val="24"/>
                <w:szCs w:val="24"/>
              </w:rPr>
              <w:drawing>
                <wp:inline distT="0" distB="0" distL="0" distR="0">
                  <wp:extent cx="1680210" cy="446405"/>
                  <wp:docPr id="11" name="_x0000_i1026"/>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a:stretch>
                            <a:fillRect/>
                          </a:stretch>
                        </pic:blipFill>
                        <pic:spPr>
                          <a:xfrm>
                            <a:off x="0" y="0"/>
                            <a:ext cx="1680210" cy="446405"/>
                          </a:xfrm>
                          <a:prstGeom prst="rect">
                            <a:avLst/>
                          </a:prstGeom>
                        </pic:spPr>
                      </pic:pic>
                    </a:graphicData>
                  </a:graphic>
                </wp:inline>
              </w:drawing>
            </w:r>
          </w:p>
          <w:p w14:paraId="7BF740FF">
            <w:pPr>
              <w:spacing w:line="360" w:lineRule="auto"/>
              <w:ind w:firstLine="480"/>
              <w:rPr>
                <w:color w:val="auto"/>
                <w:sz w:val="24"/>
              </w:rPr>
            </w:pPr>
            <w:r>
              <w:rPr>
                <w:color w:val="auto"/>
                <w:sz w:val="24"/>
              </w:rPr>
              <w:t>式中：</w:t>
            </w:r>
            <w:r>
              <w:rPr>
                <w:i w:val="1"/>
                <w:color w:val="auto"/>
                <w:sz w:val="24"/>
              </w:rPr>
              <w:t>L</w:t>
            </w:r>
            <w:r>
              <w:rPr>
                <w:vertAlign w:val="subscript"/>
                <w:color w:val="auto"/>
                <w:sz w:val="24"/>
              </w:rPr>
              <w:t>p</w:t>
            </w:r>
            <w:r>
              <w:rPr>
                <w:color w:val="auto"/>
                <w:sz w:val="24"/>
              </w:rPr>
              <w:t>(</w:t>
            </w:r>
            <w:r>
              <w:rPr>
                <w:i w:val="1"/>
                <w:color w:val="auto"/>
                <w:sz w:val="24"/>
              </w:rPr>
              <w:t>r</w:t>
            </w:r>
            <w:r>
              <w:rPr>
                <w:color w:val="auto"/>
                <w:sz w:val="24"/>
              </w:rPr>
              <w:t>)—预测点处声压级，dB；</w:t>
            </w:r>
          </w:p>
          <w:p w14:paraId="41434187">
            <w:pPr>
              <w:spacing w:line="360" w:lineRule="auto"/>
              <w:ind w:firstLine="948" w:firstLineChars="395"/>
              <w:rPr>
                <w:color w:val="auto"/>
                <w:sz w:val="24"/>
              </w:rPr>
            </w:pPr>
            <w:r>
              <w:rPr>
                <w:i w:val="1"/>
                <w:color w:val="auto"/>
                <w:sz w:val="24"/>
              </w:rPr>
              <w:t>L</w:t>
            </w:r>
            <w:r>
              <w:rPr>
                <w:vertAlign w:val="subscript"/>
                <w:color w:val="auto"/>
                <w:sz w:val="24"/>
              </w:rPr>
              <w:t>p</w:t>
            </w:r>
            <w:r>
              <w:rPr>
                <w:color w:val="auto"/>
                <w:sz w:val="24"/>
              </w:rPr>
              <w:t>(</w:t>
            </w:r>
            <w:r>
              <w:rPr>
                <w:i w:val="1"/>
                <w:color w:val="auto"/>
                <w:sz w:val="24"/>
              </w:rPr>
              <w:t>r</w:t>
            </w:r>
            <w:r>
              <w:rPr>
                <w:vertAlign w:val="subscript"/>
                <w:i w:val="1"/>
                <w:color w:val="auto"/>
                <w:sz w:val="24"/>
              </w:rPr>
              <w:t>0</w:t>
            </w:r>
            <w:r>
              <w:rPr>
                <w:color w:val="auto"/>
                <w:sz w:val="24"/>
              </w:rPr>
              <w:t>)—参考位置</w:t>
            </w:r>
            <w:r>
              <w:rPr>
                <w:i w:val="1"/>
                <w:color w:val="auto"/>
                <w:sz w:val="24"/>
              </w:rPr>
              <w:t>r</w:t>
            </w:r>
            <w:r>
              <w:rPr>
                <w:vertAlign w:val="subscript"/>
                <w:color w:val="auto"/>
                <w:sz w:val="24"/>
              </w:rPr>
              <w:t>0</w:t>
            </w:r>
            <w:r>
              <w:rPr>
                <w:color w:val="auto"/>
                <w:sz w:val="24"/>
              </w:rPr>
              <w:t>处的声压级，dB；</w:t>
            </w:r>
          </w:p>
          <w:p w14:paraId="5CFF4CD2">
            <w:pPr>
              <w:pStyle w:val="97"/>
              <w:spacing w:line="360" w:lineRule="auto"/>
              <w:ind w:firstLine="916" w:firstLineChars="382"/>
              <w:rPr>
                <w:color w:val="auto"/>
                <w:sz w:val="24"/>
                <w:szCs w:val="24"/>
              </w:rPr>
            </w:pPr>
            <w:r>
              <w:rPr>
                <w:i w:val="1"/>
                <w:color w:val="auto"/>
                <w:sz w:val="24"/>
                <w:szCs w:val="24"/>
              </w:rPr>
              <w:t>r</w:t>
            </w:r>
            <w:r>
              <w:rPr>
                <w:color w:val="auto"/>
                <w:sz w:val="24"/>
                <w:szCs w:val="24"/>
              </w:rPr>
              <w:t>—预测点距声源的距离；</w:t>
            </w:r>
          </w:p>
          <w:p w14:paraId="418FFA12">
            <w:pPr>
              <w:pStyle w:val="97"/>
              <w:spacing w:line="360" w:lineRule="auto"/>
              <w:ind w:firstLine="916" w:firstLineChars="382"/>
              <w:rPr>
                <w:color w:val="auto"/>
                <w:sz w:val="24"/>
                <w:szCs w:val="24"/>
              </w:rPr>
            </w:pPr>
            <w:r>
              <w:rPr>
                <w:i w:val="1"/>
                <w:color w:val="auto"/>
                <w:sz w:val="24"/>
                <w:szCs w:val="24"/>
              </w:rPr>
              <w:t>r</w:t>
            </w:r>
            <w:r>
              <w:rPr>
                <w:vertAlign w:val="subscript"/>
                <w:color w:val="auto"/>
                <w:sz w:val="24"/>
                <w:szCs w:val="24"/>
              </w:rPr>
              <w:t>0</w:t>
            </w:r>
            <w:r>
              <w:rPr>
                <w:color w:val="auto"/>
                <w:sz w:val="24"/>
                <w:szCs w:val="24"/>
              </w:rPr>
              <w:t>—参考位置距声源的距离，m。</w:t>
            </w:r>
          </w:p>
          <w:p w14:paraId="66F11B01">
            <w:pPr>
              <w:spacing w:line="360" w:lineRule="auto"/>
              <w:ind w:firstLine="480" w:firstLineChars="200"/>
              <w:rPr>
                <w:color w:val="auto"/>
                <w:sz w:val="24"/>
              </w:rPr>
            </w:pPr>
            <w:r>
              <w:rPr>
                <w:color w:val="auto"/>
                <w:sz w:val="24"/>
                <w:rFonts w:ascii="宋体" w:hAnsi="宋体" w:cs="宋体" w:hint="eastAsia"/>
              </w:rPr>
              <w:t>②</w:t>
            </w:r>
            <w:r>
              <w:rPr>
                <w:color w:val="auto"/>
                <w:sz w:val="24"/>
              </w:rPr>
              <w:t>建设项目声源在预测点产生的等效声级贡献值(L</w:t>
            </w:r>
            <w:r>
              <w:rPr>
                <w:vertAlign w:val="subscript"/>
                <w:color w:val="auto"/>
                <w:sz w:val="24"/>
              </w:rPr>
              <w:t>eqg</w:t>
            </w:r>
            <w:r>
              <w:rPr>
                <w:color w:val="auto"/>
                <w:sz w:val="24"/>
              </w:rPr>
              <w:t>)计算公式：</w:t>
            </w:r>
          </w:p>
          <w:p w14:paraId="43E01E7C">
            <w:pPr>
              <w:jc w:val="center"/>
              <w:spacing w:line="360" w:lineRule="auto"/>
              <w:rPr>
                <w:color w:val="auto"/>
                <w:sz w:val="24"/>
              </w:rPr>
            </w:pPr>
            <w:r>
              <w:rPr>
                <w:color w:val="auto"/>
                <w:sz w:val="24"/>
              </w:rPr>
              <w:drawing>
                <wp:inline distT="0" distB="0" distL="0" distR="0">
                  <wp:extent cx="1837690" cy="466090"/>
                  <wp:effectExtent l="0" t="0" r="0" b="0"/>
                  <wp:docPr id="1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1"/>
                          <pic:cNvPicPr/>
                        </pic:nvPicPr>
                        <pic:blipFill>
                          <a:blip r:embed="rId16" cstate="print"/>
                          <a:srcRect/>
                          <a:stretch>
                            <a:fillRect/>
                          </a:stretch>
                        </pic:blipFill>
                        <pic:spPr>
                          <a:xfrm>
                            <a:off x="0" y="0"/>
                            <a:ext cx="1837690" cy="466090"/>
                          </a:xfrm>
                          <a:prstGeom prst="rect">
                            <a:avLst/>
                          </a:prstGeom>
                          <a:noFill/>
                          <a:ln w="9525">
                            <a:noFill/>
                            <a:miter lim="800000"/>
                          </a:ln>
                        </pic:spPr>
                      </pic:pic>
                    </a:graphicData>
                  </a:graphic>
                </wp:inline>
              </w:drawing>
            </w:r>
          </w:p>
          <w:p w14:paraId="02657384">
            <w:pPr>
              <w:spacing w:line="360" w:lineRule="auto"/>
              <w:ind w:firstLine="480" w:firstLineChars="200"/>
              <w:rPr>
                <w:color w:val="auto"/>
                <w:sz w:val="24"/>
              </w:rPr>
            </w:pPr>
            <w:r>
              <w:rPr>
                <w:color w:val="auto"/>
                <w:sz w:val="24"/>
              </w:rPr>
              <w:t>L</w:t>
            </w:r>
            <w:r>
              <w:rPr>
                <w:vertAlign w:val="subscript"/>
                <w:color w:val="auto"/>
                <w:sz w:val="24"/>
              </w:rPr>
              <w:t>eqg</w:t>
            </w:r>
            <w:r>
              <w:rPr>
                <w:color w:val="auto"/>
                <w:sz w:val="24"/>
              </w:rPr>
              <w:t>——建设项目声源在预测点的等效声级贡献值，dB(A)；</w:t>
            </w:r>
          </w:p>
          <w:p w14:paraId="302FE541">
            <w:pPr>
              <w:spacing w:line="360" w:lineRule="auto"/>
              <w:ind w:firstLine="480" w:firstLineChars="200"/>
              <w:rPr>
                <w:color w:val="auto"/>
                <w:sz w:val="24"/>
              </w:rPr>
            </w:pPr>
            <w:r>
              <w:rPr>
                <w:color w:val="auto"/>
                <w:sz w:val="24"/>
              </w:rPr>
              <w:t>L</w:t>
            </w:r>
            <w:r>
              <w:rPr>
                <w:vertAlign w:val="subscript"/>
                <w:color w:val="auto"/>
                <w:sz w:val="24"/>
              </w:rPr>
              <w:t>Ai</w:t>
            </w:r>
            <w:r>
              <w:rPr>
                <w:color w:val="auto"/>
                <w:sz w:val="24"/>
              </w:rPr>
              <w:t>——i声源在预测点产生的A声级，dB(A)；</w:t>
            </w:r>
          </w:p>
          <w:p w14:paraId="3EF26DD0">
            <w:pPr>
              <w:spacing w:line="360" w:lineRule="auto"/>
              <w:ind w:firstLine="480" w:firstLineChars="200"/>
              <w:rPr>
                <w:color w:val="auto"/>
                <w:sz w:val="24"/>
              </w:rPr>
            </w:pPr>
            <w:r>
              <w:rPr>
                <w:color w:val="auto"/>
                <w:sz w:val="24"/>
              </w:rPr>
              <w:t>T——预测计算的时间段，s；</w:t>
            </w:r>
          </w:p>
          <w:p w14:paraId="48B2F589">
            <w:pPr>
              <w:spacing w:line="360" w:lineRule="auto"/>
              <w:ind w:firstLine="480" w:firstLineChars="200"/>
              <w:rPr>
                <w:color w:val="auto"/>
                <w:sz w:val="24"/>
              </w:rPr>
            </w:pPr>
            <w:r>
              <w:rPr>
                <w:color w:val="auto"/>
                <w:sz w:val="24"/>
              </w:rPr>
              <w:t>t</w:t>
            </w:r>
            <w:r>
              <w:rPr>
                <w:vertAlign w:val="subscript"/>
                <w:color w:val="auto"/>
                <w:sz w:val="24"/>
              </w:rPr>
              <w:t>i</w:t>
            </w:r>
            <w:r>
              <w:rPr>
                <w:color w:val="auto"/>
                <w:sz w:val="24"/>
              </w:rPr>
              <w:t>——i声源在T时段内的运行时间，s。</w:t>
            </w:r>
          </w:p>
          <w:p w14:paraId="4D4E7701">
            <w:pPr>
              <w:spacing w:line="360" w:lineRule="auto"/>
              <w:ind w:firstLine="480" w:firstLineChars="200"/>
              <w:rPr>
                <w:color w:val="auto"/>
                <w:sz w:val="24"/>
              </w:rPr>
            </w:pPr>
            <w:r>
              <w:rPr>
                <w:color w:val="auto"/>
                <w:sz w:val="24"/>
                <w:rFonts w:ascii="宋体" w:hAnsi="宋体" w:cs="宋体" w:hint="eastAsia"/>
              </w:rPr>
              <w:t>③</w:t>
            </w:r>
            <w:r>
              <w:rPr>
                <w:color w:val="auto"/>
                <w:sz w:val="24"/>
              </w:rPr>
              <w:t>预测点的预测等效声级（L</w:t>
            </w:r>
            <w:r>
              <w:rPr>
                <w:vertAlign w:val="subscript"/>
                <w:color w:val="auto"/>
                <w:sz w:val="24"/>
              </w:rPr>
              <w:t>eq</w:t>
            </w:r>
            <w:r>
              <w:rPr>
                <w:color w:val="auto"/>
                <w:sz w:val="24"/>
              </w:rPr>
              <w:t>）计算公式：</w:t>
            </w:r>
          </w:p>
          <w:p w14:paraId="70F4AA90">
            <w:pPr>
              <w:jc w:val="center"/>
              <w:spacing w:line="360" w:lineRule="auto"/>
              <w:ind w:firstLine="480" w:firstLineChars="200"/>
              <w:rPr>
                <w:color w:val="auto"/>
                <w:sz w:val="24"/>
              </w:rPr>
            </w:pPr>
            <w:r>
              <w:rPr>
                <w:color w:val="auto"/>
                <w:sz w:val="24"/>
              </w:rPr>
              <w:drawing>
                <wp:inline distT="0" distB="0" distL="0" distR="0">
                  <wp:extent cx="2087880" cy="284480"/>
                  <wp:effectExtent l="0" t="0" r="0" b="0"/>
                  <wp:docPr id="1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2"/>
                          <pic:cNvPicPr/>
                        </pic:nvPicPr>
                        <pic:blipFill>
                          <a:blip r:embed="rId17" cstate="print"/>
                          <a:srcRect/>
                          <a:stretch>
                            <a:fillRect/>
                          </a:stretch>
                        </pic:blipFill>
                        <pic:spPr>
                          <a:xfrm>
                            <a:off x="0" y="0"/>
                            <a:ext cx="2087880" cy="284480"/>
                          </a:xfrm>
                          <a:prstGeom prst="rect">
                            <a:avLst/>
                          </a:prstGeom>
                          <a:noFill/>
                          <a:ln w="9525">
                            <a:noFill/>
                            <a:miter lim="800000"/>
                          </a:ln>
                        </pic:spPr>
                      </pic:pic>
                    </a:graphicData>
                  </a:graphic>
                </wp:inline>
              </w:drawing>
            </w:r>
          </w:p>
          <w:p w14:paraId="6A026746">
            <w:pPr>
              <w:spacing w:line="360" w:lineRule="auto"/>
              <w:ind w:firstLine="480" w:firstLineChars="200"/>
              <w:rPr>
                <w:color w:val="auto"/>
                <w:sz w:val="24"/>
              </w:rPr>
            </w:pPr>
            <w:r>
              <w:rPr>
                <w:color w:val="auto"/>
                <w:sz w:val="24"/>
              </w:rPr>
              <w:t>式中：L</w:t>
            </w:r>
            <w:r>
              <w:rPr>
                <w:vertAlign w:val="subscript"/>
                <w:color w:val="auto"/>
                <w:sz w:val="24"/>
              </w:rPr>
              <w:t>eqg</w:t>
            </w:r>
            <w:r>
              <w:rPr>
                <w:color w:val="auto"/>
                <w:sz w:val="24"/>
              </w:rPr>
              <w:t>——建设项目声源在预测点的等效声级贡献值，dB(A)；</w:t>
            </w:r>
          </w:p>
          <w:p w14:paraId="0C96D224">
            <w:pPr>
              <w:spacing w:line="360" w:lineRule="auto"/>
              <w:ind w:firstLine="480" w:firstLineChars="200"/>
              <w:rPr>
                <w:color w:val="auto"/>
                <w:sz w:val="24"/>
              </w:rPr>
            </w:pPr>
            <w:r>
              <w:rPr>
                <w:color w:val="auto"/>
                <w:sz w:val="24"/>
              </w:rPr>
              <w:t>L</w:t>
            </w:r>
            <w:r>
              <w:rPr>
                <w:vertAlign w:val="subscript"/>
                <w:color w:val="auto"/>
                <w:sz w:val="24"/>
              </w:rPr>
              <w:t>eqb</w:t>
            </w:r>
            <w:r>
              <w:rPr>
                <w:color w:val="auto"/>
                <w:sz w:val="24"/>
              </w:rPr>
              <w:t>——预测点的背景值，dB（A）。</w:t>
            </w:r>
          </w:p>
          <w:p w14:paraId="2FF9FE16">
            <w:pPr>
              <w:spacing w:line="360" w:lineRule="auto"/>
              <w:ind w:firstLine="480" w:firstLineChars="200"/>
              <w:rPr>
                <w:color w:val="auto"/>
                <w:sz w:val="24"/>
              </w:rPr>
            </w:pPr>
            <w:r>
              <w:rPr>
                <w:color w:val="auto"/>
                <w:sz w:val="24"/>
                <w:rFonts w:ascii="宋体" w:hAnsi="宋体" w:hint="eastAsia"/>
              </w:rPr>
              <w:t>④</w:t>
            </w:r>
            <w:r>
              <w:rPr>
                <w:color w:val="auto"/>
                <w:sz w:val="24"/>
              </w:rPr>
              <w:t>户外声传播衰减计算</w:t>
            </w:r>
          </w:p>
          <w:p w14:paraId="3F864ED7">
            <w:pPr>
              <w:spacing w:line="360" w:lineRule="auto"/>
              <w:ind w:firstLine="480" w:firstLineChars="200"/>
              <w:rPr>
                <w:color w:val="auto"/>
                <w:sz w:val="24"/>
              </w:rPr>
            </w:pPr>
            <w:r>
              <w:rPr>
                <w:color w:val="auto"/>
                <w:sz w:val="24"/>
              </w:rPr>
              <w:t>户外声传播衰减包括几何发散（A</w:t>
            </w:r>
            <w:r>
              <w:rPr>
                <w:vertAlign w:val="subscript"/>
                <w:color w:val="auto"/>
                <w:sz w:val="24"/>
              </w:rPr>
              <w:t>div</w:t>
            </w:r>
            <w:r>
              <w:rPr>
                <w:color w:val="auto"/>
                <w:sz w:val="24"/>
              </w:rPr>
              <w:t>）、大气吸收（A</w:t>
            </w:r>
            <w:r>
              <w:rPr>
                <w:vertAlign w:val="subscript"/>
                <w:color w:val="auto"/>
                <w:sz w:val="24"/>
              </w:rPr>
              <w:t>atm</w:t>
            </w:r>
            <w:r>
              <w:rPr>
                <w:color w:val="auto"/>
                <w:sz w:val="24"/>
              </w:rPr>
              <w:t>）、地面效应（A</w:t>
            </w:r>
            <w:r>
              <w:rPr>
                <w:vertAlign w:val="subscript"/>
                <w:color w:val="auto"/>
                <w:sz w:val="24"/>
              </w:rPr>
              <w:t>gr</w:t>
            </w:r>
            <w:r>
              <w:rPr>
                <w:color w:val="auto"/>
                <w:sz w:val="24"/>
              </w:rPr>
              <w:t>）、屏障屏蔽（A</w:t>
            </w:r>
            <w:r>
              <w:rPr>
                <w:vertAlign w:val="subscript"/>
                <w:color w:val="auto"/>
                <w:sz w:val="24"/>
              </w:rPr>
              <w:t>bar</w:t>
            </w:r>
            <w:r>
              <w:rPr>
                <w:color w:val="auto"/>
                <w:sz w:val="24"/>
              </w:rPr>
              <w:t>）、其他多方面效应（A</w:t>
            </w:r>
            <w:r>
              <w:rPr>
                <w:vertAlign w:val="subscript"/>
                <w:color w:val="auto"/>
                <w:sz w:val="24"/>
              </w:rPr>
              <w:t>misc</w:t>
            </w:r>
            <w:r>
              <w:rPr>
                <w:color w:val="auto"/>
                <w:sz w:val="24"/>
              </w:rPr>
              <w:t>）引起的衰减。</w:t>
            </w:r>
          </w:p>
          <w:p w14:paraId="01DE5BCC">
            <w:pPr>
              <w:spacing w:line="360" w:lineRule="auto"/>
              <w:ind w:firstLine="480" w:firstLineChars="200"/>
              <w:rPr>
                <w:color w:val="auto"/>
                <w:sz w:val="24"/>
              </w:rPr>
            </w:pPr>
            <w:r>
              <w:rPr>
                <w:color w:val="auto"/>
                <w:sz w:val="24"/>
              </w:rPr>
              <w:t>距声源点r处的A声级按下式计算：</w:t>
            </w:r>
          </w:p>
          <w:p w14:paraId="6D359D9A">
            <w:pPr>
              <w:jc w:val="center"/>
              <w:spacing w:line="360" w:lineRule="auto"/>
              <w:rPr>
                <w:color w:val="auto"/>
                <w:sz w:val="24"/>
              </w:rPr>
            </w:pPr>
            <w:r>
              <w:rPr>
                <w:color w:val="auto"/>
                <w:sz w:val="24"/>
              </w:rPr>
              <w:drawing>
                <wp:inline distT="0" distB="0" distL="0" distR="0">
                  <wp:extent cx="3924935" cy="336550"/>
                  <wp:effectExtent l="19050" t="0" r="0" b="0"/>
                  <wp:docPr id="14"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144"/>
                          <pic:cNvPicPr/>
                        </pic:nvPicPr>
                        <pic:blipFill>
                          <a:blip r:embed="rId18" cstate="print"/>
                          <a:srcRect/>
                          <a:stretch>
                            <a:fillRect/>
                          </a:stretch>
                        </pic:blipFill>
                        <pic:spPr>
                          <a:xfrm>
                            <a:off x="0" y="0"/>
                            <a:ext cx="3924935" cy="336550"/>
                          </a:xfrm>
                          <a:prstGeom prst="rect">
                            <a:avLst/>
                          </a:prstGeom>
                          <a:noFill/>
                          <a:ln w="9525">
                            <a:noFill/>
                            <a:miter lim="800000"/>
                          </a:ln>
                        </pic:spPr>
                      </pic:pic>
                    </a:graphicData>
                  </a:graphic>
                </wp:inline>
              </w:drawing>
            </w:r>
          </w:p>
          <w:p w14:paraId="28C55453">
            <w:pPr>
              <w:pStyle w:val="95"/>
              <w:rPr>
                <w:color w:val="auto"/>
                <w:rFonts w:cs="Times New Roman"/>
              </w:rPr>
            </w:pPr>
            <w:r>
              <w:rPr>
                <w:color w:val="auto"/>
                <w:rFonts w:cs="Times New Roman"/>
              </w:rPr>
              <w:t>在预测中考虑反射引起的修正、屏障引起的衰减、双绕射、室内声源等效室外声源等影响和计算方法。</w:t>
            </w:r>
          </w:p>
          <w:p w14:paraId="4190F52C">
            <w:pPr>
              <w:jc w:val="center"/>
              <w:rPr>
                <w:b w:val="1"/>
                <w:color w:val="auto"/>
                <w:sz w:val="24"/>
              </w:rPr>
            </w:pPr>
            <w:r>
              <w:rPr>
                <w:b w:val="1"/>
                <w:color w:val="auto"/>
                <w:sz w:val="24"/>
              </w:rPr>
              <w:t>表</w:t>
            </w:r>
            <w:r>
              <w:rPr>
                <w:b w:val="1"/>
                <w:color w:val="auto"/>
                <w:sz w:val="24"/>
                <w:lang w:val="en-US" w:eastAsia="zh-CN"/>
                <w:rFonts w:hint="eastAsia"/>
              </w:rPr>
              <w:t>4-9</w:t>
            </w:r>
            <w:r>
              <w:rPr>
                <w:b w:val="1"/>
                <w:color w:val="auto"/>
                <w:sz w:val="24"/>
              </w:rPr>
              <w:t xml:space="preserve">噪声预测结果  </w:t>
            </w:r>
            <w:r>
              <w:rPr>
                <w:color w:val="auto"/>
                <w:sz w:val="24"/>
              </w:rPr>
              <w:t>单位：dB（A）</w:t>
            </w:r>
          </w:p>
          <w:tbl>
            <w:tblPr>
              <w:tblStyle w:val="27"/>
              <w:tblW w:w="8503" w:type="dxa"/>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1161.000000"/>
              <w:gridCol w:w="1361.000000"/>
              <w:gridCol w:w="1900.000000"/>
              <w:gridCol w:w="4081.000000"/>
            </w:tblGrid>
            <w:tr w14:paraId="39F3B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0" w:hRule="atLeast"/>
                <w:jc w:val="center"/>
              </w:trPr>
              <w:tc>
                <w:tcPr>
                  <w:tcW w:w="683" w:type="pct"/>
                  <w:vAlign w:val="center"/>
                </w:tcPr>
                <w:p w14:paraId="768C0A91">
                  <w:pPr>
                    <w:jc w:val="center"/>
                    <w:rPr>
                      <w:color w:val="auto"/>
                      <w:szCs w:val="21"/>
                    </w:rPr>
                  </w:pPr>
                  <w:r>
                    <w:rPr>
                      <w:color w:val="auto"/>
                    </w:rPr>
                    <w:t>预测点位</w:t>
                  </w:r>
                </w:p>
              </w:tc>
              <w:tc>
                <w:tcPr>
                  <w:tcW w:w="800" w:type="pct"/>
                  <w:vAlign w:val="center"/>
                </w:tcPr>
                <w:p w14:paraId="0164D7A7">
                  <w:pPr>
                    <w:jc w:val="center"/>
                    <w:rPr>
                      <w:color w:val="auto"/>
                      <w:szCs w:val="21"/>
                    </w:rPr>
                  </w:pPr>
                  <w:r>
                    <w:rPr>
                      <w:color w:val="auto"/>
                    </w:rPr>
                    <w:t>预测时段</w:t>
                  </w:r>
                </w:p>
              </w:tc>
              <w:tc>
                <w:tcPr>
                  <w:tcW w:w="1117" w:type="pct"/>
                  <w:vAlign w:val="center"/>
                </w:tcPr>
                <w:p w14:paraId="29008FC9">
                  <w:pPr>
                    <w:jc w:val="center"/>
                    <w:rPr>
                      <w:color w:val="auto"/>
                      <w:szCs w:val="21"/>
                    </w:rPr>
                  </w:pPr>
                  <w:r>
                    <w:rPr>
                      <w:color w:val="auto"/>
                    </w:rPr>
                    <w:t>贡献值</w:t>
                  </w:r>
                </w:p>
              </w:tc>
              <w:tc>
                <w:tcPr>
                  <w:tcW w:w="2399" w:type="pct"/>
                  <w:vAlign w:val="center"/>
                </w:tcPr>
                <w:p w14:paraId="6FB8877B">
                  <w:pPr>
                    <w:jc w:val="center"/>
                    <w:rPr>
                      <w:color w:val="auto"/>
                      <w:szCs w:val="21"/>
                    </w:rPr>
                  </w:pPr>
                  <w:r>
                    <w:rPr>
                      <w:color w:val="auto"/>
                    </w:rPr>
                    <w:t>标准限值</w:t>
                  </w:r>
                </w:p>
              </w:tc>
            </w:tr>
            <w:tr w14:paraId="169B9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12" w:hRule="atLeast"/>
                <w:jc w:val="center"/>
              </w:trPr>
              <w:tc>
                <w:tcPr>
                  <w:tcW w:w="683" w:type="pct"/>
                  <w:vMerge w:val="restart"/>
                  <w:vAlign w:val="center"/>
                </w:tcPr>
                <w:p w14:paraId="648FF463">
                  <w:pPr>
                    <w:jc w:val="center"/>
                    <w:spacing w:line="0" w:lineRule="atLeast"/>
                    <w:rPr>
                      <w:color w:val="auto"/>
                      <w:szCs w:val="21"/>
                    </w:rPr>
                  </w:pPr>
                  <w:r>
                    <w:rPr>
                      <w:color w:val="auto"/>
                    </w:rPr>
                    <w:t>东侧厂界</w:t>
                  </w:r>
                </w:p>
              </w:tc>
              <w:tc>
                <w:tcPr>
                  <w:tcW w:w="800" w:type="pct"/>
                  <w:vAlign w:val="center"/>
                </w:tcPr>
                <w:p w14:paraId="3137FEB2">
                  <w:pPr>
                    <w:jc w:val="center"/>
                    <w:spacing w:line="0" w:lineRule="atLeast"/>
                    <w:rPr>
                      <w:color w:val="auto"/>
                      <w:szCs w:val="21"/>
                    </w:rPr>
                  </w:pPr>
                  <w:r>
                    <w:rPr>
                      <w:color w:val="auto"/>
                    </w:rPr>
                    <w:t>昼</w:t>
                  </w:r>
                </w:p>
              </w:tc>
              <w:tc>
                <w:tcPr>
                  <w:tcW w:w="1117" w:type="pct"/>
                  <w:vAlign w:val="center"/>
                </w:tcPr>
                <w:p w14:paraId="636B7947">
                  <w:pPr>
                    <w:jc w:val="center"/>
                    <w:rPr>
                      <w:color w:val="auto"/>
                      <w:lang w:eastAsia="zh-CN"/>
                      <w:bCs/>
                      <w:szCs w:val="21"/>
                      <w:rFonts w:eastAsia="宋体" w:hint="eastAsia"/>
                    </w:rPr>
                  </w:pPr>
                  <w:r>
                    <w:rPr>
                      <w:color w:val="auto"/>
                      <w:szCs w:val="21"/>
                      <w:rFonts w:hint="eastAsia"/>
                    </w:rPr>
                    <w:t>22.0</w:t>
                  </w:r>
                  <w:r>
                    <w:rPr>
                      <w:color w:val="auto"/>
                      <w:lang w:val="en-US" w:eastAsia="zh-CN"/>
                      <w:szCs w:val="21"/>
                      <w:rFonts w:hint="eastAsia"/>
                    </w:rPr>
                    <w:t>5</w:t>
                  </w:r>
                </w:p>
              </w:tc>
              <w:tc>
                <w:tcPr>
                  <w:tcW w:w="2399" w:type="pct"/>
                  <w:vMerge w:val="restart"/>
                  <w:vAlign w:val="center"/>
                </w:tcPr>
                <w:p w14:paraId="358FE49A">
                  <w:pPr>
                    <w:jc w:val="center"/>
                    <w:spacing w:line="0" w:lineRule="atLeast"/>
                    <w:rPr>
                      <w:color w:val="auto"/>
                      <w:szCs w:val="21"/>
                    </w:rPr>
                  </w:pPr>
                  <w:r>
                    <w:rPr>
                      <w:color w:val="auto"/>
                      <w:bCs/>
                    </w:rPr>
                    <w:t>厂界噪声执行《工业企业厂界环境噪声排放标准》（GB12348-2008）中</w:t>
                  </w:r>
                  <w:r>
                    <w:rPr>
                      <w:color w:val="auto"/>
                      <w:bCs/>
                      <w:rFonts w:hint="eastAsia"/>
                    </w:rPr>
                    <w:t>2</w:t>
                  </w:r>
                  <w:r>
                    <w:rPr>
                      <w:color w:val="auto"/>
                      <w:bCs/>
                    </w:rPr>
                    <w:t>类标准</w:t>
                  </w:r>
                  <w:r>
                    <w:rPr>
                      <w:color w:val="auto"/>
                    </w:rPr>
                    <w:t>（昼间噪声≤</w:t>
                  </w:r>
                  <w:r>
                    <w:rPr>
                      <w:color w:val="auto"/>
                      <w:rFonts w:hint="eastAsia"/>
                    </w:rPr>
                    <w:t>60</w:t>
                  </w:r>
                  <w:r>
                    <w:rPr>
                      <w:color w:val="auto"/>
                    </w:rPr>
                    <w:t>，夜间噪声≤</w:t>
                  </w:r>
                  <w:r>
                    <w:rPr>
                      <w:color w:val="auto"/>
                      <w:rFonts w:hint="eastAsia"/>
                    </w:rPr>
                    <w:t>50</w:t>
                  </w:r>
                  <w:r>
                    <w:rPr>
                      <w:color w:val="auto"/>
                    </w:rPr>
                    <w:t>）</w:t>
                  </w:r>
                </w:p>
              </w:tc>
            </w:tr>
            <w:tr w14:paraId="52DAE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15" w:hRule="atLeast"/>
                <w:jc w:val="center"/>
              </w:trPr>
              <w:tc>
                <w:tcPr>
                  <w:tcW w:w="683" w:type="pct"/>
                  <w:vMerge w:val="continue"/>
                  <w:vAlign w:val="center"/>
                </w:tcPr>
                <w:p w14:paraId="7AAFAAD6">
                  <w:pPr>
                    <w:jc w:val="center"/>
                    <w:spacing w:line="0" w:lineRule="atLeast"/>
                    <w:rPr>
                      <w:color w:val="auto"/>
                    </w:rPr>
                  </w:pPr>
                </w:p>
              </w:tc>
              <w:tc>
                <w:tcPr>
                  <w:tcW w:w="800" w:type="pct"/>
                  <w:vAlign w:val="center"/>
                </w:tcPr>
                <w:p w14:paraId="6176A4CD">
                  <w:pPr>
                    <w:jc w:val="center"/>
                    <w:spacing w:line="0" w:lineRule="atLeast"/>
                    <w:rPr>
                      <w:color w:val="auto"/>
                    </w:rPr>
                  </w:pPr>
                  <w:r>
                    <w:rPr>
                      <w:color w:val="auto"/>
                    </w:rPr>
                    <w:t>夜</w:t>
                  </w:r>
                </w:p>
              </w:tc>
              <w:tc>
                <w:tcPr>
                  <w:tcW w:w="1117" w:type="pct"/>
                  <w:vAlign w:val="center"/>
                </w:tcPr>
                <w:p w14:paraId="4E0A2721">
                  <w:pPr>
                    <w:jc w:val="center"/>
                    <w:rPr>
                      <w:color w:val="auto"/>
                      <w:lang w:eastAsia="zh-CN"/>
                      <w:bCs/>
                      <w:szCs w:val="21"/>
                      <w:rFonts w:eastAsia="宋体" w:hint="eastAsia"/>
                    </w:rPr>
                  </w:pPr>
                  <w:r>
                    <w:rPr>
                      <w:color w:val="auto"/>
                      <w:szCs w:val="21"/>
                      <w:rFonts w:hint="eastAsia"/>
                    </w:rPr>
                    <w:t>22.0</w:t>
                  </w:r>
                  <w:r>
                    <w:rPr>
                      <w:color w:val="auto"/>
                      <w:lang w:val="en-US" w:eastAsia="zh-CN"/>
                      <w:szCs w:val="21"/>
                      <w:rFonts w:hint="eastAsia"/>
                    </w:rPr>
                    <w:t>5</w:t>
                  </w:r>
                </w:p>
              </w:tc>
              <w:tc>
                <w:tcPr>
                  <w:tcW w:w="2399" w:type="pct"/>
                  <w:vMerge w:val="continue"/>
                  <w:vAlign w:val="center"/>
                </w:tcPr>
                <w:p w14:paraId="73DE0B3C">
                  <w:pPr>
                    <w:jc w:val="center"/>
                    <w:spacing w:line="0" w:lineRule="atLeast"/>
                    <w:rPr>
                      <w:color w:val="auto"/>
                      <w:bCs/>
                    </w:rPr>
                  </w:pPr>
                </w:p>
              </w:tc>
            </w:tr>
            <w:tr w14:paraId="2919F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58" w:hRule="atLeast"/>
                <w:jc w:val="center"/>
              </w:trPr>
              <w:tc>
                <w:tcPr>
                  <w:tcW w:w="683" w:type="pct"/>
                  <w:vMerge w:val="restart"/>
                  <w:vAlign w:val="center"/>
                </w:tcPr>
                <w:p w14:paraId="6774C074">
                  <w:pPr>
                    <w:jc w:val="center"/>
                    <w:spacing w:line="0" w:lineRule="atLeast"/>
                    <w:rPr>
                      <w:color w:val="auto"/>
                      <w:szCs w:val="21"/>
                    </w:rPr>
                  </w:pPr>
                  <w:r>
                    <w:rPr>
                      <w:color w:val="auto"/>
                    </w:rPr>
                    <w:t>南侧厂界</w:t>
                  </w:r>
                </w:p>
              </w:tc>
              <w:tc>
                <w:tcPr>
                  <w:tcW w:w="800" w:type="pct"/>
                  <w:vAlign w:val="center"/>
                </w:tcPr>
                <w:p w14:paraId="44485C61">
                  <w:pPr>
                    <w:jc w:val="center"/>
                    <w:spacing w:line="0" w:lineRule="atLeast"/>
                    <w:rPr>
                      <w:color w:val="auto"/>
                      <w:szCs w:val="21"/>
                    </w:rPr>
                  </w:pPr>
                  <w:r>
                    <w:rPr>
                      <w:color w:val="auto"/>
                    </w:rPr>
                    <w:t>昼</w:t>
                  </w:r>
                </w:p>
              </w:tc>
              <w:tc>
                <w:tcPr>
                  <w:tcW w:w="1117" w:type="pct"/>
                  <w:vAlign w:val="center"/>
                </w:tcPr>
                <w:p w14:paraId="0BD679BE">
                  <w:pPr>
                    <w:jc w:val="center"/>
                    <w:rPr>
                      <w:color w:val="auto"/>
                      <w:lang w:eastAsia="zh-CN"/>
                      <w:szCs w:val="21"/>
                      <w:rFonts w:eastAsia="宋体" w:hint="eastAsia"/>
                    </w:rPr>
                  </w:pPr>
                  <w:r>
                    <w:rPr>
                      <w:color w:val="auto"/>
                      <w:szCs w:val="21"/>
                      <w:rFonts w:hint="eastAsia"/>
                    </w:rPr>
                    <w:t>42.0</w:t>
                  </w:r>
                  <w:r>
                    <w:rPr>
                      <w:color w:val="auto"/>
                      <w:lang w:val="en-US" w:eastAsia="zh-CN"/>
                      <w:szCs w:val="21"/>
                      <w:rFonts w:hint="eastAsia"/>
                    </w:rPr>
                    <w:t>1</w:t>
                  </w:r>
                </w:p>
              </w:tc>
              <w:tc>
                <w:tcPr>
                  <w:tcW w:w="2399" w:type="pct"/>
                  <w:vMerge w:val="continue"/>
                  <w:vAlign w:val="center"/>
                </w:tcPr>
                <w:p w14:paraId="428C915B">
                  <w:pPr>
                    <w:widowControl w:val="1"/>
                    <w:jc w:val="left"/>
                    <w:rPr>
                      <w:color w:val="auto"/>
                      <w:szCs w:val="21"/>
                    </w:rPr>
                  </w:pPr>
                </w:p>
              </w:tc>
            </w:tr>
            <w:tr w14:paraId="0CF9A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35" w:hRule="atLeast"/>
                <w:jc w:val="center"/>
              </w:trPr>
              <w:tc>
                <w:tcPr>
                  <w:tcW w:w="683" w:type="pct"/>
                  <w:vMerge w:val="continue"/>
                  <w:vAlign w:val="center"/>
                </w:tcPr>
                <w:p w14:paraId="09D78377">
                  <w:pPr>
                    <w:jc w:val="center"/>
                    <w:spacing w:line="0" w:lineRule="atLeast"/>
                    <w:rPr>
                      <w:color w:val="auto"/>
                    </w:rPr>
                  </w:pPr>
                </w:p>
              </w:tc>
              <w:tc>
                <w:tcPr>
                  <w:tcW w:w="800" w:type="pct"/>
                  <w:vAlign w:val="center"/>
                </w:tcPr>
                <w:p w14:paraId="447C5DB3">
                  <w:pPr>
                    <w:jc w:val="center"/>
                    <w:spacing w:line="0" w:lineRule="atLeast"/>
                    <w:rPr>
                      <w:color w:val="auto"/>
                    </w:rPr>
                  </w:pPr>
                  <w:r>
                    <w:rPr>
                      <w:color w:val="auto"/>
                    </w:rPr>
                    <w:t>夜</w:t>
                  </w:r>
                </w:p>
              </w:tc>
              <w:tc>
                <w:tcPr>
                  <w:tcW w:w="1117" w:type="pct"/>
                  <w:vAlign w:val="center"/>
                </w:tcPr>
                <w:p w14:paraId="60705ACA">
                  <w:pPr>
                    <w:jc w:val="center"/>
                    <w:rPr>
                      <w:color w:val="auto"/>
                      <w:lang w:eastAsia="zh-CN"/>
                      <w:szCs w:val="21"/>
                      <w:rFonts w:eastAsia="宋体" w:hint="eastAsia"/>
                    </w:rPr>
                  </w:pPr>
                  <w:r>
                    <w:rPr>
                      <w:color w:val="auto"/>
                      <w:szCs w:val="21"/>
                      <w:rFonts w:hint="eastAsia"/>
                    </w:rPr>
                    <w:t>42.0</w:t>
                  </w:r>
                  <w:r>
                    <w:rPr>
                      <w:color w:val="auto"/>
                      <w:lang w:val="en-US" w:eastAsia="zh-CN"/>
                      <w:szCs w:val="21"/>
                      <w:rFonts w:hint="eastAsia"/>
                    </w:rPr>
                    <w:t>1</w:t>
                  </w:r>
                </w:p>
              </w:tc>
              <w:tc>
                <w:tcPr>
                  <w:tcW w:w="2399" w:type="pct"/>
                  <w:vMerge w:val="continue"/>
                  <w:vAlign w:val="center"/>
                </w:tcPr>
                <w:p w14:paraId="0C35A7D4">
                  <w:pPr>
                    <w:widowControl w:val="1"/>
                    <w:jc w:val="left"/>
                    <w:rPr>
                      <w:color w:val="auto"/>
                      <w:szCs w:val="21"/>
                    </w:rPr>
                  </w:pPr>
                </w:p>
              </w:tc>
            </w:tr>
            <w:tr w14:paraId="1C725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64" w:hRule="atLeast"/>
                <w:jc w:val="center"/>
              </w:trPr>
              <w:tc>
                <w:tcPr>
                  <w:tcW w:w="683" w:type="pct"/>
                  <w:vMerge w:val="restart"/>
                  <w:vAlign w:val="center"/>
                </w:tcPr>
                <w:p w14:paraId="63D4F414">
                  <w:pPr>
                    <w:jc w:val="center"/>
                    <w:spacing w:line="0" w:lineRule="atLeast"/>
                    <w:rPr>
                      <w:color w:val="auto"/>
                      <w:szCs w:val="21"/>
                    </w:rPr>
                  </w:pPr>
                  <w:r>
                    <w:rPr>
                      <w:color w:val="auto"/>
                    </w:rPr>
                    <w:t>西侧厂界</w:t>
                  </w:r>
                </w:p>
              </w:tc>
              <w:tc>
                <w:tcPr>
                  <w:tcW w:w="800" w:type="pct"/>
                  <w:vAlign w:val="center"/>
                </w:tcPr>
                <w:p w14:paraId="6ACBAB7F">
                  <w:pPr>
                    <w:jc w:val="center"/>
                    <w:spacing w:line="0" w:lineRule="atLeast"/>
                    <w:rPr>
                      <w:color w:val="auto"/>
                      <w:szCs w:val="21"/>
                    </w:rPr>
                  </w:pPr>
                  <w:r>
                    <w:rPr>
                      <w:color w:val="auto"/>
                    </w:rPr>
                    <w:t>昼</w:t>
                  </w:r>
                </w:p>
              </w:tc>
              <w:tc>
                <w:tcPr>
                  <w:tcW w:w="1117" w:type="pct"/>
                  <w:vAlign w:val="center"/>
                </w:tcPr>
                <w:p w14:paraId="29822125">
                  <w:pPr>
                    <w:jc w:val="center"/>
                    <w:rPr>
                      <w:color w:val="auto"/>
                      <w:szCs w:val="21"/>
                    </w:rPr>
                  </w:pPr>
                  <w:r>
                    <w:rPr>
                      <w:color w:val="auto"/>
                      <w:szCs w:val="21"/>
                      <w:rFonts w:hint="eastAsia"/>
                    </w:rPr>
                    <w:t>4</w:t>
                  </w:r>
                  <w:r>
                    <w:rPr>
                      <w:color w:val="auto"/>
                      <w:lang w:val="en-US" w:eastAsia="zh-CN"/>
                      <w:szCs w:val="21"/>
                      <w:rFonts w:hint="eastAsia"/>
                    </w:rPr>
                    <w:t>0</w:t>
                  </w:r>
                  <w:r>
                    <w:rPr>
                      <w:color w:val="auto"/>
                      <w:szCs w:val="21"/>
                      <w:rFonts w:hint="eastAsia"/>
                    </w:rPr>
                    <w:t>.15</w:t>
                  </w:r>
                </w:p>
              </w:tc>
              <w:tc>
                <w:tcPr>
                  <w:tcW w:w="2399" w:type="pct"/>
                  <w:vMerge w:val="continue"/>
                  <w:vAlign w:val="center"/>
                </w:tcPr>
                <w:p w14:paraId="728834E3">
                  <w:pPr>
                    <w:widowControl w:val="1"/>
                    <w:jc w:val="left"/>
                    <w:rPr>
                      <w:color w:val="auto"/>
                      <w:szCs w:val="21"/>
                    </w:rPr>
                  </w:pPr>
                </w:p>
              </w:tc>
            </w:tr>
            <w:tr w14:paraId="18494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23" w:hRule="atLeast"/>
                <w:jc w:val="center"/>
              </w:trPr>
              <w:tc>
                <w:tcPr>
                  <w:tcW w:w="683" w:type="pct"/>
                  <w:vMerge w:val="continue"/>
                  <w:vAlign w:val="center"/>
                </w:tcPr>
                <w:p w14:paraId="360D1DCA">
                  <w:pPr>
                    <w:jc w:val="center"/>
                    <w:spacing w:line="0" w:lineRule="atLeast"/>
                    <w:rPr>
                      <w:color w:val="auto"/>
                    </w:rPr>
                  </w:pPr>
                </w:p>
              </w:tc>
              <w:tc>
                <w:tcPr>
                  <w:tcW w:w="800" w:type="pct"/>
                  <w:vAlign w:val="center"/>
                </w:tcPr>
                <w:p w14:paraId="383D9CB4">
                  <w:pPr>
                    <w:jc w:val="center"/>
                    <w:spacing w:line="0" w:lineRule="atLeast"/>
                    <w:rPr>
                      <w:color w:val="auto"/>
                    </w:rPr>
                  </w:pPr>
                  <w:r>
                    <w:rPr>
                      <w:color w:val="auto"/>
                    </w:rPr>
                    <w:t>夜</w:t>
                  </w:r>
                </w:p>
              </w:tc>
              <w:tc>
                <w:tcPr>
                  <w:tcW w:w="1117" w:type="pct"/>
                  <w:vAlign w:val="center"/>
                </w:tcPr>
                <w:p w14:paraId="1CD7C908">
                  <w:pPr>
                    <w:jc w:val="center"/>
                    <w:rPr>
                      <w:color w:val="auto"/>
                      <w:szCs w:val="21"/>
                    </w:rPr>
                  </w:pPr>
                  <w:r>
                    <w:rPr>
                      <w:color w:val="auto"/>
                      <w:szCs w:val="21"/>
                      <w:rFonts w:hint="eastAsia"/>
                    </w:rPr>
                    <w:t>4</w:t>
                  </w:r>
                  <w:r>
                    <w:rPr>
                      <w:color w:val="auto"/>
                      <w:lang w:val="en-US" w:eastAsia="zh-CN"/>
                      <w:szCs w:val="21"/>
                      <w:rFonts w:hint="eastAsia"/>
                    </w:rPr>
                    <w:t>0</w:t>
                  </w:r>
                  <w:r>
                    <w:rPr>
                      <w:color w:val="auto"/>
                      <w:szCs w:val="21"/>
                      <w:rFonts w:hint="eastAsia"/>
                    </w:rPr>
                    <w:t>.15</w:t>
                  </w:r>
                </w:p>
              </w:tc>
              <w:tc>
                <w:tcPr>
                  <w:tcW w:w="2399" w:type="pct"/>
                  <w:vMerge w:val="continue"/>
                  <w:vAlign w:val="center"/>
                </w:tcPr>
                <w:p w14:paraId="348FD6C5">
                  <w:pPr>
                    <w:widowControl w:val="1"/>
                    <w:jc w:val="left"/>
                    <w:rPr>
                      <w:color w:val="auto"/>
                      <w:szCs w:val="21"/>
                    </w:rPr>
                  </w:pPr>
                </w:p>
              </w:tc>
            </w:tr>
            <w:tr w14:paraId="302E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107" w:hRule="atLeast"/>
                <w:jc w:val="center"/>
              </w:trPr>
              <w:tc>
                <w:tcPr>
                  <w:tcW w:w="683" w:type="pct"/>
                  <w:vMerge w:val="restart"/>
                  <w:vAlign w:val="center"/>
                </w:tcPr>
                <w:p w14:paraId="26F539DA">
                  <w:pPr>
                    <w:jc w:val="center"/>
                    <w:spacing w:line="0" w:lineRule="atLeast"/>
                    <w:rPr>
                      <w:color w:val="auto"/>
                      <w:szCs w:val="21"/>
                    </w:rPr>
                  </w:pPr>
                  <w:r>
                    <w:rPr>
                      <w:color w:val="auto"/>
                    </w:rPr>
                    <w:t>北侧厂界</w:t>
                  </w:r>
                </w:p>
              </w:tc>
              <w:tc>
                <w:tcPr>
                  <w:tcW w:w="800" w:type="pct"/>
                  <w:vAlign w:val="center"/>
                </w:tcPr>
                <w:p w14:paraId="4D08F00C">
                  <w:pPr>
                    <w:jc w:val="center"/>
                    <w:spacing w:line="0" w:lineRule="atLeast"/>
                    <w:rPr>
                      <w:color w:val="auto"/>
                      <w:szCs w:val="21"/>
                    </w:rPr>
                  </w:pPr>
                  <w:r>
                    <w:rPr>
                      <w:color w:val="auto"/>
                    </w:rPr>
                    <w:t>昼</w:t>
                  </w:r>
                </w:p>
              </w:tc>
              <w:tc>
                <w:tcPr>
                  <w:tcW w:w="1117" w:type="pct"/>
                  <w:vAlign w:val="center"/>
                </w:tcPr>
                <w:p w14:paraId="5BEB1D02">
                  <w:pPr>
                    <w:jc w:val="center"/>
                    <w:rPr>
                      <w:color w:val="auto"/>
                      <w:lang w:eastAsia="zh-CN"/>
                      <w:szCs w:val="21"/>
                      <w:rFonts w:eastAsia="宋体" w:hint="eastAsia"/>
                    </w:rPr>
                  </w:pPr>
                  <w:r>
                    <w:rPr>
                      <w:color w:val="auto"/>
                      <w:szCs w:val="21"/>
                      <w:rFonts w:hint="eastAsia"/>
                    </w:rPr>
                    <w:t>27.7</w:t>
                  </w:r>
                  <w:r>
                    <w:rPr>
                      <w:color w:val="auto"/>
                      <w:lang w:val="en-US" w:eastAsia="zh-CN"/>
                      <w:szCs w:val="21"/>
                      <w:rFonts w:hint="eastAsia"/>
                    </w:rPr>
                    <w:t>0</w:t>
                  </w:r>
                </w:p>
              </w:tc>
              <w:tc>
                <w:tcPr>
                  <w:tcW w:w="2399" w:type="pct"/>
                  <w:vMerge w:val="continue"/>
                  <w:vAlign w:val="center"/>
                </w:tcPr>
                <w:p w14:paraId="7CAC38D2">
                  <w:pPr>
                    <w:widowControl w:val="1"/>
                    <w:jc w:val="left"/>
                    <w:rPr>
                      <w:color w:val="auto"/>
                      <w:szCs w:val="21"/>
                    </w:rPr>
                  </w:pPr>
                </w:p>
              </w:tc>
            </w:tr>
            <w:tr w14:paraId="16C98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1" w:hRule="atLeast"/>
                <w:jc w:val="center"/>
              </w:trPr>
              <w:tc>
                <w:tcPr>
                  <w:tcW w:w="683" w:type="pct"/>
                  <w:vMerge w:val="continue"/>
                  <w:vAlign w:val="center"/>
                </w:tcPr>
                <w:p w14:paraId="7E934694">
                  <w:pPr>
                    <w:jc w:val="center"/>
                    <w:spacing w:line="0" w:lineRule="atLeast"/>
                    <w:rPr>
                      <w:color w:val="auto"/>
                    </w:rPr>
                  </w:pPr>
                </w:p>
              </w:tc>
              <w:tc>
                <w:tcPr>
                  <w:tcW w:w="800" w:type="pct"/>
                  <w:vAlign w:val="center"/>
                </w:tcPr>
                <w:p w14:paraId="52A82778">
                  <w:pPr>
                    <w:jc w:val="center"/>
                    <w:spacing w:line="0" w:lineRule="atLeast"/>
                    <w:rPr>
                      <w:color w:val="auto"/>
                    </w:rPr>
                  </w:pPr>
                  <w:r>
                    <w:rPr>
                      <w:color w:val="auto"/>
                    </w:rPr>
                    <w:t>夜</w:t>
                  </w:r>
                </w:p>
              </w:tc>
              <w:tc>
                <w:tcPr>
                  <w:tcW w:w="1117" w:type="pct"/>
                  <w:vAlign w:val="center"/>
                </w:tcPr>
                <w:p w14:paraId="0DE93B6D">
                  <w:pPr>
                    <w:jc w:val="center"/>
                    <w:rPr>
                      <w:color w:val="auto"/>
                      <w:lang w:eastAsia="zh-CN"/>
                      <w:szCs w:val="21"/>
                      <w:rFonts w:eastAsia="宋体" w:hint="eastAsia"/>
                    </w:rPr>
                  </w:pPr>
                  <w:r>
                    <w:rPr>
                      <w:color w:val="auto"/>
                      <w:szCs w:val="21"/>
                      <w:rFonts w:hint="eastAsia"/>
                    </w:rPr>
                    <w:t>27.7</w:t>
                  </w:r>
                  <w:r>
                    <w:rPr>
                      <w:color w:val="auto"/>
                      <w:lang w:val="en-US" w:eastAsia="zh-CN"/>
                      <w:szCs w:val="21"/>
                      <w:rFonts w:hint="eastAsia"/>
                    </w:rPr>
                    <w:t>0</w:t>
                  </w:r>
                </w:p>
              </w:tc>
              <w:tc>
                <w:tcPr>
                  <w:tcW w:w="2399" w:type="pct"/>
                  <w:vMerge w:val="continue"/>
                  <w:vAlign w:val="center"/>
                </w:tcPr>
                <w:p w14:paraId="6334AE18">
                  <w:pPr>
                    <w:widowControl w:val="1"/>
                    <w:jc w:val="left"/>
                    <w:rPr>
                      <w:color w:val="auto"/>
                      <w:szCs w:val="21"/>
                    </w:rPr>
                  </w:pPr>
                </w:p>
              </w:tc>
            </w:tr>
          </w:tbl>
          <w:p w14:paraId="0DF0A1E2">
            <w:pPr>
              <w:autoSpaceDE w:val="0"/>
              <w:autoSpaceDN w:val="0"/>
              <w:contextualSpacing/>
              <w:spacing w:line="360" w:lineRule="auto"/>
              <w:ind w:firstLine="480" w:firstLineChars="200"/>
              <w:rPr>
                <w:color w:val="auto"/>
                <w:sz w:val="24"/>
                <w:rFonts w:eastAsiaTheme="minorEastAsia"/>
              </w:rPr>
            </w:pPr>
            <w:r>
              <w:rPr>
                <w:color w:val="auto"/>
                <w:sz w:val="24"/>
              </w:rPr>
              <w:t>本项目采取</w:t>
            </w:r>
            <w:r>
              <w:rPr>
                <w:color w:val="auto"/>
                <w:sz w:val="24"/>
                <w:bCs/>
              </w:rPr>
              <w:t>基础减振设施，调整平面布置，高噪声设备远离厂界，选用低噪声设备，</w:t>
            </w:r>
            <w:r>
              <w:rPr>
                <w:color w:val="auto"/>
                <w:sz w:val="24"/>
              </w:rPr>
              <w:t>限速行驶，禁止鸣笛等措施。</w:t>
            </w:r>
            <w:r>
              <w:rPr>
                <w:color w:val="auto"/>
                <w:sz w:val="24"/>
                <w:rFonts w:hint="eastAsia" w:eastAsiaTheme="minorEastAsia"/>
              </w:rPr>
              <w:t>厂界噪声满足</w:t>
            </w:r>
            <w:r>
              <w:rPr>
                <w:color w:val="auto"/>
                <w:sz w:val="24"/>
                <w:rFonts w:eastAsiaTheme="minorEastAsia"/>
              </w:rPr>
              <w:t>《工业企业厂界环境噪声排放标准》(GB12348-2008)</w:t>
            </w:r>
            <w:r>
              <w:rPr>
                <w:color w:val="auto"/>
                <w:sz w:val="24"/>
                <w:rFonts w:hint="eastAsia" w:eastAsiaTheme="minorEastAsia"/>
              </w:rPr>
              <w:t>2</w:t>
            </w:r>
            <w:r>
              <w:rPr>
                <w:color w:val="auto"/>
                <w:sz w:val="24"/>
                <w:rFonts w:eastAsiaTheme="minorEastAsia"/>
              </w:rPr>
              <w:t>类标准（昼间≤</w:t>
            </w:r>
            <w:r>
              <w:rPr>
                <w:color w:val="auto"/>
                <w:sz w:val="24"/>
                <w:rFonts w:hint="eastAsia" w:eastAsiaTheme="minorEastAsia"/>
              </w:rPr>
              <w:t>60</w:t>
            </w:r>
            <w:r>
              <w:rPr>
                <w:color w:val="auto"/>
                <w:sz w:val="24"/>
                <w:rFonts w:eastAsiaTheme="minorEastAsia"/>
              </w:rPr>
              <w:t>dB（A））。</w:t>
            </w:r>
          </w:p>
          <w:p w14:paraId="2D8F6D8A">
            <w:pPr>
              <w:contextualSpacing/>
              <w:spacing w:line="360" w:lineRule="auto"/>
              <w:ind w:firstLine="482" w:firstLineChars="200"/>
              <w:rPr>
                <w:b w:val="1"/>
                <w:color w:val="auto"/>
                <w:sz w:val="24"/>
                <w:bCs/>
              </w:rPr>
            </w:pPr>
            <w:r>
              <w:rPr>
                <w:b w:val="1"/>
                <w:color w:val="auto"/>
                <w:sz w:val="24"/>
                <w:bCs/>
              </w:rPr>
              <w:t>（四）固废</w:t>
            </w:r>
          </w:p>
          <w:p w14:paraId="3B9062DA">
            <w:pPr>
              <w:contextualSpacing/>
              <w:spacing w:line="360" w:lineRule="auto"/>
              <w:ind w:firstLine="482" w:firstLineChars="200"/>
              <w:rPr>
                <w:b w:val="1"/>
                <w:color w:val="auto"/>
                <w:sz w:val="24"/>
                <w:bCs/>
              </w:rPr>
            </w:pPr>
            <w:r>
              <w:rPr>
                <w:b w:val="1"/>
                <w:color w:val="auto"/>
                <w:sz w:val="24"/>
                <w:bCs/>
              </w:rPr>
              <w:t>1、固体废物产生情况</w:t>
            </w:r>
          </w:p>
          <w:p w14:paraId="754E0A03">
            <w:pPr>
              <w:spacing w:line="360" w:lineRule="auto"/>
              <w:ind w:firstLine="480" w:firstLineChars="200"/>
              <w:rPr>
                <w:color w:val="auto"/>
                <w:sz w:val="24"/>
                <w:rFonts w:eastAsiaTheme="minorEastAsia"/>
              </w:rPr>
            </w:pPr>
            <w:r>
              <w:rPr>
                <w:color w:val="auto"/>
                <w:sz w:val="24"/>
                <w:rFonts w:eastAsiaTheme="minorEastAsia"/>
              </w:rPr>
              <w:t>本项目产生的固体废物主要有生活垃圾、除尘器收集粉尘、废布袋、</w:t>
            </w:r>
            <w:r>
              <w:rPr>
                <w:color w:val="auto"/>
                <w:sz w:val="24"/>
                <w:rFonts w:hint="eastAsia"/>
              </w:rPr>
              <w:t>实</w:t>
            </w:r>
            <w:r>
              <w:rPr>
                <w:color w:val="auto"/>
                <w:sz w:val="24"/>
              </w:rPr>
              <w:t>验室弃块、初期雨水池油污</w:t>
            </w:r>
            <w:r>
              <w:rPr>
                <w:color w:val="auto"/>
                <w:sz w:val="24"/>
                <w:rFonts w:hint="eastAsia"/>
              </w:rPr>
              <w:t>、</w:t>
            </w:r>
            <w:r>
              <w:rPr>
                <w:color w:val="auto"/>
                <w:sz w:val="24"/>
                <w:rFonts w:eastAsiaTheme="minorEastAsia"/>
              </w:rPr>
              <w:t>废</w:t>
            </w:r>
            <w:r>
              <w:rPr>
                <w:color w:val="auto"/>
                <w:sz w:val="24"/>
                <w:rFonts w:hint="eastAsia"/>
              </w:rPr>
              <w:t>活性</w:t>
            </w:r>
            <w:r>
              <w:rPr>
                <w:color w:val="auto"/>
                <w:sz w:val="24"/>
                <w:rFonts w:eastAsiaTheme="minorEastAsia"/>
              </w:rPr>
              <w:t>炭</w:t>
            </w:r>
            <w:r>
              <w:rPr>
                <w:color w:val="auto"/>
                <w:sz w:val="24"/>
                <w:bCs/>
                <w:rFonts w:eastAsiaTheme="minorEastAsia"/>
              </w:rPr>
              <w:t>、废油桶、废</w:t>
            </w:r>
            <w:r>
              <w:rPr>
                <w:color w:val="auto"/>
                <w:sz w:val="24"/>
                <w:bCs/>
                <w:rFonts w:hint="eastAsia" w:eastAsiaTheme="minorEastAsia"/>
              </w:rPr>
              <w:t>导热油</w:t>
            </w:r>
            <w:r>
              <w:rPr>
                <w:color w:val="auto"/>
                <w:sz w:val="24"/>
                <w:rFonts w:eastAsiaTheme="minorEastAsia"/>
              </w:rPr>
              <w:t>。</w:t>
            </w:r>
          </w:p>
          <w:p w14:paraId="436F21A8">
            <w:pPr>
              <w:spacing w:line="360" w:lineRule="auto"/>
              <w:ind w:firstLine="480" w:firstLineChars="200"/>
              <w:rPr>
                <w:color w:val="auto"/>
                <w:sz w:val="24"/>
                <w:lang w:val="en-US" w:eastAsia="zh-CN"/>
                <w:bCs/>
                <w:rFonts w:hint="eastAsia"/>
              </w:rPr>
            </w:pPr>
            <w:r>
              <w:rPr>
                <w:color w:val="auto"/>
                <w:sz w:val="24"/>
                <w:bCs/>
              </w:rPr>
              <w:t>本项目生活垃圾</w:t>
            </w:r>
            <w:r>
              <w:rPr>
                <w:color w:val="auto"/>
                <w:sz w:val="24"/>
                <w:rFonts w:hint="eastAsia"/>
              </w:rPr>
              <w:t>（SW64代码900-099-S64）</w:t>
            </w:r>
            <w:r>
              <w:rPr>
                <w:color w:val="auto"/>
                <w:sz w:val="24"/>
                <w:bCs/>
              </w:rPr>
              <w:t>按每人0.4kg/d计，生活垃圾产生量</w:t>
            </w:r>
            <w:r>
              <w:rPr>
                <w:color w:val="auto"/>
                <w:sz w:val="24"/>
                <w:bCs/>
                <w:rFonts w:hint="eastAsia"/>
              </w:rPr>
              <w:t>1.62</w:t>
            </w:r>
            <w:r>
              <w:rPr>
                <w:color w:val="auto"/>
                <w:sz w:val="24"/>
                <w:bCs/>
              </w:rPr>
              <w:t>t/a</w:t>
            </w:r>
            <w:r>
              <w:rPr>
                <w:color w:val="auto"/>
                <w:sz w:val="24"/>
                <w:lang w:val="en-US" w:eastAsia="zh-CN"/>
                <w:bCs/>
                <w:rFonts w:hint="eastAsia"/>
              </w:rPr>
              <w:t>.</w:t>
            </w:r>
          </w:p>
          <w:p w14:paraId="055AC378">
            <w:pPr>
              <w:spacing w:line="360" w:lineRule="auto"/>
              <w:ind w:firstLine="480" w:firstLineChars="200"/>
              <w:rPr>
                <w:color w:val="auto"/>
                <w:sz w:val="24"/>
                <w:lang w:eastAsia="zh-CN"/>
                <w:rFonts w:hint="eastAsia" w:eastAsiaTheme="minorEastAsia"/>
              </w:rPr>
            </w:pPr>
            <w:r>
              <w:rPr>
                <w:color w:val="auto"/>
                <w:sz w:val="24"/>
                <w:rFonts w:eastAsiaTheme="minorEastAsia"/>
              </w:rPr>
              <w:t>除尘器收集粉尘</w:t>
            </w:r>
            <w:r>
              <w:rPr>
                <w:color w:val="auto"/>
                <w:sz w:val="24"/>
                <w:rFonts w:hint="eastAsia"/>
              </w:rPr>
              <w:t>（SW59代码900-099-S59）</w:t>
            </w:r>
            <w:r>
              <w:rPr>
                <w:color w:val="auto"/>
                <w:sz w:val="24"/>
                <w:rFonts w:eastAsiaTheme="minorEastAsia"/>
              </w:rPr>
              <w:t>产生量为</w:t>
            </w:r>
            <w:r>
              <w:rPr>
                <w:color w:val="auto"/>
                <w:sz w:val="24"/>
                <w:lang w:val="en-US" w:eastAsia="zh-CN"/>
                <w:rFonts w:hint="eastAsia" w:eastAsiaTheme="minorEastAsia"/>
              </w:rPr>
              <w:t>400.2</w:t>
            </w:r>
            <w:r>
              <w:rPr>
                <w:color w:val="auto"/>
                <w:sz w:val="24"/>
                <w:rFonts w:eastAsiaTheme="minorEastAsia"/>
              </w:rPr>
              <w:t>t</w:t>
            </w:r>
            <w:r>
              <w:rPr>
                <w:color w:val="auto"/>
                <w:sz w:val="24"/>
                <w:rFonts w:eastAsiaTheme="minorEastAsia"/>
              </w:rPr>
              <w:t>/a，集中收集后</w:t>
            </w:r>
            <w:r>
              <w:rPr>
                <w:color w:val="auto"/>
                <w:sz w:val="24"/>
                <w:rFonts w:hint="eastAsia" w:hAnsiTheme="minorEastAsia" w:eastAsiaTheme="minorEastAsia"/>
              </w:rPr>
              <w:t>回用于</w:t>
            </w:r>
            <w:r>
              <w:rPr>
                <w:color w:val="auto"/>
                <w:sz w:val="24"/>
                <w:rFonts w:hAnsiTheme="minorEastAsia" w:eastAsiaTheme="minorEastAsia"/>
              </w:rPr>
              <w:t>生产</w:t>
            </w:r>
            <w:r>
              <w:rPr>
                <w:color w:val="auto"/>
                <w:sz w:val="24"/>
                <w:lang w:val="en-US" w:eastAsia="zh-CN"/>
                <w:rFonts w:hint="eastAsia" w:eastAsiaTheme="minorEastAsia"/>
              </w:rPr>
              <w:t>.</w:t>
            </w:r>
          </w:p>
          <w:p w14:paraId="484437A3">
            <w:pPr>
              <w:spacing w:line="360" w:lineRule="auto"/>
              <w:ind w:firstLine="480" w:firstLineChars="200"/>
              <w:rPr>
                <w:color w:val="auto"/>
                <w:sz w:val="24"/>
                <w:lang w:eastAsia="zh-CN"/>
                <w:rFonts w:hint="eastAsia" w:eastAsiaTheme="minorEastAsia"/>
              </w:rPr>
            </w:pPr>
            <w:r>
              <w:rPr>
                <w:color w:val="auto"/>
                <w:sz w:val="24"/>
                <w:rFonts w:hint="eastAsia" w:eastAsiaTheme="minorEastAsia"/>
              </w:rPr>
              <w:t>除尘</w:t>
            </w:r>
            <w:r>
              <w:rPr>
                <w:color w:val="auto"/>
                <w:sz w:val="24"/>
                <w:rFonts w:eastAsiaTheme="minorEastAsia"/>
              </w:rPr>
              <w:t>系统定期检修会产生废布袋</w:t>
            </w:r>
            <w:r>
              <w:rPr>
                <w:color w:val="auto"/>
                <w:sz w:val="24"/>
                <w:rFonts w:hint="eastAsia"/>
              </w:rPr>
              <w:t>（SW59代码900-009-S59）</w:t>
            </w:r>
            <w:r>
              <w:rPr>
                <w:color w:val="auto"/>
                <w:sz w:val="24"/>
                <w:rFonts w:eastAsiaTheme="minorEastAsia"/>
              </w:rPr>
              <w:t>，产生量为0.2t/3a，由市政环卫部门处理</w:t>
            </w:r>
            <w:r>
              <w:rPr>
                <w:color w:val="auto"/>
                <w:sz w:val="24"/>
                <w:lang w:val="en-US" w:eastAsia="zh-CN"/>
                <w:rFonts w:hint="eastAsia" w:eastAsiaTheme="minorEastAsia"/>
              </w:rPr>
              <w:t>.</w:t>
            </w:r>
          </w:p>
          <w:p w14:paraId="5FE163DE">
            <w:pPr>
              <w:spacing w:line="360" w:lineRule="auto"/>
              <w:ind w:firstLine="480" w:firstLineChars="200"/>
              <w:rPr>
                <w:color w:val="auto"/>
                <w:sz w:val="24"/>
                <w:rFonts w:eastAsiaTheme="minorEastAsia"/>
              </w:rPr>
            </w:pPr>
            <w:r>
              <w:rPr>
                <w:color w:val="auto"/>
                <w:sz w:val="24"/>
                <w:rFonts w:hint="eastAsia"/>
              </w:rPr>
              <w:t>实</w:t>
            </w:r>
            <w:r>
              <w:rPr>
                <w:color w:val="auto"/>
                <w:sz w:val="24"/>
              </w:rPr>
              <w:t>验室弃块</w:t>
            </w:r>
            <w:r>
              <w:rPr>
                <w:color w:val="auto"/>
                <w:sz w:val="24"/>
                <w:bCs/>
                <w:rFonts w:hAnsi="宋体" w:hint="eastAsia"/>
              </w:rPr>
              <w:t>（SW92代码900-001-S92）</w:t>
            </w:r>
            <w:r>
              <w:rPr>
                <w:color w:val="auto"/>
                <w:sz w:val="24"/>
                <w:rFonts w:eastAsiaTheme="minorEastAsia"/>
              </w:rPr>
              <w:t>产生量为</w:t>
            </w:r>
            <w:r>
              <w:rPr>
                <w:color w:val="auto"/>
                <w:sz w:val="24"/>
                <w:rFonts w:hint="eastAsia" w:eastAsiaTheme="minorEastAsia"/>
              </w:rPr>
              <w:t>0.1</w:t>
            </w:r>
            <w:r>
              <w:rPr>
                <w:color w:val="auto"/>
                <w:sz w:val="24"/>
                <w:rFonts w:eastAsiaTheme="minorEastAsia"/>
              </w:rPr>
              <w:t>t/a，</w:t>
            </w:r>
            <w:r>
              <w:rPr>
                <w:color w:val="auto"/>
                <w:sz w:val="24"/>
                <w:rFonts w:hint="eastAsia" w:eastAsiaTheme="minorEastAsia"/>
              </w:rPr>
              <w:t>外运</w:t>
            </w:r>
            <w:r>
              <w:rPr>
                <w:color w:val="auto"/>
                <w:sz w:val="24"/>
                <w:rFonts w:eastAsiaTheme="minorEastAsia"/>
              </w:rPr>
              <w:t>作为铺路材料。</w:t>
            </w:r>
          </w:p>
          <w:p w14:paraId="3EEE6C0E">
            <w:pPr>
              <w:spacing w:line="360" w:lineRule="auto"/>
              <w:ind w:firstLine="480" w:firstLineChars="200"/>
              <w:rPr>
                <w:color w:val="auto"/>
                <w:sz w:val="24"/>
                <w:rFonts w:eastAsiaTheme="minorEastAsia"/>
              </w:rPr>
            </w:pPr>
            <w:r>
              <w:rPr>
                <w:color w:val="auto"/>
                <w:sz w:val="24"/>
                <w:rFonts w:eastAsiaTheme="minorEastAsia"/>
              </w:rPr>
              <w:t>废</w:t>
            </w:r>
            <w:r>
              <w:rPr>
                <w:color w:val="auto"/>
                <w:sz w:val="24"/>
                <w:rFonts w:hint="eastAsia" w:eastAsiaTheme="minorEastAsia"/>
              </w:rPr>
              <w:t>导热油</w:t>
            </w:r>
            <w:r>
              <w:rPr>
                <w:color w:val="auto"/>
                <w:sz w:val="24"/>
                <w:rFonts w:eastAsiaTheme="minorEastAsia"/>
              </w:rPr>
              <w:t>（类别</w:t>
            </w:r>
            <w:r>
              <w:rPr>
                <w:color w:val="auto"/>
                <w:sz w:val="24"/>
                <w:bCs/>
                <w:rFonts w:eastAsiaTheme="minorEastAsia"/>
              </w:rPr>
              <w:t>HW08，代码：900-249-08</w:t>
            </w:r>
            <w:r>
              <w:rPr>
                <w:color w:val="auto"/>
                <w:sz w:val="24"/>
                <w:rFonts w:eastAsiaTheme="minorEastAsia"/>
              </w:rPr>
              <w:t>），产生量约为</w:t>
            </w:r>
            <w:r>
              <w:rPr>
                <w:color w:val="auto"/>
                <w:sz w:val="24"/>
                <w:rFonts w:hint="eastAsia" w:eastAsiaTheme="minorEastAsia"/>
              </w:rPr>
              <w:t>3t/3a</w:t>
            </w:r>
            <w:r>
              <w:rPr>
                <w:color w:val="auto"/>
                <w:sz w:val="24"/>
                <w:rFonts w:eastAsiaTheme="minorEastAsia"/>
              </w:rPr>
              <w:t>。</w:t>
            </w:r>
          </w:p>
          <w:p w14:paraId="0007B718">
            <w:pPr>
              <w:spacing w:line="360" w:lineRule="auto"/>
              <w:ind w:firstLine="480" w:firstLineChars="200"/>
              <w:rPr>
                <w:color w:val="auto"/>
                <w:sz w:val="24"/>
                <w:rFonts w:eastAsiaTheme="minorEastAsia"/>
              </w:rPr>
            </w:pPr>
            <w:r>
              <w:rPr>
                <w:color w:val="auto"/>
                <w:sz w:val="24"/>
                <w:rFonts w:eastAsiaTheme="minorEastAsia"/>
              </w:rPr>
              <w:t>废</w:t>
            </w:r>
            <w:r>
              <w:rPr>
                <w:color w:val="auto"/>
                <w:sz w:val="24"/>
                <w:rFonts w:hint="eastAsia" w:eastAsiaTheme="minorEastAsia"/>
              </w:rPr>
              <w:t>油桶</w:t>
            </w:r>
            <w:r>
              <w:rPr>
                <w:color w:val="auto"/>
                <w:sz w:val="24"/>
                <w:rFonts w:eastAsiaTheme="minorEastAsia"/>
              </w:rPr>
              <w:t>（类别HW</w:t>
            </w:r>
            <w:r>
              <w:rPr>
                <w:color w:val="auto"/>
                <w:sz w:val="24"/>
                <w:rFonts w:hint="eastAsia" w:eastAsiaTheme="minorEastAsia"/>
              </w:rPr>
              <w:t>08</w:t>
            </w:r>
            <w:r>
              <w:rPr>
                <w:color w:val="auto"/>
                <w:sz w:val="24"/>
                <w:rFonts w:eastAsiaTheme="minorEastAsia"/>
              </w:rPr>
              <w:t>；代码：900-</w:t>
            </w:r>
            <w:r>
              <w:rPr>
                <w:color w:val="auto"/>
                <w:sz w:val="24"/>
                <w:bCs/>
                <w:rFonts w:eastAsiaTheme="minorEastAsia"/>
              </w:rPr>
              <w:t>249-08</w:t>
            </w:r>
            <w:r>
              <w:rPr>
                <w:color w:val="auto"/>
                <w:sz w:val="24"/>
                <w:rFonts w:eastAsiaTheme="minorEastAsia"/>
              </w:rPr>
              <w:t>），产生量约为</w:t>
            </w:r>
            <w:r>
              <w:rPr>
                <w:color w:val="auto"/>
                <w:sz w:val="24"/>
                <w:rFonts w:hint="eastAsia" w:eastAsiaTheme="minorEastAsia"/>
              </w:rPr>
              <w:t>0.01</w:t>
            </w:r>
            <w:r>
              <w:rPr>
                <w:color w:val="auto"/>
                <w:sz w:val="24"/>
                <w:rFonts w:eastAsiaTheme="minorEastAsia"/>
              </w:rPr>
              <w:t>t/</w:t>
            </w:r>
            <w:r>
              <w:rPr>
                <w:color w:val="auto"/>
                <w:sz w:val="24"/>
                <w:rFonts w:hint="eastAsia" w:eastAsiaTheme="minorEastAsia"/>
              </w:rPr>
              <w:t>3</w:t>
            </w:r>
            <w:r>
              <w:rPr>
                <w:color w:val="auto"/>
                <w:sz w:val="24"/>
                <w:rFonts w:eastAsiaTheme="minorEastAsia"/>
              </w:rPr>
              <w:t>a</w:t>
            </w:r>
            <w:r>
              <w:rPr>
                <w:color w:val="auto"/>
                <w:sz w:val="24"/>
                <w:rFonts w:hint="eastAsia" w:eastAsiaTheme="minorEastAsia"/>
              </w:rPr>
              <w:t>。</w:t>
            </w:r>
            <w:r>
              <w:rPr>
                <w:color w:val="auto"/>
                <w:sz w:val="24"/>
              </w:rPr>
              <w:t>初期雨水池油污（类别</w:t>
            </w:r>
            <w:r>
              <w:rPr>
                <w:color w:val="auto"/>
                <w:sz w:val="24"/>
                <w:bCs/>
              </w:rPr>
              <w:t>HW08，代码：900-2</w:t>
            </w:r>
            <w:r>
              <w:rPr>
                <w:color w:val="auto"/>
                <w:sz w:val="24"/>
                <w:bCs/>
                <w:rFonts w:hint="eastAsia"/>
              </w:rPr>
              <w:t>10</w:t>
            </w:r>
            <w:r>
              <w:rPr>
                <w:color w:val="auto"/>
                <w:sz w:val="24"/>
                <w:bCs/>
              </w:rPr>
              <w:t>-08</w:t>
            </w:r>
            <w:r>
              <w:rPr>
                <w:color w:val="auto"/>
                <w:sz w:val="24"/>
              </w:rPr>
              <w:t>）</w:t>
            </w:r>
            <w:r>
              <w:rPr>
                <w:color w:val="auto"/>
                <w:sz w:val="24"/>
                <w:rFonts w:hint="eastAsia"/>
              </w:rPr>
              <w:t>，</w:t>
            </w:r>
            <w:r>
              <w:rPr>
                <w:color w:val="auto"/>
                <w:sz w:val="24"/>
                <w:rFonts w:eastAsiaTheme="minorEastAsia"/>
              </w:rPr>
              <w:t>产生量约为</w:t>
            </w:r>
            <w:r>
              <w:rPr>
                <w:color w:val="auto"/>
                <w:sz w:val="24"/>
                <w:rFonts w:hint="eastAsia" w:eastAsiaTheme="minorEastAsia"/>
              </w:rPr>
              <w:t>0.001t/a</w:t>
            </w:r>
            <w:r>
              <w:rPr>
                <w:color w:val="auto"/>
                <w:sz w:val="24"/>
                <w:rFonts w:eastAsiaTheme="minorEastAsia"/>
              </w:rPr>
              <w:t>。</w:t>
            </w:r>
          </w:p>
          <w:p w14:paraId="3C0942EE">
            <w:pPr>
              <w:spacing w:line="360" w:lineRule="auto"/>
              <w:ind w:firstLine="480" w:firstLineChars="200"/>
              <w:rPr>
                <w:color w:val="auto"/>
                <w:sz w:val="24"/>
                <w:rFonts w:eastAsiaTheme="minorEastAsia"/>
              </w:rPr>
            </w:pPr>
            <w:r>
              <w:rPr>
                <w:color w:val="auto"/>
                <w:sz w:val="24"/>
                <w:rFonts w:eastAsiaTheme="minorEastAsia"/>
              </w:rPr>
              <w:t>废</w:t>
            </w:r>
            <w:r>
              <w:rPr>
                <w:color w:val="auto"/>
                <w:sz w:val="24"/>
                <w:rFonts w:hint="eastAsia"/>
              </w:rPr>
              <w:t>活性</w:t>
            </w:r>
            <w:r>
              <w:rPr>
                <w:color w:val="auto"/>
                <w:sz w:val="24"/>
                <w:rFonts w:eastAsiaTheme="minorEastAsia"/>
              </w:rPr>
              <w:t>炭（类别HW49；代码：900-041-49），考虑到</w:t>
            </w:r>
            <w:r>
              <w:rPr>
                <w:color w:val="auto"/>
                <w:sz w:val="24"/>
                <w:rFonts w:hint="eastAsia" w:eastAsiaTheme="minorEastAsia"/>
              </w:rPr>
              <w:t>高</w:t>
            </w:r>
            <w:r>
              <w:rPr>
                <w:color w:val="auto"/>
                <w:sz w:val="24"/>
                <w:rFonts w:eastAsiaTheme="minorEastAsia"/>
              </w:rPr>
              <w:t>碘值炭吸附能力到一定程度后，不能有效处理废气，建议建设单位每个月更换一次活性炭，保持活性炭的吸附能力，产生量约为</w:t>
            </w:r>
            <w:r>
              <w:rPr>
                <w:color w:val="auto"/>
                <w:sz w:val="24"/>
                <w:rFonts w:hint="eastAsia" w:eastAsiaTheme="minorEastAsia"/>
              </w:rPr>
              <w:t>3.6</w:t>
            </w:r>
            <w:r>
              <w:rPr>
                <w:color w:val="auto"/>
                <w:sz w:val="24"/>
                <w:rFonts w:eastAsiaTheme="minorEastAsia"/>
              </w:rPr>
              <w:t>t/a。根据《国家危险废物名录》（2021版本），废导热油（类别</w:t>
            </w:r>
            <w:r>
              <w:rPr>
                <w:color w:val="auto"/>
                <w:sz w:val="24"/>
                <w:bCs/>
                <w:rFonts w:eastAsiaTheme="minorEastAsia"/>
              </w:rPr>
              <w:t>HW08，代码：900-249-08</w:t>
            </w:r>
            <w:r>
              <w:rPr>
                <w:color w:val="auto"/>
                <w:sz w:val="24"/>
                <w:rFonts w:eastAsiaTheme="minorEastAsia"/>
              </w:rPr>
              <w:t>）、废活性炭（类别HW49；代码：900-0</w:t>
            </w:r>
            <w:r>
              <w:rPr>
                <w:color w:val="auto"/>
                <w:sz w:val="24"/>
                <w:rFonts w:hint="eastAsia" w:eastAsiaTheme="minorEastAsia"/>
              </w:rPr>
              <w:t>39</w:t>
            </w:r>
            <w:r>
              <w:rPr>
                <w:color w:val="auto"/>
                <w:sz w:val="24"/>
                <w:rFonts w:eastAsiaTheme="minorEastAsia"/>
              </w:rPr>
              <w:t>-49）、废油桶（类别</w:t>
            </w:r>
            <w:r>
              <w:rPr>
                <w:color w:val="auto"/>
                <w:sz w:val="24"/>
                <w:bCs/>
                <w:rFonts w:eastAsiaTheme="minorEastAsia"/>
              </w:rPr>
              <w:t>HW08，代码：900-249-08</w:t>
            </w:r>
            <w:r>
              <w:rPr>
                <w:color w:val="auto"/>
                <w:sz w:val="24"/>
                <w:rFonts w:eastAsiaTheme="minorEastAsia"/>
              </w:rPr>
              <w:t>）为危险废物，</w:t>
            </w:r>
            <w:r>
              <w:rPr>
                <w:color w:val="auto"/>
                <w:sz w:val="24"/>
                <w:rFonts w:hint="eastAsia" w:eastAsiaTheme="minorEastAsia"/>
              </w:rPr>
              <w:t>集中</w:t>
            </w:r>
            <w:r>
              <w:rPr>
                <w:color w:val="auto"/>
                <w:sz w:val="24"/>
                <w:rFonts w:eastAsiaTheme="minorEastAsia"/>
              </w:rPr>
              <w:t>收集后暂存于危险废物暂存间，</w:t>
            </w:r>
            <w:r>
              <w:rPr>
                <w:color w:val="auto"/>
                <w:sz w:val="24"/>
                <w:bCs/>
                <w:rFonts w:eastAsiaTheme="minorEastAsia"/>
              </w:rPr>
              <w:t>委托有资质单位处置</w:t>
            </w:r>
            <w:r>
              <w:rPr>
                <w:color w:val="auto"/>
                <w:sz w:val="24"/>
                <w:rFonts w:eastAsiaTheme="minorEastAsia"/>
              </w:rPr>
              <w:t>。</w:t>
            </w:r>
          </w:p>
          <w:p w14:paraId="321B2B4B">
            <w:pPr>
              <w:jc w:val="center"/>
              <w:rPr>
                <w:b w:val="1"/>
                <w:color w:val="auto"/>
                <w:sz w:val="24"/>
                <w:rFonts w:eastAsiaTheme="minorEastAsia"/>
              </w:rPr>
            </w:pPr>
            <w:r>
              <w:rPr>
                <w:b w:val="1"/>
                <w:color w:val="auto"/>
                <w:sz w:val="24"/>
                <w:rFonts w:eastAsiaTheme="minorEastAsia"/>
              </w:rPr>
              <w:t>表</w:t>
            </w:r>
            <w:r>
              <w:rPr>
                <w:b w:val="1"/>
                <w:color w:val="auto"/>
                <w:sz w:val="24"/>
                <w:lang w:val="en-US" w:eastAsia="zh-CN"/>
                <w:rFonts w:hint="eastAsia" w:eastAsiaTheme="minorEastAsia"/>
              </w:rPr>
              <w:t>4-10</w:t>
            </w:r>
            <w:r>
              <w:rPr>
                <w:b w:val="1"/>
                <w:color w:val="auto"/>
                <w:sz w:val="24"/>
                <w:rFonts w:eastAsiaTheme="minorEastAsia"/>
              </w:rPr>
              <w:t>项目固体废物汇总表</w:t>
            </w:r>
          </w:p>
          <w:tbl>
            <w:tblPr>
              <w:tblStyle w:val="27"/>
              <w:tblW w:w="5000"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612.000000"/>
              <w:gridCol w:w="2.000000"/>
              <w:gridCol w:w="790.000000"/>
              <w:gridCol w:w="4.000000"/>
              <w:gridCol w:w="1499.000000"/>
              <w:gridCol w:w="4.000000"/>
              <w:gridCol w:w="850.000000"/>
              <w:gridCol w:w="4.000000"/>
              <w:gridCol w:w="415.000000"/>
              <w:gridCol w:w="4.000000"/>
              <w:gridCol w:w="670.000000"/>
              <w:gridCol w:w="4.000000"/>
              <w:gridCol w:w="884.000000"/>
              <w:gridCol w:w="4.000000"/>
              <w:gridCol w:w="558.000000"/>
              <w:gridCol w:w="4.000000"/>
              <w:gridCol w:w="1192.000000"/>
              <w:gridCol w:w="4.000000"/>
              <w:gridCol w:w="885.000000"/>
            </w:tblGrid>
            <w:tr w14:paraId="5F588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576" w:hRule="atLeast"/>
                <w:jc w:val="center"/>
              </w:trPr>
              <w:tc>
                <w:tcPr>
                  <w:tcW w:w="365" w:type="pct"/>
                  <w:gridSpan w:val="2"/>
                  <w:vAlign w:val="center"/>
                </w:tcPr>
                <w:p w14:paraId="77CB1F38">
                  <w:pPr>
                    <w:jc w:val="center"/>
                    <w:spacing w:line="0" w:lineRule="atLeast"/>
                    <w:rPr>
                      <w:color w:val="auto"/>
                      <w:szCs w:val="21"/>
                      <w:rFonts w:eastAsiaTheme="minorEastAsia"/>
                    </w:rPr>
                  </w:pPr>
                  <w:r>
                    <w:rPr>
                      <w:color w:val="auto"/>
                      <w:szCs w:val="21"/>
                      <w:rFonts w:hint="eastAsia" w:hAnsiTheme="minorEastAsia" w:eastAsiaTheme="minorEastAsia"/>
                    </w:rPr>
                    <w:t>产污环节</w:t>
                  </w:r>
                </w:p>
              </w:tc>
              <w:tc>
                <w:tcPr>
                  <w:tcW w:w="473" w:type="pct"/>
                  <w:gridSpan w:val="2"/>
                  <w:vAlign w:val="center"/>
                </w:tcPr>
                <w:p w14:paraId="1E24183A">
                  <w:pPr>
                    <w:jc w:val="center"/>
                    <w:spacing w:line="0" w:lineRule="atLeast"/>
                    <w:rPr>
                      <w:color w:val="auto"/>
                      <w:szCs w:val="21"/>
                      <w:rFonts w:eastAsiaTheme="minorEastAsia"/>
                    </w:rPr>
                  </w:pPr>
                  <w:r>
                    <w:rPr>
                      <w:color w:val="auto"/>
                      <w:szCs w:val="21"/>
                      <w:rFonts w:hAnsiTheme="minorEastAsia" w:eastAsiaTheme="minorEastAsia"/>
                    </w:rPr>
                    <w:t>固体废物名称</w:t>
                  </w:r>
                </w:p>
              </w:tc>
              <w:tc>
                <w:tcPr>
                  <w:tcW w:w="895" w:type="pct"/>
                  <w:gridSpan w:val="2"/>
                  <w:vAlign w:val="center"/>
                </w:tcPr>
                <w:p w14:paraId="318F6883">
                  <w:pPr>
                    <w:jc w:val="center"/>
                    <w:spacing w:line="0" w:lineRule="atLeast"/>
                    <w:rPr>
                      <w:color w:val="auto"/>
                      <w:szCs w:val="21"/>
                      <w:rFonts w:eastAsiaTheme="minorEastAsia"/>
                    </w:rPr>
                  </w:pPr>
                  <w:r>
                    <w:rPr>
                      <w:color w:val="auto"/>
                      <w:szCs w:val="21"/>
                      <w:rFonts w:hAnsiTheme="minorEastAsia" w:eastAsiaTheme="minorEastAsia"/>
                    </w:rPr>
                    <w:t>固体废物属性及编码</w:t>
                  </w:r>
                </w:p>
              </w:tc>
              <w:tc>
                <w:tcPr>
                  <w:tcW w:w="508" w:type="pct"/>
                  <w:gridSpan w:val="2"/>
                  <w:vAlign w:val="center"/>
                </w:tcPr>
                <w:p w14:paraId="3221B8D5">
                  <w:pPr>
                    <w:jc w:val="center"/>
                    <w:spacing w:line="0" w:lineRule="atLeast"/>
                    <w:rPr>
                      <w:color w:val="auto"/>
                      <w:szCs w:val="21"/>
                      <w:rFonts w:eastAsiaTheme="minorEastAsia"/>
                    </w:rPr>
                  </w:pPr>
                  <w:r>
                    <w:rPr>
                      <w:color w:val="auto"/>
                      <w:szCs w:val="21"/>
                      <w:rFonts w:hint="eastAsia" w:eastAsiaTheme="minorEastAsia"/>
                    </w:rPr>
                    <w:t>主要有毒有害物质名称</w:t>
                  </w:r>
                </w:p>
              </w:tc>
              <w:tc>
                <w:tcPr>
                  <w:tcW w:w="249" w:type="pct"/>
                  <w:gridSpan w:val="2"/>
                  <w:vAlign w:val="center"/>
                </w:tcPr>
                <w:p w14:paraId="7979DFE1">
                  <w:pPr>
                    <w:jc w:val="center"/>
                    <w:spacing w:line="0" w:lineRule="atLeast"/>
                    <w:rPr>
                      <w:color w:val="auto"/>
                      <w:szCs w:val="21"/>
                      <w:rFonts w:eastAsiaTheme="minorEastAsia"/>
                    </w:rPr>
                  </w:pPr>
                  <w:r>
                    <w:rPr>
                      <w:color w:val="auto"/>
                      <w:szCs w:val="21"/>
                      <w:rFonts w:hint="eastAsia" w:eastAsiaTheme="minorEastAsia"/>
                    </w:rPr>
                    <w:t>物理性状</w:t>
                  </w:r>
                </w:p>
              </w:tc>
              <w:tc>
                <w:tcPr>
                  <w:tcW w:w="401" w:type="pct"/>
                  <w:gridSpan w:val="2"/>
                  <w:vAlign w:val="center"/>
                </w:tcPr>
                <w:p w14:paraId="175233F1">
                  <w:pPr>
                    <w:jc w:val="center"/>
                    <w:spacing w:line="0" w:lineRule="atLeast"/>
                    <w:rPr>
                      <w:color w:val="auto"/>
                      <w:szCs w:val="21"/>
                      <w:rFonts w:eastAsiaTheme="minorEastAsia"/>
                    </w:rPr>
                  </w:pPr>
                  <w:r>
                    <w:rPr>
                      <w:color w:val="auto"/>
                      <w:szCs w:val="21"/>
                      <w:rFonts w:hint="eastAsia" w:eastAsiaTheme="minorEastAsia"/>
                    </w:rPr>
                    <w:t>环境危险特性</w:t>
                  </w:r>
                </w:p>
              </w:tc>
              <w:tc>
                <w:tcPr>
                  <w:tcW w:w="529" w:type="pct"/>
                  <w:gridSpan w:val="2"/>
                  <w:vAlign w:val="center"/>
                </w:tcPr>
                <w:p w14:paraId="2C92E81C">
                  <w:pPr>
                    <w:jc w:val="center"/>
                    <w:spacing w:line="0" w:lineRule="atLeast"/>
                    <w:rPr>
                      <w:color w:val="auto"/>
                      <w:szCs w:val="21"/>
                      <w:rFonts w:eastAsiaTheme="minorEastAsia"/>
                    </w:rPr>
                  </w:pPr>
                  <w:r>
                    <w:rPr>
                      <w:color w:val="auto"/>
                      <w:szCs w:val="21"/>
                      <w:rFonts w:hAnsiTheme="minorEastAsia" w:eastAsiaTheme="minorEastAsia"/>
                    </w:rPr>
                    <w:t>年度产生量</w:t>
                  </w:r>
                </w:p>
              </w:tc>
              <w:tc>
                <w:tcPr>
                  <w:tcW w:w="334" w:type="pct"/>
                  <w:gridSpan w:val="2"/>
                  <w:vAlign w:val="center"/>
                </w:tcPr>
                <w:p w14:paraId="419526C8">
                  <w:pPr>
                    <w:jc w:val="center"/>
                    <w:spacing w:line="0" w:lineRule="atLeast"/>
                    <w:rPr>
                      <w:color w:val="auto"/>
                      <w:szCs w:val="21"/>
                      <w:rFonts w:eastAsiaTheme="minorEastAsia"/>
                    </w:rPr>
                  </w:pPr>
                  <w:r>
                    <w:rPr>
                      <w:color w:val="auto"/>
                      <w:szCs w:val="21"/>
                      <w:rFonts w:hint="eastAsia" w:eastAsiaTheme="minorEastAsia"/>
                    </w:rPr>
                    <w:t>贮存</w:t>
                  </w:r>
                </w:p>
                <w:p w14:paraId="00EC6FFF">
                  <w:pPr>
                    <w:jc w:val="center"/>
                    <w:spacing w:line="0" w:lineRule="atLeast"/>
                    <w:rPr>
                      <w:color w:val="auto"/>
                      <w:szCs w:val="21"/>
                      <w:rFonts w:eastAsiaTheme="minorEastAsia"/>
                    </w:rPr>
                  </w:pPr>
                  <w:r>
                    <w:rPr>
                      <w:color w:val="auto"/>
                      <w:szCs w:val="21"/>
                      <w:rFonts w:hint="eastAsia" w:eastAsiaTheme="minorEastAsia"/>
                    </w:rPr>
                    <w:t>方式</w:t>
                  </w:r>
                </w:p>
              </w:tc>
              <w:tc>
                <w:tcPr>
                  <w:tcW w:w="712" w:type="pct"/>
                  <w:gridSpan w:val="2"/>
                  <w:vAlign w:val="center"/>
                </w:tcPr>
                <w:p w14:paraId="45AD29F5">
                  <w:pPr>
                    <w:jc w:val="center"/>
                    <w:spacing w:line="0" w:lineRule="atLeast"/>
                    <w:rPr>
                      <w:color w:val="auto"/>
                      <w:szCs w:val="21"/>
                      <w:rFonts w:eastAsiaTheme="minorEastAsia"/>
                    </w:rPr>
                  </w:pPr>
                  <w:r>
                    <w:rPr>
                      <w:color w:val="auto"/>
                      <w:szCs w:val="21"/>
                      <w:rFonts w:hint="eastAsia" w:hAnsiTheme="minorEastAsia" w:eastAsiaTheme="minorEastAsia"/>
                    </w:rPr>
                    <w:t>利用处置方式或</w:t>
                  </w:r>
                  <w:r>
                    <w:rPr>
                      <w:color w:val="auto"/>
                      <w:szCs w:val="21"/>
                      <w:rFonts w:hAnsiTheme="minorEastAsia" w:eastAsiaTheme="minorEastAsia"/>
                    </w:rPr>
                    <w:t>去向</w:t>
                  </w:r>
                </w:p>
              </w:tc>
              <w:tc>
                <w:tcPr>
                  <w:tcW w:w="527" w:type="pct"/>
                  <w:vAlign w:val="center"/>
                </w:tcPr>
                <w:p w14:paraId="4328F1C2">
                  <w:pPr>
                    <w:jc w:val="center"/>
                    <w:spacing w:line="0" w:lineRule="atLeast"/>
                    <w:rPr>
                      <w:color w:val="auto"/>
                      <w:szCs w:val="21"/>
                      <w:rFonts w:eastAsiaTheme="minorEastAsia"/>
                    </w:rPr>
                  </w:pPr>
                  <w:r>
                    <w:rPr>
                      <w:color w:val="auto"/>
                      <w:szCs w:val="21"/>
                      <w:rFonts w:eastAsiaTheme="minorEastAsia"/>
                    </w:rPr>
                    <w:t>利用或处置量</w:t>
                  </w:r>
                </w:p>
              </w:tc>
            </w:tr>
            <w:tr w14:paraId="34F4E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5" w:type="pct"/>
                  <w:gridSpan w:val="2"/>
                  <w:vAlign w:val="center"/>
                  <w:shd w:val="clear" w:color="auto" w:fill="auto"/>
                </w:tcPr>
                <w:p w14:paraId="369D7A65">
                  <w:pPr>
                    <w:jc w:val="center"/>
                    <w:spacing w:line="0" w:lineRule="atLeast"/>
                    <w:rPr>
                      <w:color w:val="auto"/>
                      <w:szCs w:val="21"/>
                      <w:rFonts w:eastAsiaTheme="minorEastAsia"/>
                    </w:rPr>
                  </w:pPr>
                  <w:r>
                    <w:rPr>
                      <w:color w:val="auto"/>
                      <w:szCs w:val="21"/>
                      <w:rFonts w:hint="eastAsia" w:hAnsiTheme="minorEastAsia" w:eastAsiaTheme="minorEastAsia"/>
                    </w:rPr>
                    <w:t>生活</w:t>
                  </w:r>
                </w:p>
              </w:tc>
              <w:tc>
                <w:tcPr>
                  <w:tcW w:w="473" w:type="pct"/>
                  <w:gridSpan w:val="2"/>
                  <w:vAlign w:val="center"/>
                  <w:shd w:val="clear" w:color="auto" w:fill="auto"/>
                </w:tcPr>
                <w:p w14:paraId="35228BB5">
                  <w:pPr>
                    <w:jc w:val="center"/>
                    <w:spacing w:line="0" w:lineRule="atLeast"/>
                    <w:rPr>
                      <w:color w:val="auto"/>
                      <w:szCs w:val="21"/>
                      <w:rFonts w:eastAsiaTheme="minorEastAsia"/>
                    </w:rPr>
                  </w:pPr>
                  <w:r>
                    <w:rPr>
                      <w:color w:val="auto"/>
                      <w:bCs/>
                      <w:szCs w:val="21"/>
                      <w:rFonts w:hint="eastAsia" w:hAnsiTheme="minorEastAsia" w:eastAsiaTheme="minorEastAsia"/>
                    </w:rPr>
                    <w:t>生活垃圾</w:t>
                  </w:r>
                </w:p>
              </w:tc>
              <w:tc>
                <w:tcPr>
                  <w:tcW w:w="895" w:type="pct"/>
                  <w:gridSpan w:val="2"/>
                  <w:vAlign w:val="center"/>
                  <w:shd w:val="clear" w:color="auto" w:fill="auto"/>
                </w:tcPr>
                <w:p w14:paraId="203486CA">
                  <w:pPr>
                    <w:widowControl w:val="1"/>
                    <w:jc w:val="center"/>
                    <w:rPr>
                      <w:color w:val="auto"/>
                      <w:szCs w:val="21"/>
                      <w:rFonts w:eastAsiaTheme="minorEastAsia"/>
                    </w:rPr>
                  </w:pPr>
                  <w:r>
                    <w:rPr>
                      <w:color w:val="auto"/>
                      <w:bCs/>
                      <w:szCs w:val="21"/>
                      <w:rFonts w:hint="eastAsia" w:hAnsiTheme="minorEastAsia" w:eastAsiaTheme="minorEastAsia"/>
                    </w:rPr>
                    <w:t>生活垃圾</w:t>
                  </w:r>
                  <w:r>
                    <w:rPr>
                      <w:color w:val="auto"/>
                      <w:szCs w:val="21"/>
                      <w:rFonts w:hint="eastAsia" w:eastAsiaTheme="minorEastAsia"/>
                    </w:rPr>
                    <w:t>（SW64代码900-099-S64）</w:t>
                  </w:r>
                </w:p>
              </w:tc>
              <w:tc>
                <w:tcPr>
                  <w:tcW w:w="508" w:type="pct"/>
                  <w:gridSpan w:val="2"/>
                  <w:vAlign w:val="center"/>
                </w:tcPr>
                <w:p w14:paraId="05B77708">
                  <w:pPr>
                    <w:widowControl w:val="1"/>
                    <w:jc w:val="center"/>
                    <w:rPr>
                      <w:color w:val="auto"/>
                      <w:szCs w:val="21"/>
                      <w:rFonts w:eastAsiaTheme="minorEastAsia"/>
                    </w:rPr>
                  </w:pPr>
                  <w:r>
                    <w:rPr>
                      <w:color w:val="auto"/>
                      <w:szCs w:val="21"/>
                      <w:rFonts w:hint="eastAsia" w:eastAsiaTheme="minorEastAsia"/>
                    </w:rPr>
                    <w:t>/</w:t>
                  </w:r>
                </w:p>
              </w:tc>
              <w:tc>
                <w:tcPr>
                  <w:tcW w:w="249" w:type="pct"/>
                  <w:gridSpan w:val="2"/>
                  <w:vAlign w:val="center"/>
                  <w:shd w:val="clear" w:color="auto" w:fill="auto"/>
                </w:tcPr>
                <w:p w14:paraId="6E9494F9">
                  <w:pPr>
                    <w:widowControl w:val="1"/>
                    <w:jc w:val="center"/>
                    <w:rPr>
                      <w:color w:val="auto"/>
                      <w:szCs w:val="21"/>
                      <w:rFonts w:eastAsiaTheme="minorEastAsia"/>
                    </w:rPr>
                  </w:pPr>
                  <w:r>
                    <w:rPr>
                      <w:color w:val="auto"/>
                      <w:szCs w:val="21"/>
                      <w:rFonts w:hint="eastAsia" w:eastAsiaTheme="minorEastAsia"/>
                    </w:rPr>
                    <w:t>固态</w:t>
                  </w:r>
                </w:p>
              </w:tc>
              <w:tc>
                <w:tcPr>
                  <w:tcW w:w="401" w:type="pct"/>
                  <w:gridSpan w:val="2"/>
                  <w:vAlign w:val="center"/>
                  <w:shd w:val="clear" w:color="auto" w:fill="auto"/>
                </w:tcPr>
                <w:p w14:paraId="2CAA5A26">
                  <w:pPr>
                    <w:widowControl w:val="1"/>
                    <w:jc w:val="center"/>
                    <w:rPr>
                      <w:color w:val="auto"/>
                      <w:szCs w:val="21"/>
                      <w:rFonts w:eastAsiaTheme="minorEastAsia"/>
                    </w:rPr>
                  </w:pPr>
                  <w:r>
                    <w:rPr>
                      <w:color w:val="auto"/>
                      <w:szCs w:val="21"/>
                      <w:rFonts w:hint="eastAsia" w:eastAsiaTheme="minorEastAsia"/>
                    </w:rPr>
                    <w:t>/</w:t>
                  </w:r>
                </w:p>
              </w:tc>
              <w:tc>
                <w:tcPr>
                  <w:tcW w:w="529" w:type="pct"/>
                  <w:gridSpan w:val="2"/>
                  <w:vAlign w:val="center"/>
                  <w:tcBorders>
                    <w:top w:val="single" w:color="auto" w:sz="4" w:space="0"/>
                  </w:tcBorders>
                  <w:shd w:val="clear" w:color="auto" w:fill="FFFFFF"/>
                </w:tcPr>
                <w:p w14:paraId="6243F3FC">
                  <w:pPr>
                    <w:jc w:val="center"/>
                    <w:spacing w:line="0" w:lineRule="atLeast"/>
                    <w:rPr>
                      <w:color w:val="auto"/>
                      <w:szCs w:val="21"/>
                    </w:rPr>
                  </w:pPr>
                  <w:r>
                    <w:rPr>
                      <w:color w:val="auto"/>
                      <w:szCs w:val="21"/>
                      <w:rFonts w:hint="eastAsia"/>
                    </w:rPr>
                    <w:t>1.62</w:t>
                  </w:r>
                  <w:r>
                    <w:rPr>
                      <w:color w:val="auto"/>
                      <w:szCs w:val="21"/>
                    </w:rPr>
                    <w:t>t/a</w:t>
                  </w:r>
                </w:p>
              </w:tc>
              <w:tc>
                <w:tcPr>
                  <w:tcW w:w="334" w:type="pct"/>
                  <w:gridSpan w:val="2"/>
                  <w:vAlign w:val="center"/>
                  <w:tcBorders>
                    <w:top w:val="single" w:color="auto" w:sz="4" w:space="0"/>
                  </w:tcBorders>
                  <w:shd w:val="clear" w:color="auto" w:fill="auto"/>
                </w:tcPr>
                <w:p w14:paraId="4BEBACE7">
                  <w:pPr>
                    <w:jc w:val="center"/>
                    <w:spacing w:line="0" w:lineRule="atLeast"/>
                    <w:rPr>
                      <w:color w:val="auto"/>
                      <w:szCs w:val="21"/>
                      <w:rFonts w:eastAsiaTheme="minorEastAsia"/>
                    </w:rPr>
                  </w:pPr>
                  <w:r>
                    <w:rPr>
                      <w:color w:val="auto"/>
                      <w:szCs w:val="21"/>
                      <w:rFonts w:hint="eastAsia" w:hAnsiTheme="minorEastAsia" w:eastAsiaTheme="minorEastAsia"/>
                    </w:rPr>
                    <w:t>垃圾桶</w:t>
                  </w:r>
                </w:p>
              </w:tc>
              <w:tc>
                <w:tcPr>
                  <w:tcW w:w="712" w:type="pct"/>
                  <w:gridSpan w:val="2"/>
                  <w:vAlign w:val="center"/>
                  <w:tcBorders>
                    <w:top w:val="single" w:color="auto" w:sz="4" w:space="0"/>
                  </w:tcBorders>
                  <w:shd w:val="clear" w:color="auto" w:fill="auto"/>
                </w:tcPr>
                <w:p w14:paraId="397B1517">
                  <w:pPr>
                    <w:jc w:val="center"/>
                    <w:spacing w:line="0" w:lineRule="atLeast"/>
                    <w:rPr>
                      <w:color w:val="auto"/>
                      <w:szCs w:val="21"/>
                      <w:rFonts w:eastAsiaTheme="minorEastAsia"/>
                    </w:rPr>
                  </w:pPr>
                  <w:r>
                    <w:rPr>
                      <w:color w:val="auto"/>
                      <w:bCs/>
                      <w:szCs w:val="21"/>
                      <w:rFonts w:eastAsiaTheme="minorEastAsia"/>
                    </w:rPr>
                    <w:t>市政</w:t>
                  </w:r>
                  <w:r>
                    <w:rPr>
                      <w:color w:val="auto"/>
                      <w:bCs/>
                      <w:szCs w:val="21"/>
                      <w:rFonts w:hint="eastAsia" w:eastAsiaTheme="minorEastAsia"/>
                    </w:rPr>
                    <w:t>环卫</w:t>
                  </w:r>
                  <w:r>
                    <w:rPr>
                      <w:color w:val="auto"/>
                      <w:bCs/>
                      <w:szCs w:val="21"/>
                      <w:rFonts w:eastAsiaTheme="minorEastAsia"/>
                    </w:rPr>
                    <w:t>部门统一处理</w:t>
                  </w:r>
                </w:p>
              </w:tc>
              <w:tc>
                <w:tcPr>
                  <w:tcW w:w="527" w:type="pct"/>
                  <w:vAlign w:val="center"/>
                  <w:shd w:val="clear" w:color="auto" w:fill="auto"/>
                </w:tcPr>
                <w:p w14:paraId="16F9915A">
                  <w:pPr>
                    <w:jc w:val="center"/>
                    <w:spacing w:line="0" w:lineRule="atLeast"/>
                    <w:rPr>
                      <w:color w:val="auto"/>
                      <w:szCs w:val="21"/>
                    </w:rPr>
                  </w:pPr>
                  <w:r>
                    <w:rPr>
                      <w:color w:val="auto"/>
                      <w:szCs w:val="21"/>
                      <w:rFonts w:hint="eastAsia"/>
                    </w:rPr>
                    <w:t>1.62</w:t>
                  </w:r>
                  <w:r>
                    <w:rPr>
                      <w:color w:val="auto"/>
                      <w:szCs w:val="21"/>
                    </w:rPr>
                    <w:t>t/a</w:t>
                  </w:r>
                </w:p>
              </w:tc>
            </w:tr>
            <w:tr w14:paraId="3BC9F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5" w:type="pct"/>
                  <w:gridSpan w:val="2"/>
                  <w:vMerge w:val="restart"/>
                  <w:vAlign w:val="center"/>
                  <w:shd w:val="clear" w:color="auto" w:fill="auto"/>
                </w:tcPr>
                <w:p w14:paraId="5E69C9A1">
                  <w:pPr>
                    <w:jc w:val="center"/>
                    <w:spacing w:line="0" w:lineRule="atLeast"/>
                    <w:rPr>
                      <w:color w:val="auto"/>
                      <w:szCs w:val="21"/>
                      <w:rFonts w:hAnsiTheme="minorEastAsia" w:eastAsiaTheme="minorEastAsia"/>
                    </w:rPr>
                  </w:pPr>
                  <w:r>
                    <w:rPr>
                      <w:color w:val="auto"/>
                      <w:szCs w:val="21"/>
                      <w:rFonts w:hint="eastAsia" w:hAnsiTheme="minorEastAsia" w:eastAsiaTheme="minorEastAsia"/>
                    </w:rPr>
                    <w:t>含尘废气处理</w:t>
                  </w:r>
                </w:p>
              </w:tc>
              <w:tc>
                <w:tcPr>
                  <w:tcW w:w="473" w:type="pct"/>
                  <w:gridSpan w:val="2"/>
                  <w:vAlign w:val="center"/>
                  <w:shd w:val="clear" w:color="auto" w:fill="auto"/>
                </w:tcPr>
                <w:p w14:paraId="5EA56014">
                  <w:pPr>
                    <w:jc w:val="center"/>
                    <w:spacing w:line="0" w:lineRule="atLeast"/>
                    <w:rPr>
                      <w:color w:val="auto"/>
                      <w:bCs/>
                      <w:szCs w:val="21"/>
                      <w:rFonts w:hAnsiTheme="minorEastAsia" w:eastAsiaTheme="minorEastAsia"/>
                    </w:rPr>
                  </w:pPr>
                  <w:r>
                    <w:rPr>
                      <w:color w:val="auto"/>
                      <w:bCs/>
                      <w:szCs w:val="21"/>
                      <w:rFonts w:hint="eastAsia" w:hAnsiTheme="minorEastAsia" w:eastAsiaTheme="minorEastAsia"/>
                    </w:rPr>
                    <w:t>除尘器收集的粉尘</w:t>
                  </w:r>
                </w:p>
              </w:tc>
              <w:tc>
                <w:tcPr>
                  <w:tcW w:w="895" w:type="pct"/>
                  <w:gridSpan w:val="2"/>
                  <w:vAlign w:val="center"/>
                  <w:shd w:val="clear" w:color="auto" w:fill="auto"/>
                </w:tcPr>
                <w:p w14:paraId="0E4761BC">
                  <w:pPr>
                    <w:widowControl w:val="1"/>
                    <w:jc w:val="center"/>
                    <w:rPr>
                      <w:color w:val="auto"/>
                      <w:szCs w:val="21"/>
                      <w:rFonts w:hAnsiTheme="minorEastAsia" w:eastAsiaTheme="minorEastAsia"/>
                    </w:rPr>
                  </w:pPr>
                  <w:r>
                    <w:rPr>
                      <w:color w:val="auto"/>
                      <w:szCs w:val="21"/>
                      <w:rFonts w:hAnsiTheme="minorEastAsia" w:eastAsiaTheme="minorEastAsia"/>
                    </w:rPr>
                    <w:t>一般工业固</w:t>
                  </w:r>
                  <w:r>
                    <w:rPr>
                      <w:color w:val="auto"/>
                      <w:szCs w:val="21"/>
                      <w:rFonts w:hint="eastAsia" w:eastAsiaTheme="minorEastAsia"/>
                    </w:rPr>
                    <w:t>体</w:t>
                  </w:r>
                  <w:r>
                    <w:rPr>
                      <w:color w:val="auto"/>
                      <w:szCs w:val="21"/>
                      <w:rFonts w:hAnsiTheme="minorEastAsia" w:eastAsiaTheme="minorEastAsia"/>
                    </w:rPr>
                    <w:t>废物</w:t>
                  </w:r>
                  <w:r>
                    <w:rPr>
                      <w:color w:val="auto"/>
                      <w:szCs w:val="21"/>
                      <w:rFonts w:eastAsiaTheme="minorEastAsia"/>
                    </w:rPr>
                    <w:t>（</w:t>
                  </w:r>
                  <w:r>
                    <w:rPr>
                      <w:color w:val="auto"/>
                      <w:szCs w:val="21"/>
                      <w:rFonts w:hint="eastAsia" w:eastAsiaTheme="minorEastAsia"/>
                    </w:rPr>
                    <w:t>SW59代码900-099-S59</w:t>
                  </w:r>
                  <w:r>
                    <w:rPr>
                      <w:color w:val="auto"/>
                      <w:szCs w:val="21"/>
                      <w:rFonts w:eastAsiaTheme="minorEastAsia"/>
                    </w:rPr>
                    <w:t>）</w:t>
                  </w:r>
                </w:p>
              </w:tc>
              <w:tc>
                <w:tcPr>
                  <w:tcW w:w="508" w:type="pct"/>
                  <w:gridSpan w:val="2"/>
                  <w:vAlign w:val="center"/>
                </w:tcPr>
                <w:p w14:paraId="309AD7F1">
                  <w:pPr>
                    <w:widowControl w:val="1"/>
                    <w:jc w:val="center"/>
                    <w:rPr>
                      <w:color w:val="auto"/>
                      <w:szCs w:val="21"/>
                      <w:rFonts w:eastAsiaTheme="minorEastAsia"/>
                    </w:rPr>
                  </w:pPr>
                  <w:r>
                    <w:rPr>
                      <w:color w:val="auto"/>
                      <w:szCs w:val="21"/>
                      <w:rFonts w:hint="eastAsia" w:eastAsiaTheme="minorEastAsia"/>
                    </w:rPr>
                    <w:t>/</w:t>
                  </w:r>
                </w:p>
              </w:tc>
              <w:tc>
                <w:tcPr>
                  <w:tcW w:w="249" w:type="pct"/>
                  <w:gridSpan w:val="2"/>
                  <w:vAlign w:val="center"/>
                  <w:shd w:val="clear" w:color="auto" w:fill="auto"/>
                </w:tcPr>
                <w:p w14:paraId="597AC92D">
                  <w:pPr>
                    <w:widowControl w:val="1"/>
                    <w:jc w:val="center"/>
                    <w:rPr>
                      <w:color w:val="auto"/>
                      <w:szCs w:val="21"/>
                      <w:rFonts w:eastAsiaTheme="minorEastAsia"/>
                    </w:rPr>
                  </w:pPr>
                  <w:r>
                    <w:rPr>
                      <w:color w:val="auto"/>
                      <w:szCs w:val="21"/>
                      <w:rFonts w:hint="eastAsia" w:eastAsiaTheme="minorEastAsia"/>
                    </w:rPr>
                    <w:t>固态</w:t>
                  </w:r>
                </w:p>
              </w:tc>
              <w:tc>
                <w:tcPr>
                  <w:tcW w:w="401" w:type="pct"/>
                  <w:gridSpan w:val="2"/>
                  <w:vAlign w:val="center"/>
                  <w:shd w:val="clear" w:color="auto" w:fill="auto"/>
                </w:tcPr>
                <w:p w14:paraId="607FC6F6">
                  <w:pPr>
                    <w:widowControl w:val="1"/>
                    <w:jc w:val="center"/>
                    <w:rPr>
                      <w:color w:val="auto"/>
                      <w:szCs w:val="21"/>
                      <w:rFonts w:eastAsiaTheme="minorEastAsia"/>
                    </w:rPr>
                  </w:pPr>
                  <w:r>
                    <w:rPr>
                      <w:color w:val="auto"/>
                      <w:szCs w:val="21"/>
                      <w:rFonts w:hint="eastAsia" w:eastAsiaTheme="minorEastAsia"/>
                    </w:rPr>
                    <w:t>/</w:t>
                  </w:r>
                </w:p>
              </w:tc>
              <w:tc>
                <w:tcPr>
                  <w:tcW w:w="529" w:type="pct"/>
                  <w:gridSpan w:val="2"/>
                  <w:vAlign w:val="center"/>
                  <w:tcBorders>
                    <w:top w:val="single" w:color="auto" w:sz="4" w:space="0"/>
                  </w:tcBorders>
                  <w:shd w:val="clear" w:color="auto" w:fill="FFFFFF"/>
                </w:tcPr>
                <w:p w14:paraId="2A9D361C">
                  <w:pPr>
                    <w:jc w:val="center"/>
                    <w:spacing w:line="0" w:lineRule="atLeast"/>
                    <w:rPr>
                      <w:color w:val="auto"/>
                      <w:szCs w:val="21"/>
                    </w:rPr>
                  </w:pPr>
                  <w:r>
                    <w:rPr>
                      <w:color w:val="auto"/>
                      <w:sz w:val="21"/>
                      <w:lang w:val="en-US" w:eastAsia="zh-CN"/>
                      <w:szCs w:val="21"/>
                      <w:rFonts w:hint="eastAsia"/>
                    </w:rPr>
                    <w:t>400.2</w:t>
                  </w:r>
                  <w:r>
                    <w:rPr>
                      <w:color w:val="auto"/>
                      <w:szCs w:val="21"/>
                    </w:rPr>
                    <w:t>t/a</w:t>
                  </w:r>
                </w:p>
              </w:tc>
              <w:tc>
                <w:tcPr>
                  <w:tcW w:w="334" w:type="pct"/>
                  <w:gridSpan w:val="2"/>
                  <w:vAlign w:val="center"/>
                  <w:tcBorders>
                    <w:top w:val="single" w:color="auto" w:sz="4" w:space="0"/>
                  </w:tcBorders>
                  <w:shd w:val="clear" w:color="auto" w:fill="auto"/>
                </w:tcPr>
                <w:p w14:paraId="2C25B0A8">
                  <w:pPr>
                    <w:jc w:val="center"/>
                    <w:spacing w:line="0" w:lineRule="atLeast"/>
                    <w:rPr>
                      <w:color w:val="auto"/>
                      <w:szCs w:val="21"/>
                      <w:rFonts w:hAnsiTheme="minorEastAsia" w:eastAsiaTheme="minorEastAsia"/>
                    </w:rPr>
                  </w:pPr>
                  <w:r>
                    <w:rPr>
                      <w:color w:val="auto"/>
                      <w:szCs w:val="21"/>
                      <w:rFonts w:hint="eastAsia" w:hAnsiTheme="minorEastAsia" w:eastAsiaTheme="minorEastAsia"/>
                    </w:rPr>
                    <w:t>矿粉筒仓</w:t>
                  </w:r>
                </w:p>
              </w:tc>
              <w:tc>
                <w:tcPr>
                  <w:tcW w:w="712" w:type="pct"/>
                  <w:gridSpan w:val="2"/>
                  <w:vAlign w:val="center"/>
                  <w:tcBorders>
                    <w:top w:val="single" w:color="auto" w:sz="4" w:space="0"/>
                  </w:tcBorders>
                  <w:shd w:val="clear" w:color="auto" w:fill="auto"/>
                </w:tcPr>
                <w:p w14:paraId="2B8024EC">
                  <w:pPr>
                    <w:jc w:val="center"/>
                    <w:spacing w:line="0" w:lineRule="atLeast"/>
                    <w:rPr>
                      <w:color w:val="auto"/>
                      <w:bCs/>
                      <w:szCs w:val="21"/>
                      <w:rFonts w:eastAsiaTheme="minorEastAsia"/>
                    </w:rPr>
                  </w:pPr>
                  <w:r>
                    <w:rPr>
                      <w:color w:val="auto"/>
                      <w:bCs/>
                      <w:szCs w:val="21"/>
                      <w:rFonts w:hint="eastAsia" w:eastAsiaTheme="minorEastAsia"/>
                    </w:rPr>
                    <w:t>集中收集，回用于生产</w:t>
                  </w:r>
                </w:p>
              </w:tc>
              <w:tc>
                <w:tcPr>
                  <w:tcW w:w="527" w:type="pct"/>
                  <w:vAlign w:val="center"/>
                  <w:shd w:val="clear" w:color="auto" w:fill="auto"/>
                </w:tcPr>
                <w:p w14:paraId="2DA65D6C">
                  <w:pPr>
                    <w:jc w:val="center"/>
                    <w:spacing w:line="0" w:lineRule="atLeast"/>
                    <w:rPr>
                      <w:color w:val="auto"/>
                      <w:szCs w:val="21"/>
                    </w:rPr>
                  </w:pPr>
                  <w:r>
                    <w:rPr>
                      <w:color w:val="auto"/>
                      <w:sz w:val="21"/>
                      <w:lang w:val="en-US" w:eastAsia="zh-CN"/>
                      <w:szCs w:val="21"/>
                      <w:rFonts w:hint="eastAsia"/>
                    </w:rPr>
                    <w:t>400.2</w:t>
                  </w:r>
                  <w:r>
                    <w:rPr>
                      <w:color w:val="auto"/>
                      <w:szCs w:val="21"/>
                    </w:rPr>
                    <w:t>t/a</w:t>
                  </w:r>
                </w:p>
              </w:tc>
            </w:tr>
            <w:tr w14:paraId="2020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5" w:type="pct"/>
                  <w:gridSpan w:val="2"/>
                  <w:vMerge w:val="continue"/>
                  <w:vAlign w:val="center"/>
                  <w:shd w:val="clear" w:color="auto" w:fill="auto"/>
                </w:tcPr>
                <w:p w14:paraId="522EE9AC">
                  <w:pPr>
                    <w:jc w:val="center"/>
                    <w:spacing w:line="0" w:lineRule="atLeast"/>
                    <w:rPr>
                      <w:color w:val="auto"/>
                      <w:szCs w:val="21"/>
                      <w:rFonts w:hAnsiTheme="minorEastAsia" w:eastAsiaTheme="minorEastAsia"/>
                    </w:rPr>
                  </w:pPr>
                </w:p>
              </w:tc>
              <w:tc>
                <w:tcPr>
                  <w:tcW w:w="473" w:type="pct"/>
                  <w:gridSpan w:val="2"/>
                  <w:vAlign w:val="center"/>
                  <w:shd w:val="clear" w:color="auto" w:fill="auto"/>
                </w:tcPr>
                <w:p w14:paraId="3473DAA6">
                  <w:pPr>
                    <w:jc w:val="center"/>
                    <w:spacing w:line="0" w:lineRule="atLeast"/>
                    <w:rPr>
                      <w:color w:val="auto"/>
                      <w:bCs/>
                      <w:szCs w:val="21"/>
                      <w:rFonts w:hAnsiTheme="minorEastAsia" w:eastAsiaTheme="minorEastAsia"/>
                    </w:rPr>
                  </w:pPr>
                  <w:r>
                    <w:rPr>
                      <w:color w:val="auto"/>
                      <w:bCs/>
                      <w:szCs w:val="21"/>
                      <w:rFonts w:hint="eastAsia" w:hAnsiTheme="minorEastAsia" w:eastAsiaTheme="minorEastAsia"/>
                    </w:rPr>
                    <w:t>废布袋</w:t>
                  </w:r>
                </w:p>
              </w:tc>
              <w:tc>
                <w:tcPr>
                  <w:tcW w:w="895" w:type="pct"/>
                  <w:gridSpan w:val="2"/>
                  <w:vAlign w:val="center"/>
                  <w:shd w:val="clear" w:color="auto" w:fill="auto"/>
                </w:tcPr>
                <w:p w14:paraId="706909BE">
                  <w:pPr>
                    <w:widowControl w:val="1"/>
                    <w:jc w:val="center"/>
                    <w:rPr>
                      <w:color w:val="auto"/>
                      <w:szCs w:val="21"/>
                      <w:rFonts w:hAnsiTheme="minorEastAsia" w:eastAsiaTheme="minorEastAsia"/>
                    </w:rPr>
                  </w:pPr>
                  <w:r>
                    <w:rPr>
                      <w:color w:val="auto"/>
                      <w:szCs w:val="21"/>
                      <w:rFonts w:hAnsiTheme="minorEastAsia" w:eastAsiaTheme="minorEastAsia"/>
                    </w:rPr>
                    <w:t>一般工业固</w:t>
                  </w:r>
                  <w:r>
                    <w:rPr>
                      <w:color w:val="auto"/>
                      <w:szCs w:val="21"/>
                      <w:rFonts w:hint="eastAsia" w:eastAsiaTheme="minorEastAsia"/>
                    </w:rPr>
                    <w:t>体</w:t>
                  </w:r>
                  <w:r>
                    <w:rPr>
                      <w:color w:val="auto"/>
                      <w:szCs w:val="21"/>
                      <w:rFonts w:hAnsiTheme="minorEastAsia" w:eastAsiaTheme="minorEastAsia"/>
                    </w:rPr>
                    <w:t>废物</w:t>
                  </w:r>
                  <w:r>
                    <w:rPr>
                      <w:color w:val="auto"/>
                      <w:szCs w:val="21"/>
                      <w:rFonts w:hint="eastAsia" w:eastAsiaTheme="minorEastAsia"/>
                    </w:rPr>
                    <w:t>（SW59代码900-009-S59）</w:t>
                  </w:r>
                </w:p>
              </w:tc>
              <w:tc>
                <w:tcPr>
                  <w:tcW w:w="508" w:type="pct"/>
                  <w:gridSpan w:val="2"/>
                  <w:vAlign w:val="center"/>
                </w:tcPr>
                <w:p w14:paraId="3A0DB26A">
                  <w:pPr>
                    <w:widowControl w:val="1"/>
                    <w:jc w:val="center"/>
                    <w:rPr>
                      <w:color w:val="auto"/>
                      <w:szCs w:val="21"/>
                      <w:rFonts w:eastAsiaTheme="minorEastAsia"/>
                    </w:rPr>
                  </w:pPr>
                  <w:r>
                    <w:rPr>
                      <w:color w:val="auto"/>
                      <w:szCs w:val="21"/>
                      <w:rFonts w:hint="eastAsia" w:eastAsiaTheme="minorEastAsia"/>
                    </w:rPr>
                    <w:t>/</w:t>
                  </w:r>
                </w:p>
              </w:tc>
              <w:tc>
                <w:tcPr>
                  <w:tcW w:w="249" w:type="pct"/>
                  <w:gridSpan w:val="2"/>
                  <w:vAlign w:val="center"/>
                  <w:shd w:val="clear" w:color="auto" w:fill="auto"/>
                </w:tcPr>
                <w:p w14:paraId="6CD5275E">
                  <w:pPr>
                    <w:widowControl w:val="1"/>
                    <w:jc w:val="center"/>
                    <w:rPr>
                      <w:color w:val="auto"/>
                      <w:szCs w:val="21"/>
                      <w:rFonts w:eastAsiaTheme="minorEastAsia"/>
                    </w:rPr>
                  </w:pPr>
                  <w:r>
                    <w:rPr>
                      <w:color w:val="auto"/>
                      <w:szCs w:val="21"/>
                      <w:rFonts w:hint="eastAsia" w:eastAsiaTheme="minorEastAsia"/>
                    </w:rPr>
                    <w:t>固态</w:t>
                  </w:r>
                </w:p>
              </w:tc>
              <w:tc>
                <w:tcPr>
                  <w:tcW w:w="401" w:type="pct"/>
                  <w:gridSpan w:val="2"/>
                  <w:vAlign w:val="center"/>
                  <w:shd w:val="clear" w:color="auto" w:fill="auto"/>
                </w:tcPr>
                <w:p w14:paraId="7566E039">
                  <w:pPr>
                    <w:widowControl w:val="1"/>
                    <w:jc w:val="center"/>
                    <w:rPr>
                      <w:color w:val="auto"/>
                      <w:szCs w:val="21"/>
                      <w:rFonts w:eastAsiaTheme="minorEastAsia"/>
                    </w:rPr>
                  </w:pPr>
                  <w:r>
                    <w:rPr>
                      <w:color w:val="auto"/>
                      <w:szCs w:val="21"/>
                      <w:rFonts w:hint="eastAsia" w:eastAsiaTheme="minorEastAsia"/>
                    </w:rPr>
                    <w:t>/</w:t>
                  </w:r>
                </w:p>
              </w:tc>
              <w:tc>
                <w:tcPr>
                  <w:tcW w:w="529" w:type="pct"/>
                  <w:gridSpan w:val="2"/>
                  <w:vAlign w:val="center"/>
                  <w:tcBorders>
                    <w:top w:val="single" w:color="auto" w:sz="4" w:space="0"/>
                  </w:tcBorders>
                  <w:shd w:val="clear" w:color="auto" w:fill="FFFFFF"/>
                </w:tcPr>
                <w:p w14:paraId="2FFCE32F">
                  <w:pPr>
                    <w:jc w:val="center"/>
                    <w:spacing w:line="0" w:lineRule="atLeast"/>
                    <w:rPr>
                      <w:color w:val="auto"/>
                      <w:szCs w:val="21"/>
                    </w:rPr>
                  </w:pPr>
                  <w:r>
                    <w:rPr>
                      <w:color w:val="auto"/>
                      <w:szCs w:val="21"/>
                      <w:rFonts w:hint="eastAsia"/>
                    </w:rPr>
                    <w:t>0.2t/3a</w:t>
                  </w:r>
                </w:p>
              </w:tc>
              <w:tc>
                <w:tcPr>
                  <w:tcW w:w="334" w:type="pct"/>
                  <w:gridSpan w:val="2"/>
                  <w:vAlign w:val="center"/>
                  <w:tcBorders>
                    <w:top w:val="single" w:color="auto" w:sz="4" w:space="0"/>
                  </w:tcBorders>
                  <w:shd w:val="clear" w:color="auto" w:fill="auto"/>
                </w:tcPr>
                <w:p w14:paraId="29FCCFB4">
                  <w:pPr>
                    <w:jc w:val="center"/>
                    <w:spacing w:line="0" w:lineRule="atLeast"/>
                    <w:rPr>
                      <w:color w:val="auto"/>
                      <w:szCs w:val="21"/>
                      <w:rFonts w:hAnsiTheme="minorEastAsia" w:eastAsiaTheme="minorEastAsia"/>
                    </w:rPr>
                  </w:pPr>
                  <w:r>
                    <w:rPr>
                      <w:color w:val="auto"/>
                      <w:szCs w:val="21"/>
                      <w:rFonts w:hint="eastAsia" w:hAnsiTheme="minorEastAsia" w:eastAsiaTheme="minorEastAsia"/>
                    </w:rPr>
                    <w:t>袋装</w:t>
                  </w:r>
                </w:p>
              </w:tc>
              <w:tc>
                <w:tcPr>
                  <w:tcW w:w="712" w:type="pct"/>
                  <w:gridSpan w:val="2"/>
                  <w:vAlign w:val="center"/>
                  <w:tcBorders>
                    <w:top w:val="single" w:color="auto" w:sz="4" w:space="0"/>
                  </w:tcBorders>
                  <w:shd w:val="clear" w:color="auto" w:fill="auto"/>
                </w:tcPr>
                <w:p w14:paraId="058F43E1">
                  <w:pPr>
                    <w:jc w:val="center"/>
                    <w:spacing w:line="0" w:lineRule="atLeast"/>
                    <w:rPr>
                      <w:color w:val="auto"/>
                      <w:bCs/>
                      <w:szCs w:val="21"/>
                      <w:rFonts w:eastAsiaTheme="minorEastAsia"/>
                    </w:rPr>
                  </w:pPr>
                  <w:r>
                    <w:rPr>
                      <w:color w:val="auto"/>
                      <w:bCs/>
                      <w:szCs w:val="21"/>
                      <w:rFonts w:eastAsiaTheme="minorEastAsia"/>
                    </w:rPr>
                    <w:t>市政</w:t>
                  </w:r>
                  <w:r>
                    <w:rPr>
                      <w:color w:val="auto"/>
                      <w:bCs/>
                      <w:szCs w:val="21"/>
                      <w:rFonts w:hint="eastAsia" w:eastAsiaTheme="minorEastAsia"/>
                    </w:rPr>
                    <w:t>环卫</w:t>
                  </w:r>
                  <w:r>
                    <w:rPr>
                      <w:color w:val="auto"/>
                      <w:bCs/>
                      <w:szCs w:val="21"/>
                      <w:rFonts w:eastAsiaTheme="minorEastAsia"/>
                    </w:rPr>
                    <w:t>部门处理</w:t>
                  </w:r>
                </w:p>
              </w:tc>
              <w:tc>
                <w:tcPr>
                  <w:tcW w:w="527" w:type="pct"/>
                  <w:vAlign w:val="center"/>
                  <w:shd w:val="clear" w:color="auto" w:fill="auto"/>
                </w:tcPr>
                <w:p w14:paraId="27D683F7">
                  <w:pPr>
                    <w:jc w:val="center"/>
                    <w:spacing w:line="0" w:lineRule="atLeast"/>
                    <w:rPr>
                      <w:color w:val="auto"/>
                      <w:szCs w:val="21"/>
                    </w:rPr>
                  </w:pPr>
                  <w:r>
                    <w:rPr>
                      <w:color w:val="auto"/>
                      <w:szCs w:val="21"/>
                      <w:rFonts w:hint="eastAsia"/>
                    </w:rPr>
                    <w:t>0.2t/3a</w:t>
                  </w:r>
                </w:p>
              </w:tc>
            </w:tr>
            <w:tr w14:paraId="5C7FE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5" w:type="pct"/>
                  <w:gridSpan w:val="2"/>
                  <w:vAlign w:val="center"/>
                  <w:shd w:val="clear" w:color="auto" w:fill="auto"/>
                </w:tcPr>
                <w:p w14:paraId="558B47C5">
                  <w:pPr>
                    <w:jc w:val="center"/>
                    <w:spacing w:line="0" w:lineRule="atLeast"/>
                    <w:rPr>
                      <w:color w:val="auto"/>
                      <w:szCs w:val="21"/>
                      <w:rFonts w:hAnsiTheme="minorEastAsia" w:eastAsiaTheme="minorEastAsia"/>
                    </w:rPr>
                  </w:pPr>
                  <w:r>
                    <w:rPr>
                      <w:color w:val="auto"/>
                      <w:szCs w:val="21"/>
                      <w:rFonts w:hAnsiTheme="minorEastAsia" w:eastAsiaTheme="minorEastAsia"/>
                    </w:rPr>
                    <w:t>实验室</w:t>
                  </w:r>
                </w:p>
              </w:tc>
              <w:tc>
                <w:tcPr>
                  <w:tcW w:w="473" w:type="pct"/>
                  <w:gridSpan w:val="2"/>
                  <w:vAlign w:val="center"/>
                  <w:shd w:val="clear" w:color="auto" w:fill="auto"/>
                </w:tcPr>
                <w:p w14:paraId="63BCC437">
                  <w:pPr>
                    <w:jc w:val="center"/>
                    <w:spacing w:line="0" w:lineRule="atLeast"/>
                    <w:rPr>
                      <w:color w:val="auto"/>
                      <w:bCs/>
                      <w:szCs w:val="21"/>
                      <w:rFonts w:hAnsiTheme="minorEastAsia" w:eastAsiaTheme="minorEastAsia"/>
                    </w:rPr>
                  </w:pPr>
                  <w:r>
                    <w:rPr>
                      <w:color w:val="auto"/>
                      <w:szCs w:val="21"/>
                      <w:rFonts w:hAnsiTheme="minorEastAsia" w:eastAsiaTheme="minorEastAsia"/>
                    </w:rPr>
                    <w:t>实验室弃块</w:t>
                  </w:r>
                </w:p>
              </w:tc>
              <w:tc>
                <w:tcPr>
                  <w:tcW w:w="895" w:type="pct"/>
                  <w:gridSpan w:val="2"/>
                  <w:vAlign w:val="center"/>
                  <w:shd w:val="clear" w:color="auto" w:fill="auto"/>
                </w:tcPr>
                <w:p w14:paraId="66AA9247">
                  <w:pPr>
                    <w:widowControl w:val="1"/>
                    <w:jc w:val="center"/>
                    <w:rPr>
                      <w:color w:val="auto"/>
                      <w:szCs w:val="21"/>
                      <w:rFonts w:hAnsiTheme="minorEastAsia" w:eastAsiaTheme="minorEastAsia"/>
                    </w:rPr>
                  </w:pPr>
                  <w:r>
                    <w:rPr>
                      <w:color w:val="auto"/>
                      <w:szCs w:val="21"/>
                      <w:rFonts w:hAnsiTheme="minorEastAsia" w:eastAsiaTheme="minorEastAsia"/>
                    </w:rPr>
                    <w:t>一般工业固</w:t>
                  </w:r>
                  <w:r>
                    <w:rPr>
                      <w:color w:val="auto"/>
                      <w:szCs w:val="21"/>
                      <w:rFonts w:hint="eastAsia" w:eastAsiaTheme="minorEastAsia"/>
                    </w:rPr>
                    <w:t>体</w:t>
                  </w:r>
                  <w:r>
                    <w:rPr>
                      <w:color w:val="auto"/>
                      <w:szCs w:val="21"/>
                      <w:rFonts w:hAnsiTheme="minorEastAsia" w:eastAsiaTheme="minorEastAsia"/>
                    </w:rPr>
                    <w:t>废物</w:t>
                  </w:r>
                  <w:r>
                    <w:rPr>
                      <w:color w:val="auto"/>
                      <w:szCs w:val="21"/>
                      <w:rFonts w:hint="eastAsia" w:eastAsiaTheme="minorEastAsia"/>
                    </w:rPr>
                    <w:t>（SW92代码900-001-S92）</w:t>
                  </w:r>
                </w:p>
              </w:tc>
              <w:tc>
                <w:tcPr>
                  <w:tcW w:w="508" w:type="pct"/>
                  <w:gridSpan w:val="2"/>
                  <w:vAlign w:val="center"/>
                </w:tcPr>
                <w:p w14:paraId="4039F2C3">
                  <w:pPr>
                    <w:widowControl w:val="1"/>
                    <w:jc w:val="center"/>
                    <w:rPr>
                      <w:color w:val="auto"/>
                      <w:szCs w:val="21"/>
                      <w:rFonts w:eastAsiaTheme="minorEastAsia"/>
                    </w:rPr>
                  </w:pPr>
                  <w:r>
                    <w:rPr>
                      <w:color w:val="auto"/>
                      <w:szCs w:val="21"/>
                      <w:rFonts w:hint="eastAsia" w:eastAsiaTheme="minorEastAsia"/>
                    </w:rPr>
                    <w:t>/</w:t>
                  </w:r>
                </w:p>
              </w:tc>
              <w:tc>
                <w:tcPr>
                  <w:tcW w:w="249" w:type="pct"/>
                  <w:gridSpan w:val="2"/>
                  <w:vAlign w:val="center"/>
                  <w:shd w:val="clear" w:color="auto" w:fill="auto"/>
                </w:tcPr>
                <w:p w14:paraId="3BC97086">
                  <w:pPr>
                    <w:widowControl w:val="1"/>
                    <w:jc w:val="center"/>
                    <w:rPr>
                      <w:color w:val="auto"/>
                      <w:szCs w:val="21"/>
                      <w:rFonts w:eastAsiaTheme="minorEastAsia"/>
                    </w:rPr>
                  </w:pPr>
                  <w:r>
                    <w:rPr>
                      <w:color w:val="auto"/>
                      <w:szCs w:val="21"/>
                      <w:rFonts w:hint="eastAsia" w:eastAsiaTheme="minorEastAsia"/>
                    </w:rPr>
                    <w:t>固态</w:t>
                  </w:r>
                </w:p>
              </w:tc>
              <w:tc>
                <w:tcPr>
                  <w:tcW w:w="401" w:type="pct"/>
                  <w:gridSpan w:val="2"/>
                  <w:vAlign w:val="center"/>
                  <w:shd w:val="clear" w:color="auto" w:fill="auto"/>
                </w:tcPr>
                <w:p w14:paraId="701915DF">
                  <w:pPr>
                    <w:widowControl w:val="1"/>
                    <w:jc w:val="center"/>
                    <w:rPr>
                      <w:color w:val="auto"/>
                      <w:szCs w:val="21"/>
                      <w:rFonts w:eastAsiaTheme="minorEastAsia"/>
                    </w:rPr>
                  </w:pPr>
                  <w:r>
                    <w:rPr>
                      <w:color w:val="auto"/>
                      <w:szCs w:val="21"/>
                      <w:rFonts w:hint="eastAsia" w:eastAsiaTheme="minorEastAsia"/>
                    </w:rPr>
                    <w:t>/</w:t>
                  </w:r>
                </w:p>
              </w:tc>
              <w:tc>
                <w:tcPr>
                  <w:tcW w:w="529" w:type="pct"/>
                  <w:gridSpan w:val="2"/>
                  <w:vAlign w:val="center"/>
                  <w:tcBorders>
                    <w:top w:val="single" w:color="auto" w:sz="4" w:space="0"/>
                  </w:tcBorders>
                  <w:shd w:val="clear" w:color="auto" w:fill="FFFFFF"/>
                </w:tcPr>
                <w:p w14:paraId="0AEE3DFE">
                  <w:pPr>
                    <w:jc w:val="center"/>
                    <w:spacing w:line="0" w:lineRule="atLeast"/>
                    <w:rPr>
                      <w:color w:val="auto"/>
                      <w:szCs w:val="21"/>
                    </w:rPr>
                  </w:pPr>
                  <w:r>
                    <w:rPr>
                      <w:color w:val="auto"/>
                      <w:szCs w:val="21"/>
                      <w:rFonts w:hint="eastAsia"/>
                    </w:rPr>
                    <w:t>0.1t/a</w:t>
                  </w:r>
                </w:p>
              </w:tc>
              <w:tc>
                <w:tcPr>
                  <w:tcW w:w="334" w:type="pct"/>
                  <w:gridSpan w:val="2"/>
                  <w:vAlign w:val="center"/>
                  <w:tcBorders>
                    <w:top w:val="single" w:color="auto" w:sz="4" w:space="0"/>
                  </w:tcBorders>
                  <w:shd w:val="clear" w:color="auto" w:fill="auto"/>
                </w:tcPr>
                <w:p w14:paraId="1F20FF2D">
                  <w:pPr>
                    <w:jc w:val="center"/>
                    <w:spacing w:line="0" w:lineRule="atLeast"/>
                    <w:rPr>
                      <w:color w:val="auto"/>
                      <w:szCs w:val="21"/>
                      <w:rFonts w:hAnsiTheme="minorEastAsia" w:eastAsiaTheme="minorEastAsia"/>
                    </w:rPr>
                  </w:pPr>
                  <w:r>
                    <w:rPr>
                      <w:color w:val="auto"/>
                      <w:szCs w:val="21"/>
                      <w:rFonts w:hint="eastAsia" w:hAnsiTheme="minorEastAsia" w:eastAsiaTheme="minorEastAsia"/>
                    </w:rPr>
                    <w:t>袋装</w:t>
                  </w:r>
                </w:p>
              </w:tc>
              <w:tc>
                <w:tcPr>
                  <w:tcW w:w="712" w:type="pct"/>
                  <w:gridSpan w:val="2"/>
                  <w:vAlign w:val="center"/>
                  <w:tcBorders>
                    <w:top w:val="single" w:color="auto" w:sz="4" w:space="0"/>
                  </w:tcBorders>
                  <w:shd w:val="clear" w:color="auto" w:fill="auto"/>
                </w:tcPr>
                <w:p w14:paraId="6F3B154F">
                  <w:pPr>
                    <w:jc w:val="center"/>
                    <w:spacing w:line="0" w:lineRule="atLeast"/>
                    <w:rPr>
                      <w:color w:val="auto"/>
                      <w:bCs/>
                      <w:szCs w:val="21"/>
                      <w:rFonts w:eastAsiaTheme="minorEastAsia"/>
                    </w:rPr>
                  </w:pPr>
                  <w:r>
                    <w:rPr>
                      <w:color w:val="auto"/>
                      <w:szCs w:val="21"/>
                      <w:rFonts w:hint="eastAsia" w:eastAsiaTheme="minorEastAsia"/>
                    </w:rPr>
                    <w:t>外运</w:t>
                  </w:r>
                  <w:r>
                    <w:rPr>
                      <w:color w:val="auto"/>
                      <w:szCs w:val="21"/>
                      <w:rFonts w:eastAsiaTheme="minorEastAsia"/>
                    </w:rPr>
                    <w:t>作为铺路材料</w:t>
                  </w:r>
                </w:p>
              </w:tc>
              <w:tc>
                <w:tcPr>
                  <w:tcW w:w="527" w:type="pct"/>
                  <w:vAlign w:val="center"/>
                  <w:shd w:val="clear" w:color="auto" w:fill="auto"/>
                </w:tcPr>
                <w:p w14:paraId="6CBDE25E">
                  <w:pPr>
                    <w:jc w:val="center"/>
                    <w:spacing w:line="0" w:lineRule="atLeast"/>
                    <w:rPr>
                      <w:color w:val="auto"/>
                      <w:szCs w:val="21"/>
                    </w:rPr>
                  </w:pPr>
                  <w:r>
                    <w:rPr>
                      <w:color w:val="auto"/>
                      <w:szCs w:val="21"/>
                      <w:rFonts w:hint="eastAsia"/>
                    </w:rPr>
                    <w:t>0.1t/a</w:t>
                  </w:r>
                </w:p>
              </w:tc>
            </w:tr>
            <w:tr w14:paraId="09AFF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5" w:type="pct"/>
                  <w:gridSpan w:val="2"/>
                  <w:vAlign w:val="center"/>
                  <w:shd w:val="clear" w:color="auto" w:fill="auto"/>
                </w:tcPr>
                <w:p w14:paraId="5823A7C5">
                  <w:pPr>
                    <w:jc w:val="center"/>
                    <w:spacing w:line="0" w:lineRule="atLeast"/>
                    <w:rPr>
                      <w:color w:val="auto"/>
                      <w:szCs w:val="21"/>
                      <w:rFonts w:hAnsiTheme="minorEastAsia" w:eastAsiaTheme="minorEastAsia"/>
                    </w:rPr>
                  </w:pPr>
                  <w:r>
                    <w:rPr>
                      <w:color w:val="auto"/>
                      <w:szCs w:val="21"/>
                      <w:rFonts w:hint="eastAsia" w:hAnsiTheme="minorEastAsia" w:eastAsiaTheme="minorEastAsia"/>
                    </w:rPr>
                    <w:t>废气净化系统</w:t>
                  </w:r>
                </w:p>
              </w:tc>
              <w:tc>
                <w:tcPr>
                  <w:tcW w:w="473" w:type="pct"/>
                  <w:gridSpan w:val="2"/>
                  <w:vAlign w:val="center"/>
                  <w:shd w:val="clear" w:color="auto" w:fill="auto"/>
                </w:tcPr>
                <w:p w14:paraId="1A4AEB75">
                  <w:pPr>
                    <w:jc w:val="center"/>
                    <w:spacing w:line="0" w:lineRule="atLeast"/>
                    <w:rPr>
                      <w:color w:val="auto"/>
                      <w:bCs/>
                      <w:szCs w:val="21"/>
                      <w:rFonts w:hAnsiTheme="minorEastAsia" w:eastAsiaTheme="minorEastAsia"/>
                    </w:rPr>
                  </w:pPr>
                  <w:r>
                    <w:rPr>
                      <w:color w:val="auto"/>
                      <w:szCs w:val="21"/>
                      <w:rFonts w:hint="eastAsia" w:hAnsiTheme="minorEastAsia" w:eastAsiaTheme="minorEastAsia"/>
                    </w:rPr>
                    <w:t>废活性炭</w:t>
                  </w:r>
                </w:p>
              </w:tc>
              <w:tc>
                <w:tcPr>
                  <w:tcW w:w="895" w:type="pct"/>
                  <w:gridSpan w:val="2"/>
                  <w:vAlign w:val="center"/>
                  <w:shd w:val="clear" w:color="auto" w:fill="auto"/>
                </w:tcPr>
                <w:p w14:paraId="3B7391BC">
                  <w:pPr>
                    <w:widowControl w:val="1"/>
                    <w:jc w:val="center"/>
                    <w:rPr>
                      <w:color w:val="auto"/>
                      <w:szCs w:val="21"/>
                      <w:rFonts w:hAnsiTheme="minorEastAsia" w:eastAsiaTheme="minorEastAsia"/>
                    </w:rPr>
                  </w:pPr>
                  <w:r>
                    <w:rPr>
                      <w:color w:val="auto"/>
                      <w:szCs w:val="21"/>
                      <w:rFonts w:hint="eastAsia" w:hAnsiTheme="minorEastAsia" w:eastAsiaTheme="minorEastAsia"/>
                    </w:rPr>
                    <w:t>危险废物</w:t>
                  </w:r>
                  <w:r>
                    <w:rPr>
                      <w:color w:val="auto"/>
                      <w:bCs/>
                      <w:szCs w:val="21"/>
                      <w:rFonts w:eastAsiaTheme="minorEastAsia"/>
                    </w:rPr>
                    <w:t>（类别：HW49，代码：900-0</w:t>
                  </w:r>
                  <w:r>
                    <w:rPr>
                      <w:color w:val="auto"/>
                      <w:bCs/>
                      <w:szCs w:val="21"/>
                      <w:rFonts w:hint="eastAsia" w:eastAsiaTheme="minorEastAsia"/>
                    </w:rPr>
                    <w:t>39</w:t>
                  </w:r>
                  <w:r>
                    <w:rPr>
                      <w:color w:val="auto"/>
                      <w:bCs/>
                      <w:szCs w:val="21"/>
                      <w:rFonts w:eastAsiaTheme="minorEastAsia"/>
                    </w:rPr>
                    <w:t>-49）</w:t>
                  </w:r>
                </w:p>
              </w:tc>
              <w:tc>
                <w:tcPr>
                  <w:tcW w:w="508" w:type="pct"/>
                  <w:gridSpan w:val="2"/>
                  <w:vAlign w:val="center"/>
                </w:tcPr>
                <w:p w14:paraId="3FCEE6B3">
                  <w:pPr>
                    <w:widowControl w:val="1"/>
                    <w:jc w:val="center"/>
                    <w:rPr>
                      <w:color w:val="auto"/>
                      <w:szCs w:val="21"/>
                      <w:rFonts w:eastAsiaTheme="minorEastAsia"/>
                    </w:rPr>
                  </w:pPr>
                  <w:r>
                    <w:rPr>
                      <w:color w:val="auto"/>
                    </w:rPr>
                    <w:t>苯并[a]芘</w:t>
                  </w:r>
                </w:p>
              </w:tc>
              <w:tc>
                <w:tcPr>
                  <w:tcW w:w="249" w:type="pct"/>
                  <w:gridSpan w:val="2"/>
                  <w:vAlign w:val="center"/>
                  <w:shd w:val="clear" w:color="auto" w:fill="auto"/>
                </w:tcPr>
                <w:p w14:paraId="04F60DC6">
                  <w:pPr>
                    <w:widowControl w:val="1"/>
                    <w:jc w:val="center"/>
                    <w:rPr>
                      <w:color w:val="auto"/>
                      <w:szCs w:val="21"/>
                      <w:rFonts w:eastAsiaTheme="minorEastAsia"/>
                    </w:rPr>
                  </w:pPr>
                  <w:r>
                    <w:rPr>
                      <w:color w:val="auto"/>
                      <w:szCs w:val="21"/>
                      <w:rFonts w:hint="eastAsia" w:eastAsiaTheme="minorEastAsia"/>
                    </w:rPr>
                    <w:t>固态</w:t>
                  </w:r>
                </w:p>
              </w:tc>
              <w:tc>
                <w:tcPr>
                  <w:tcW w:w="401" w:type="pct"/>
                  <w:gridSpan w:val="2"/>
                  <w:vMerge w:val="restart"/>
                  <w:vAlign w:val="center"/>
                  <w:shd w:val="clear" w:color="auto" w:fill="auto"/>
                </w:tcPr>
                <w:p w14:paraId="376643AF">
                  <w:pPr>
                    <w:widowControl w:val="1"/>
                    <w:jc w:val="center"/>
                    <w:rPr>
                      <w:color w:val="auto"/>
                      <w:szCs w:val="21"/>
                      <w:rFonts w:eastAsiaTheme="minorEastAsia"/>
                    </w:rPr>
                  </w:pPr>
                  <w:r>
                    <w:rPr>
                      <w:color w:val="auto"/>
                      <w:bCs/>
                      <w:szCs w:val="21"/>
                      <w:rFonts w:hint="eastAsia" w:eastAsiaTheme="minorEastAsia"/>
                    </w:rPr>
                    <w:t>毒性和易燃性</w:t>
                  </w:r>
                </w:p>
              </w:tc>
              <w:tc>
                <w:tcPr>
                  <w:tcW w:w="529" w:type="pct"/>
                  <w:gridSpan w:val="2"/>
                  <w:vAlign w:val="center"/>
                  <w:tcBorders>
                    <w:top w:val="single" w:color="auto" w:sz="4" w:space="0"/>
                    <w:bottom w:val="single" w:color="auto" w:sz="4" w:space="0"/>
                  </w:tcBorders>
                  <w:shd w:val="clear" w:color="auto" w:fill="FFFFFF"/>
                </w:tcPr>
                <w:p w14:paraId="4B7E2B14">
                  <w:pPr>
                    <w:jc w:val="center"/>
                    <w:spacing w:line="0" w:lineRule="atLeast"/>
                    <w:rPr>
                      <w:color w:val="auto"/>
                      <w:szCs w:val="21"/>
                    </w:rPr>
                  </w:pPr>
                  <w:r>
                    <w:rPr>
                      <w:color w:val="auto"/>
                      <w:szCs w:val="21"/>
                      <w:rFonts w:hint="eastAsia"/>
                    </w:rPr>
                    <w:t>3.6t/a</w:t>
                  </w:r>
                </w:p>
              </w:tc>
              <w:tc>
                <w:tcPr>
                  <w:tcW w:w="334" w:type="pct"/>
                  <w:gridSpan w:val="2"/>
                  <w:vMerge w:val="restart"/>
                  <w:vAlign w:val="center"/>
                  <w:tcBorders>
                    <w:top w:val="single" w:color="auto" w:sz="4" w:space="0"/>
                  </w:tcBorders>
                  <w:shd w:val="clear" w:color="auto" w:fill="auto"/>
                </w:tcPr>
                <w:p w14:paraId="4EB4CB91">
                  <w:pPr>
                    <w:jc w:val="center"/>
                    <w:spacing w:line="0" w:lineRule="atLeast"/>
                    <w:rPr>
                      <w:color w:val="auto"/>
                      <w:lang w:val="en-US" w:eastAsia="zh-CN"/>
                      <w:szCs w:val="21"/>
                      <w:rFonts w:hint="eastAsia" w:hAnsiTheme="minorEastAsia" w:eastAsiaTheme="minorEastAsia"/>
                    </w:rPr>
                  </w:pPr>
                  <w:r>
                    <w:rPr>
                      <w:color w:val="auto"/>
                      <w:szCs w:val="21"/>
                      <w:rFonts w:hint="eastAsia" w:hAnsiTheme="minorEastAsia" w:eastAsiaTheme="minorEastAsia"/>
                    </w:rPr>
                    <w:t>危废贮存</w:t>
                  </w:r>
                  <w:r>
                    <w:rPr>
                      <w:color w:val="auto"/>
                      <w:lang w:val="en-US" w:eastAsia="zh-CN"/>
                      <w:szCs w:val="21"/>
                      <w:rFonts w:hint="eastAsia" w:hAnsiTheme="minorEastAsia" w:eastAsiaTheme="minorEastAsia"/>
                    </w:rPr>
                    <w:t>点</w:t>
                  </w:r>
                </w:p>
              </w:tc>
              <w:tc>
                <w:tcPr>
                  <w:tcW w:w="712" w:type="pct"/>
                  <w:gridSpan w:val="2"/>
                  <w:vMerge w:val="restart"/>
                  <w:vAlign w:val="center"/>
                  <w:tcBorders>
                    <w:top w:val="single" w:color="auto" w:sz="4" w:space="0"/>
                  </w:tcBorders>
                  <w:shd w:val="clear" w:color="auto" w:fill="auto"/>
                </w:tcPr>
                <w:p w14:paraId="1F6F5862">
                  <w:pPr>
                    <w:jc w:val="center"/>
                    <w:spacing w:line="0" w:lineRule="atLeast"/>
                    <w:rPr>
                      <w:color w:val="auto"/>
                      <w:szCs w:val="21"/>
                      <w:rFonts w:eastAsiaTheme="minorEastAsia"/>
                    </w:rPr>
                  </w:pPr>
                  <w:r>
                    <w:rPr>
                      <w:color w:val="auto"/>
                      <w:szCs w:val="21"/>
                      <w:rFonts w:eastAsiaTheme="minorEastAsia"/>
                    </w:rPr>
                    <w:t>暂存于危废</w:t>
                  </w:r>
                  <w:r>
                    <w:rPr>
                      <w:color w:val="auto"/>
                      <w:szCs w:val="21"/>
                      <w:rFonts w:hint="eastAsia" w:eastAsiaTheme="minorEastAsia"/>
                    </w:rPr>
                    <w:t>贮存</w:t>
                  </w:r>
                  <w:r>
                    <w:rPr>
                      <w:color w:val="auto"/>
                      <w:lang w:val="en-US" w:eastAsia="zh-CN"/>
                      <w:szCs w:val="21"/>
                      <w:rFonts w:hint="eastAsia" w:hAnsiTheme="minorEastAsia" w:eastAsiaTheme="minorEastAsia"/>
                    </w:rPr>
                    <w:t>点</w:t>
                  </w:r>
                  <w:r>
                    <w:rPr>
                      <w:color w:val="auto"/>
                      <w:szCs w:val="21"/>
                      <w:rFonts w:eastAsiaTheme="minorEastAsia"/>
                    </w:rPr>
                    <w:t>，交有资质单位处置</w:t>
                  </w:r>
                </w:p>
              </w:tc>
              <w:tc>
                <w:tcPr>
                  <w:tcW w:w="527" w:type="pct"/>
                  <w:vAlign w:val="center"/>
                  <w:shd w:val="clear" w:color="auto" w:fill="auto"/>
                </w:tcPr>
                <w:p w14:paraId="617F4F47">
                  <w:pPr>
                    <w:jc w:val="center"/>
                    <w:spacing w:line="0" w:lineRule="atLeast"/>
                    <w:rPr>
                      <w:color w:val="auto"/>
                      <w:szCs w:val="21"/>
                    </w:rPr>
                  </w:pPr>
                  <w:r>
                    <w:rPr>
                      <w:color w:val="auto"/>
                      <w:szCs w:val="21"/>
                      <w:rFonts w:hint="eastAsia"/>
                    </w:rPr>
                    <w:t>3.6t/a</w:t>
                  </w:r>
                </w:p>
              </w:tc>
            </w:tr>
            <w:tr w14:paraId="3DDC8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5" w:type="pct"/>
                  <w:gridSpan w:val="2"/>
                  <w:vAlign w:val="center"/>
                  <w:shd w:val="clear" w:color="auto" w:fill="auto"/>
                </w:tcPr>
                <w:p w14:paraId="0287CDC9">
                  <w:pPr>
                    <w:jc w:val="center"/>
                    <w:spacing w:line="0" w:lineRule="atLeast"/>
                    <w:rPr>
                      <w:color w:val="auto"/>
                      <w:szCs w:val="21"/>
                      <w:rFonts w:hAnsiTheme="minorEastAsia" w:eastAsiaTheme="minorEastAsia"/>
                    </w:rPr>
                  </w:pPr>
                  <w:r>
                    <w:rPr>
                      <w:color w:val="auto"/>
                      <w:szCs w:val="21"/>
                      <w:rFonts w:hint="eastAsia" w:hAnsiTheme="minorEastAsia" w:eastAsiaTheme="minorEastAsia"/>
                    </w:rPr>
                    <w:t>导热油炉</w:t>
                  </w:r>
                </w:p>
              </w:tc>
              <w:tc>
                <w:tcPr>
                  <w:tcW w:w="473" w:type="pct"/>
                  <w:gridSpan w:val="2"/>
                  <w:vAlign w:val="center"/>
                  <w:shd w:val="clear" w:color="auto" w:fill="auto"/>
                </w:tcPr>
                <w:p w14:paraId="4DA7CC14">
                  <w:pPr>
                    <w:jc w:val="center"/>
                    <w:spacing w:line="0" w:lineRule="atLeast"/>
                    <w:rPr>
                      <w:color w:val="auto"/>
                      <w:szCs w:val="21"/>
                      <w:rFonts w:hAnsiTheme="minorEastAsia" w:eastAsiaTheme="minorEastAsia"/>
                    </w:rPr>
                  </w:pPr>
                  <w:r>
                    <w:rPr>
                      <w:color w:val="auto"/>
                      <w:szCs w:val="21"/>
                      <w:rFonts w:hint="eastAsia" w:hAnsiTheme="minorEastAsia" w:eastAsiaTheme="minorEastAsia"/>
                    </w:rPr>
                    <w:t>废导热油</w:t>
                  </w:r>
                </w:p>
              </w:tc>
              <w:tc>
                <w:tcPr>
                  <w:tcW w:w="895" w:type="pct"/>
                  <w:gridSpan w:val="2"/>
                  <w:vAlign w:val="center"/>
                  <w:shd w:val="clear" w:color="auto" w:fill="auto"/>
                </w:tcPr>
                <w:p w14:paraId="5F16469E">
                  <w:pPr>
                    <w:widowControl w:val="1"/>
                    <w:jc w:val="center"/>
                    <w:rPr>
                      <w:color w:val="auto"/>
                      <w:szCs w:val="21"/>
                      <w:rFonts w:hAnsiTheme="minorEastAsia" w:eastAsiaTheme="minorEastAsia"/>
                    </w:rPr>
                  </w:pPr>
                  <w:r>
                    <w:rPr>
                      <w:color w:val="auto"/>
                      <w:szCs w:val="21"/>
                      <w:rFonts w:hint="eastAsia" w:hAnsiTheme="minorEastAsia" w:eastAsiaTheme="minorEastAsia"/>
                    </w:rPr>
                    <w:t>危险废物</w:t>
                  </w:r>
                  <w:r>
                    <w:rPr>
                      <w:color w:val="auto"/>
                      <w:szCs w:val="21"/>
                      <w:rFonts w:eastAsiaTheme="minorEastAsia"/>
                    </w:rPr>
                    <w:t>（类别</w:t>
                  </w:r>
                  <w:r>
                    <w:rPr>
                      <w:color w:val="auto"/>
                      <w:bCs/>
                      <w:szCs w:val="21"/>
                      <w:rFonts w:eastAsiaTheme="minorEastAsia"/>
                    </w:rPr>
                    <w:t>HW08，代码：900-249-08</w:t>
                  </w:r>
                  <w:r>
                    <w:rPr>
                      <w:color w:val="auto"/>
                      <w:szCs w:val="21"/>
                      <w:rFonts w:eastAsiaTheme="minorEastAsia"/>
                    </w:rPr>
                    <w:t>）</w:t>
                  </w:r>
                </w:p>
              </w:tc>
              <w:tc>
                <w:tcPr>
                  <w:tcW w:w="508" w:type="pct"/>
                  <w:gridSpan w:val="2"/>
                  <w:vAlign w:val="center"/>
                </w:tcPr>
                <w:p w14:paraId="0BCECCEB">
                  <w:pPr>
                    <w:widowControl w:val="1"/>
                    <w:jc w:val="center"/>
                    <w:rPr>
                      <w:color w:val="auto"/>
                      <w:szCs w:val="21"/>
                      <w:rFonts w:eastAsiaTheme="minorEastAsia"/>
                    </w:rPr>
                  </w:pPr>
                  <w:r>
                    <w:rPr>
                      <w:color w:val="auto"/>
                      <w:szCs w:val="21"/>
                      <w:rFonts w:hint="eastAsia" w:eastAsiaTheme="minorEastAsia"/>
                    </w:rPr>
                    <w:t>油类物质</w:t>
                  </w:r>
                </w:p>
              </w:tc>
              <w:tc>
                <w:tcPr>
                  <w:tcW w:w="249" w:type="pct"/>
                  <w:gridSpan w:val="2"/>
                  <w:vAlign w:val="center"/>
                  <w:shd w:val="clear" w:color="auto" w:fill="auto"/>
                </w:tcPr>
                <w:p w14:paraId="7AF18824">
                  <w:pPr>
                    <w:widowControl w:val="1"/>
                    <w:jc w:val="center"/>
                    <w:rPr>
                      <w:color w:val="auto"/>
                      <w:szCs w:val="21"/>
                      <w:rFonts w:eastAsiaTheme="minorEastAsia"/>
                    </w:rPr>
                  </w:pPr>
                  <w:r>
                    <w:rPr>
                      <w:color w:val="auto"/>
                      <w:szCs w:val="21"/>
                      <w:rFonts w:hint="eastAsia" w:eastAsiaTheme="minorEastAsia"/>
                    </w:rPr>
                    <w:t>液态</w:t>
                  </w:r>
                </w:p>
              </w:tc>
              <w:tc>
                <w:tcPr>
                  <w:tcW w:w="401" w:type="pct"/>
                  <w:gridSpan w:val="2"/>
                  <w:vMerge w:val="continue"/>
                  <w:vAlign w:val="center"/>
                  <w:shd w:val="clear" w:color="auto" w:fill="auto"/>
                </w:tcPr>
                <w:p w14:paraId="6610B315">
                  <w:pPr>
                    <w:widowControl w:val="1"/>
                    <w:jc w:val="center"/>
                    <w:rPr>
                      <w:color w:val="auto"/>
                      <w:szCs w:val="21"/>
                      <w:rFonts w:eastAsiaTheme="minorEastAsia"/>
                    </w:rPr>
                  </w:pPr>
                </w:p>
              </w:tc>
              <w:tc>
                <w:tcPr>
                  <w:tcW w:w="529" w:type="pct"/>
                  <w:gridSpan w:val="2"/>
                  <w:vAlign w:val="center"/>
                  <w:tcBorders>
                    <w:top w:val="single" w:color="auto" w:sz="4" w:space="0"/>
                    <w:bottom w:val="single" w:color="auto" w:sz="4" w:space="0"/>
                  </w:tcBorders>
                  <w:shd w:val="clear" w:color="auto" w:fill="FFFFFF"/>
                </w:tcPr>
                <w:p w14:paraId="639D6B2D">
                  <w:pPr>
                    <w:jc w:val="center"/>
                    <w:spacing w:line="0" w:lineRule="atLeast"/>
                    <w:rPr>
                      <w:color w:val="auto"/>
                      <w:szCs w:val="21"/>
                    </w:rPr>
                  </w:pPr>
                  <w:r>
                    <w:rPr>
                      <w:color w:val="auto"/>
                      <w:szCs w:val="21"/>
                      <w:rFonts w:hint="eastAsia"/>
                    </w:rPr>
                    <w:t>3t/3a</w:t>
                  </w:r>
                  <w:r>
                    <w:rPr>
                      <w:color w:val="auto"/>
                      <w:szCs w:val="21"/>
                    </w:rPr>
                    <w:t xml:space="preserve"> </w:t>
                  </w:r>
                </w:p>
              </w:tc>
              <w:tc>
                <w:tcPr>
                  <w:tcW w:w="334" w:type="pct"/>
                  <w:gridSpan w:val="2"/>
                  <w:vMerge w:val="continue"/>
                  <w:vAlign w:val="center"/>
                  <w:shd w:val="clear" w:color="auto" w:fill="auto"/>
                </w:tcPr>
                <w:p w14:paraId="053A54CF">
                  <w:pPr>
                    <w:jc w:val="center"/>
                    <w:spacing w:line="0" w:lineRule="atLeast"/>
                    <w:rPr>
                      <w:color w:val="auto"/>
                      <w:szCs w:val="21"/>
                      <w:rFonts w:hAnsiTheme="minorEastAsia" w:eastAsiaTheme="minorEastAsia"/>
                    </w:rPr>
                  </w:pPr>
                </w:p>
              </w:tc>
              <w:tc>
                <w:tcPr>
                  <w:tcW w:w="712" w:type="pct"/>
                  <w:gridSpan w:val="2"/>
                  <w:vMerge w:val="continue"/>
                  <w:vAlign w:val="center"/>
                  <w:shd w:val="clear" w:color="auto" w:fill="auto"/>
                </w:tcPr>
                <w:p w14:paraId="7F5DB383">
                  <w:pPr>
                    <w:jc w:val="center"/>
                    <w:spacing w:line="0" w:lineRule="atLeast"/>
                    <w:rPr>
                      <w:color w:val="auto"/>
                      <w:szCs w:val="21"/>
                      <w:rFonts w:eastAsiaTheme="minorEastAsia"/>
                    </w:rPr>
                  </w:pPr>
                </w:p>
              </w:tc>
              <w:tc>
                <w:tcPr>
                  <w:tcW w:w="527" w:type="pct"/>
                  <w:vAlign w:val="center"/>
                  <w:shd w:val="clear" w:color="auto" w:fill="auto"/>
                </w:tcPr>
                <w:p w14:paraId="1A72C325">
                  <w:pPr>
                    <w:jc w:val="center"/>
                    <w:spacing w:line="0" w:lineRule="atLeast"/>
                    <w:rPr>
                      <w:color w:val="auto"/>
                      <w:szCs w:val="21"/>
                    </w:rPr>
                  </w:pPr>
                  <w:r>
                    <w:rPr>
                      <w:color w:val="auto"/>
                      <w:szCs w:val="21"/>
                      <w:rFonts w:hint="eastAsia"/>
                    </w:rPr>
                    <w:t>3t/3a</w:t>
                  </w:r>
                  <w:r>
                    <w:rPr>
                      <w:color w:val="auto"/>
                      <w:szCs w:val="21"/>
                    </w:rPr>
                    <w:t xml:space="preserve"> </w:t>
                  </w:r>
                </w:p>
              </w:tc>
            </w:tr>
            <w:tr w14:paraId="0DDF2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4" w:type="pct"/>
                  <w:vAlign w:val="center"/>
                  <w:shd w:val="clear" w:color="auto" w:fill="auto"/>
                </w:tcPr>
                <w:p w14:paraId="5C371C0C">
                  <w:pPr>
                    <w:jc w:val="center"/>
                    <w:spacing w:line="0" w:lineRule="atLeast"/>
                    <w:rPr>
                      <w:color w:val="auto"/>
                      <w:szCs w:val="21"/>
                      <w:rFonts w:hAnsiTheme="minorEastAsia" w:eastAsiaTheme="minorEastAsia"/>
                    </w:rPr>
                  </w:pPr>
                  <w:r>
                    <w:rPr>
                      <w:color w:val="auto"/>
                      <w:szCs w:val="21"/>
                      <w:rFonts w:hint="eastAsia" w:hAnsiTheme="minorEastAsia" w:eastAsiaTheme="minorEastAsia"/>
                    </w:rPr>
                    <w:t>油品储存</w:t>
                  </w:r>
                </w:p>
              </w:tc>
              <w:tc>
                <w:tcPr>
                  <w:tcW w:w="472" w:type="pct"/>
                  <w:gridSpan w:val="2"/>
                  <w:vAlign w:val="center"/>
                  <w:shd w:val="clear" w:color="auto" w:fill="auto"/>
                </w:tcPr>
                <w:p w14:paraId="1108EB86">
                  <w:pPr>
                    <w:jc w:val="center"/>
                    <w:spacing w:line="0" w:lineRule="atLeast"/>
                    <w:rPr>
                      <w:color w:val="auto"/>
                      <w:szCs w:val="21"/>
                      <w:rFonts w:hAnsiTheme="minorEastAsia" w:eastAsiaTheme="minorEastAsia"/>
                    </w:rPr>
                  </w:pPr>
                  <w:r>
                    <w:rPr>
                      <w:color w:val="auto"/>
                      <w:szCs w:val="21"/>
                      <w:rFonts w:hint="eastAsia" w:hAnsiTheme="minorEastAsia" w:eastAsiaTheme="minorEastAsia"/>
                    </w:rPr>
                    <w:t>废油桶</w:t>
                  </w:r>
                </w:p>
              </w:tc>
              <w:tc>
                <w:tcPr>
                  <w:tcW w:w="895" w:type="pct"/>
                  <w:gridSpan w:val="2"/>
                  <w:vAlign w:val="center"/>
                  <w:shd w:val="clear" w:color="auto" w:fill="auto"/>
                </w:tcPr>
                <w:p w14:paraId="1BF34EF3">
                  <w:pPr>
                    <w:widowControl w:val="1"/>
                    <w:jc w:val="center"/>
                    <w:rPr>
                      <w:color w:val="auto"/>
                      <w:szCs w:val="21"/>
                      <w:rFonts w:hAnsiTheme="minorEastAsia" w:eastAsiaTheme="minorEastAsia"/>
                    </w:rPr>
                  </w:pPr>
                  <w:r>
                    <w:rPr>
                      <w:color w:val="auto"/>
                      <w:szCs w:val="21"/>
                      <w:rFonts w:hint="eastAsia" w:hAnsiTheme="minorEastAsia" w:eastAsiaTheme="minorEastAsia"/>
                    </w:rPr>
                    <w:t>危险废物</w:t>
                  </w:r>
                  <w:r>
                    <w:rPr>
                      <w:color w:val="auto"/>
                      <w:szCs w:val="21"/>
                      <w:rFonts w:eastAsiaTheme="minorEastAsia"/>
                    </w:rPr>
                    <w:t>（类别</w:t>
                  </w:r>
                  <w:r>
                    <w:rPr>
                      <w:color w:val="auto"/>
                      <w:bCs/>
                      <w:szCs w:val="21"/>
                      <w:rFonts w:eastAsiaTheme="minorEastAsia"/>
                    </w:rPr>
                    <w:t>HW08，代码：900-249-08</w:t>
                  </w:r>
                  <w:r>
                    <w:rPr>
                      <w:color w:val="auto"/>
                      <w:szCs w:val="21"/>
                      <w:rFonts w:eastAsiaTheme="minorEastAsia"/>
                    </w:rPr>
                    <w:t>）</w:t>
                  </w:r>
                </w:p>
              </w:tc>
              <w:tc>
                <w:tcPr>
                  <w:tcW w:w="508" w:type="pct"/>
                  <w:gridSpan w:val="2"/>
                  <w:vAlign w:val="center"/>
                </w:tcPr>
                <w:p w14:paraId="657D21E8">
                  <w:pPr>
                    <w:widowControl w:val="1"/>
                    <w:jc w:val="center"/>
                    <w:rPr>
                      <w:color w:val="auto"/>
                      <w:szCs w:val="21"/>
                      <w:rFonts w:eastAsiaTheme="minorEastAsia"/>
                    </w:rPr>
                  </w:pPr>
                  <w:r>
                    <w:rPr>
                      <w:color w:val="auto"/>
                      <w:szCs w:val="21"/>
                      <w:rFonts w:hint="eastAsia" w:eastAsiaTheme="minorEastAsia"/>
                    </w:rPr>
                    <w:t>油类物质</w:t>
                  </w:r>
                </w:p>
              </w:tc>
              <w:tc>
                <w:tcPr>
                  <w:tcW w:w="249" w:type="pct"/>
                  <w:gridSpan w:val="2"/>
                  <w:vAlign w:val="center"/>
                  <w:shd w:val="clear" w:color="auto" w:fill="auto"/>
                </w:tcPr>
                <w:p w14:paraId="229E06E5">
                  <w:pPr>
                    <w:widowControl w:val="1"/>
                    <w:jc w:val="center"/>
                    <w:rPr>
                      <w:color w:val="auto"/>
                      <w:szCs w:val="21"/>
                      <w:rFonts w:eastAsiaTheme="minorEastAsia"/>
                    </w:rPr>
                  </w:pPr>
                  <w:r>
                    <w:rPr>
                      <w:color w:val="auto"/>
                      <w:szCs w:val="21"/>
                      <w:rFonts w:hint="eastAsia" w:eastAsiaTheme="minorEastAsia"/>
                    </w:rPr>
                    <w:t>固态</w:t>
                  </w:r>
                </w:p>
              </w:tc>
              <w:tc>
                <w:tcPr>
                  <w:tcW w:w="401" w:type="pct"/>
                  <w:gridSpan w:val="2"/>
                  <w:vMerge w:val="restart"/>
                  <w:vAlign w:val="center"/>
                  <w:shd w:val="clear" w:color="auto" w:fill="auto"/>
                </w:tcPr>
                <w:p w14:paraId="11165CD6">
                  <w:pPr>
                    <w:widowControl w:val="1"/>
                    <w:jc w:val="center"/>
                    <w:rPr>
                      <w:color w:val="auto"/>
                      <w:bCs/>
                      <w:szCs w:val="21"/>
                      <w:rFonts w:eastAsiaTheme="minorEastAsia"/>
                    </w:rPr>
                  </w:pPr>
                  <w:r>
                    <w:rPr>
                      <w:color w:val="auto"/>
                      <w:bCs/>
                      <w:szCs w:val="21"/>
                      <w:rFonts w:hint="eastAsia" w:eastAsiaTheme="minorEastAsia"/>
                    </w:rPr>
                    <w:t>毒性和易燃性</w:t>
                  </w:r>
                </w:p>
              </w:tc>
              <w:tc>
                <w:tcPr>
                  <w:tcW w:w="529" w:type="pct"/>
                  <w:gridSpan w:val="2"/>
                  <w:vAlign w:val="center"/>
                  <w:tcBorders>
                    <w:top w:val="single" w:color="auto" w:sz="4" w:space="0"/>
                    <w:bottom w:val="single" w:color="auto" w:sz="4" w:space="0"/>
                  </w:tcBorders>
                  <w:shd w:val="clear" w:color="auto" w:fill="FFFFFF"/>
                </w:tcPr>
                <w:p w14:paraId="1971D0A4">
                  <w:pPr>
                    <w:jc w:val="center"/>
                    <w:spacing w:line="0" w:lineRule="atLeast"/>
                    <w:rPr>
                      <w:color w:val="auto"/>
                      <w:szCs w:val="21"/>
                    </w:rPr>
                  </w:pPr>
                  <w:r>
                    <w:rPr>
                      <w:color w:val="auto"/>
                      <w:szCs w:val="21"/>
                    </w:rPr>
                    <w:t>0.</w:t>
                  </w:r>
                  <w:r>
                    <w:rPr>
                      <w:color w:val="auto"/>
                      <w:szCs w:val="21"/>
                      <w:rFonts w:hint="eastAsia"/>
                    </w:rPr>
                    <w:t>01</w:t>
                  </w:r>
                  <w:r>
                    <w:rPr>
                      <w:color w:val="auto"/>
                      <w:szCs w:val="21"/>
                    </w:rPr>
                    <w:t>t/</w:t>
                  </w:r>
                  <w:r>
                    <w:rPr>
                      <w:color w:val="auto"/>
                      <w:szCs w:val="21"/>
                      <w:rFonts w:hint="eastAsia"/>
                    </w:rPr>
                    <w:t>3</w:t>
                  </w:r>
                  <w:r>
                    <w:rPr>
                      <w:color w:val="auto"/>
                      <w:szCs w:val="21"/>
                    </w:rPr>
                    <w:t>a</w:t>
                  </w:r>
                </w:p>
              </w:tc>
              <w:tc>
                <w:tcPr>
                  <w:tcW w:w="334" w:type="pct"/>
                  <w:gridSpan w:val="2"/>
                  <w:vMerge w:val="restart"/>
                  <w:vAlign w:val="center"/>
                  <w:shd w:val="clear" w:color="auto" w:fill="auto"/>
                </w:tcPr>
                <w:p w14:paraId="3F852E6A">
                  <w:pPr>
                    <w:jc w:val="center"/>
                    <w:spacing w:line="0" w:lineRule="atLeast"/>
                    <w:rPr>
                      <w:color w:val="auto"/>
                      <w:lang w:val="en-US" w:eastAsia="zh-CN"/>
                      <w:szCs w:val="21"/>
                      <w:rFonts w:hint="eastAsia" w:hAnsiTheme="minorEastAsia" w:eastAsiaTheme="minorEastAsia"/>
                    </w:rPr>
                  </w:pPr>
                  <w:r>
                    <w:rPr>
                      <w:color w:val="auto"/>
                      <w:szCs w:val="21"/>
                      <w:rFonts w:hint="eastAsia" w:hAnsiTheme="minorEastAsia" w:eastAsiaTheme="minorEastAsia"/>
                    </w:rPr>
                    <w:t>危废贮存</w:t>
                  </w:r>
                  <w:r>
                    <w:rPr>
                      <w:color w:val="auto"/>
                      <w:lang w:val="en-US" w:eastAsia="zh-CN"/>
                      <w:szCs w:val="21"/>
                      <w:rFonts w:hint="eastAsia" w:hAnsiTheme="minorEastAsia" w:eastAsiaTheme="minorEastAsia"/>
                    </w:rPr>
                    <w:t>点</w:t>
                  </w:r>
                </w:p>
              </w:tc>
              <w:tc>
                <w:tcPr>
                  <w:tcW w:w="712" w:type="pct"/>
                  <w:gridSpan w:val="2"/>
                  <w:vMerge w:val="restart"/>
                  <w:vAlign w:val="center"/>
                  <w:shd w:val="clear" w:color="auto" w:fill="auto"/>
                </w:tcPr>
                <w:p w14:paraId="1A26E420">
                  <w:pPr>
                    <w:jc w:val="center"/>
                    <w:spacing w:line="0" w:lineRule="atLeast"/>
                    <w:rPr>
                      <w:color w:val="auto"/>
                      <w:szCs w:val="21"/>
                      <w:rFonts w:eastAsiaTheme="minorEastAsia"/>
                    </w:rPr>
                  </w:pPr>
                  <w:r>
                    <w:rPr>
                      <w:color w:val="auto"/>
                      <w:szCs w:val="21"/>
                      <w:rFonts w:eastAsiaTheme="minorEastAsia"/>
                    </w:rPr>
                    <w:t>暂存于危废</w:t>
                  </w:r>
                  <w:r>
                    <w:rPr>
                      <w:color w:val="auto"/>
                      <w:szCs w:val="21"/>
                      <w:rFonts w:hint="eastAsia" w:eastAsiaTheme="minorEastAsia"/>
                    </w:rPr>
                    <w:t>贮存</w:t>
                  </w:r>
                  <w:r>
                    <w:rPr>
                      <w:color w:val="auto"/>
                      <w:lang w:val="en-US" w:eastAsia="zh-CN"/>
                      <w:szCs w:val="21"/>
                      <w:rFonts w:hint="eastAsia" w:hAnsiTheme="minorEastAsia" w:eastAsiaTheme="minorEastAsia"/>
                    </w:rPr>
                    <w:t>点</w:t>
                  </w:r>
                  <w:r>
                    <w:rPr>
                      <w:color w:val="auto"/>
                      <w:szCs w:val="21"/>
                      <w:rFonts w:eastAsiaTheme="minorEastAsia"/>
                    </w:rPr>
                    <w:t>，交有资质单位处置</w:t>
                  </w:r>
                </w:p>
              </w:tc>
              <w:tc>
                <w:tcPr>
                  <w:tcW w:w="529" w:type="pct"/>
                  <w:gridSpan w:val="2"/>
                  <w:vAlign w:val="center"/>
                  <w:shd w:val="clear" w:color="auto" w:fill="auto"/>
                </w:tcPr>
                <w:p w14:paraId="59EBEE91">
                  <w:pPr>
                    <w:jc w:val="center"/>
                    <w:spacing w:line="0" w:lineRule="atLeast"/>
                    <w:rPr>
                      <w:color w:val="auto"/>
                      <w:szCs w:val="21"/>
                    </w:rPr>
                  </w:pPr>
                  <w:r>
                    <w:rPr>
                      <w:color w:val="auto"/>
                      <w:szCs w:val="21"/>
                    </w:rPr>
                    <w:t>0.</w:t>
                  </w:r>
                  <w:r>
                    <w:rPr>
                      <w:color w:val="auto"/>
                      <w:szCs w:val="21"/>
                      <w:rFonts w:hint="eastAsia"/>
                    </w:rPr>
                    <w:t>01</w:t>
                  </w:r>
                  <w:r>
                    <w:rPr>
                      <w:color w:val="auto"/>
                      <w:szCs w:val="21"/>
                    </w:rPr>
                    <w:t>t/</w:t>
                  </w:r>
                  <w:r>
                    <w:rPr>
                      <w:color w:val="auto"/>
                      <w:szCs w:val="21"/>
                      <w:rFonts w:hint="eastAsia"/>
                    </w:rPr>
                    <w:t>3</w:t>
                  </w:r>
                  <w:r>
                    <w:rPr>
                      <w:color w:val="auto"/>
                      <w:szCs w:val="21"/>
                    </w:rPr>
                    <w:t>a</w:t>
                  </w:r>
                </w:p>
              </w:tc>
            </w:tr>
            <w:tr w14:paraId="7182F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82" w:hRule="atLeast"/>
                <w:jc w:val="center"/>
              </w:trPr>
              <w:tc>
                <w:tcPr>
                  <w:tcW w:w="364" w:type="pct"/>
                  <w:vAlign w:val="center"/>
                  <w:shd w:val="clear" w:color="auto" w:fill="auto"/>
                </w:tcPr>
                <w:p w14:paraId="6D43317A">
                  <w:pPr>
                    <w:jc w:val="center"/>
                    <w:spacing w:line="0" w:lineRule="atLeast"/>
                    <w:rPr>
                      <w:color w:val="auto"/>
                      <w:szCs w:val="21"/>
                      <w:rFonts w:hAnsiTheme="minorEastAsia" w:eastAsiaTheme="minorEastAsia"/>
                    </w:rPr>
                  </w:pPr>
                  <w:r>
                    <w:rPr>
                      <w:color w:val="auto"/>
                      <w:szCs w:val="21"/>
                      <w:rFonts w:hint="eastAsia" w:hAnsiTheme="minorEastAsia" w:eastAsiaTheme="minorEastAsia"/>
                    </w:rPr>
                    <w:t>初期雨水池</w:t>
                  </w:r>
                </w:p>
              </w:tc>
              <w:tc>
                <w:tcPr>
                  <w:tcW w:w="472" w:type="pct"/>
                  <w:gridSpan w:val="2"/>
                  <w:vAlign w:val="center"/>
                  <w:shd w:val="clear" w:color="auto" w:fill="auto"/>
                </w:tcPr>
                <w:p w14:paraId="749C603E">
                  <w:pPr>
                    <w:jc w:val="center"/>
                    <w:spacing w:line="0" w:lineRule="atLeast"/>
                    <w:rPr>
                      <w:color w:val="auto"/>
                      <w:szCs w:val="21"/>
                      <w:rFonts w:hAnsiTheme="minorEastAsia" w:eastAsiaTheme="minorEastAsia"/>
                    </w:rPr>
                  </w:pPr>
                  <w:r>
                    <w:rPr>
                      <w:color w:val="auto"/>
                      <w:szCs w:val="21"/>
                      <w:rFonts w:hint="eastAsia" w:hAnsiTheme="minorEastAsia" w:eastAsiaTheme="minorEastAsia"/>
                    </w:rPr>
                    <w:t>初期雨水池油污</w:t>
                  </w:r>
                </w:p>
              </w:tc>
              <w:tc>
                <w:tcPr>
                  <w:tcW w:w="895" w:type="pct"/>
                  <w:gridSpan w:val="2"/>
                  <w:vAlign w:val="center"/>
                  <w:shd w:val="clear" w:color="auto" w:fill="auto"/>
                </w:tcPr>
                <w:p w14:paraId="152B62F2">
                  <w:pPr>
                    <w:widowControl w:val="1"/>
                    <w:jc w:val="center"/>
                    <w:rPr>
                      <w:color w:val="auto"/>
                      <w:szCs w:val="21"/>
                      <w:rFonts w:hAnsiTheme="minorEastAsia" w:eastAsiaTheme="minorEastAsia"/>
                    </w:rPr>
                  </w:pPr>
                  <w:r>
                    <w:rPr>
                      <w:color w:val="auto"/>
                      <w:szCs w:val="21"/>
                      <w:rFonts w:hint="eastAsia" w:hAnsiTheme="minorEastAsia" w:eastAsiaTheme="minorEastAsia"/>
                    </w:rPr>
                    <w:t>危险废物</w:t>
                  </w:r>
                  <w:r>
                    <w:rPr>
                      <w:color w:val="auto"/>
                      <w:szCs w:val="21"/>
                      <w:rFonts w:eastAsiaTheme="minorEastAsia"/>
                    </w:rPr>
                    <w:t>（类别</w:t>
                  </w:r>
                  <w:r>
                    <w:rPr>
                      <w:color w:val="auto"/>
                      <w:bCs/>
                      <w:szCs w:val="21"/>
                      <w:rFonts w:eastAsiaTheme="minorEastAsia"/>
                    </w:rPr>
                    <w:t>HW08，代码：900-2</w:t>
                  </w:r>
                  <w:r>
                    <w:rPr>
                      <w:color w:val="auto"/>
                      <w:bCs/>
                      <w:szCs w:val="21"/>
                      <w:rFonts w:hint="eastAsia" w:eastAsiaTheme="minorEastAsia"/>
                    </w:rPr>
                    <w:t>10</w:t>
                  </w:r>
                  <w:r>
                    <w:rPr>
                      <w:color w:val="auto"/>
                      <w:bCs/>
                      <w:szCs w:val="21"/>
                      <w:rFonts w:eastAsiaTheme="minorEastAsia"/>
                    </w:rPr>
                    <w:t>-08</w:t>
                  </w:r>
                  <w:r>
                    <w:rPr>
                      <w:color w:val="auto"/>
                      <w:szCs w:val="21"/>
                      <w:rFonts w:eastAsiaTheme="minorEastAsia"/>
                    </w:rPr>
                    <w:t>）</w:t>
                  </w:r>
                </w:p>
              </w:tc>
              <w:tc>
                <w:tcPr>
                  <w:tcW w:w="508" w:type="pct"/>
                  <w:gridSpan w:val="2"/>
                  <w:vAlign w:val="center"/>
                </w:tcPr>
                <w:p w14:paraId="7FA8F9A5">
                  <w:pPr>
                    <w:widowControl w:val="1"/>
                    <w:jc w:val="center"/>
                    <w:rPr>
                      <w:color w:val="auto"/>
                      <w:szCs w:val="21"/>
                      <w:rFonts w:eastAsiaTheme="minorEastAsia"/>
                    </w:rPr>
                  </w:pPr>
                  <w:r>
                    <w:rPr>
                      <w:color w:val="auto"/>
                      <w:szCs w:val="21"/>
                      <w:rFonts w:hint="eastAsia" w:eastAsiaTheme="minorEastAsia"/>
                    </w:rPr>
                    <w:t>油类物质</w:t>
                  </w:r>
                </w:p>
              </w:tc>
              <w:tc>
                <w:tcPr>
                  <w:tcW w:w="249" w:type="pct"/>
                  <w:gridSpan w:val="2"/>
                  <w:vAlign w:val="center"/>
                  <w:shd w:val="clear" w:color="auto" w:fill="auto"/>
                </w:tcPr>
                <w:p w14:paraId="461FD66E">
                  <w:pPr>
                    <w:widowControl w:val="1"/>
                    <w:jc w:val="center"/>
                    <w:rPr>
                      <w:color w:val="auto"/>
                      <w:szCs w:val="21"/>
                      <w:rFonts w:eastAsiaTheme="minorEastAsia"/>
                    </w:rPr>
                  </w:pPr>
                  <w:r>
                    <w:rPr>
                      <w:color w:val="auto"/>
                      <w:szCs w:val="21"/>
                      <w:rFonts w:hint="eastAsia" w:eastAsiaTheme="minorEastAsia"/>
                    </w:rPr>
                    <w:t>液态</w:t>
                  </w:r>
                </w:p>
              </w:tc>
              <w:tc>
                <w:tcPr>
                  <w:tcW w:w="401" w:type="pct"/>
                  <w:gridSpan w:val="2"/>
                  <w:vMerge w:val="continue"/>
                  <w:vAlign w:val="center"/>
                  <w:shd w:val="clear" w:color="auto" w:fill="auto"/>
                </w:tcPr>
                <w:p w14:paraId="139CA183">
                  <w:pPr>
                    <w:widowControl w:val="1"/>
                    <w:jc w:val="center"/>
                    <w:rPr>
                      <w:color w:val="auto"/>
                      <w:bCs/>
                      <w:szCs w:val="21"/>
                      <w:rFonts w:eastAsiaTheme="minorEastAsia"/>
                    </w:rPr>
                  </w:pPr>
                </w:p>
              </w:tc>
              <w:tc>
                <w:tcPr>
                  <w:tcW w:w="529" w:type="pct"/>
                  <w:gridSpan w:val="2"/>
                  <w:vAlign w:val="center"/>
                  <w:tcBorders>
                    <w:top w:val="single" w:color="auto" w:sz="4" w:space="0"/>
                  </w:tcBorders>
                  <w:shd w:val="clear" w:color="auto" w:fill="FFFFFF"/>
                </w:tcPr>
                <w:p w14:paraId="6ED50F09">
                  <w:pPr>
                    <w:jc w:val="center"/>
                    <w:spacing w:line="0" w:lineRule="atLeast"/>
                    <w:rPr>
                      <w:color w:val="auto"/>
                      <w:szCs w:val="21"/>
                    </w:rPr>
                  </w:pPr>
                  <w:r>
                    <w:rPr>
                      <w:color w:val="auto"/>
                      <w:szCs w:val="21"/>
                    </w:rPr>
                    <w:t>0.</w:t>
                  </w:r>
                  <w:r>
                    <w:rPr>
                      <w:color w:val="auto"/>
                      <w:szCs w:val="21"/>
                      <w:rFonts w:hint="eastAsia"/>
                    </w:rPr>
                    <w:t>001</w:t>
                  </w:r>
                  <w:r>
                    <w:rPr>
                      <w:color w:val="auto"/>
                      <w:szCs w:val="21"/>
                    </w:rPr>
                    <w:t>t/a</w:t>
                  </w:r>
                </w:p>
              </w:tc>
              <w:tc>
                <w:tcPr>
                  <w:tcW w:w="334" w:type="pct"/>
                  <w:gridSpan w:val="2"/>
                  <w:vMerge w:val="continue"/>
                  <w:vAlign w:val="center"/>
                  <w:shd w:val="clear" w:color="auto" w:fill="auto"/>
                </w:tcPr>
                <w:p w14:paraId="3DAE5F26">
                  <w:pPr>
                    <w:jc w:val="center"/>
                    <w:spacing w:line="0" w:lineRule="atLeast"/>
                    <w:rPr>
                      <w:color w:val="auto"/>
                      <w:szCs w:val="21"/>
                      <w:rFonts w:hAnsiTheme="minorEastAsia" w:eastAsiaTheme="minorEastAsia"/>
                    </w:rPr>
                  </w:pPr>
                </w:p>
              </w:tc>
              <w:tc>
                <w:tcPr>
                  <w:tcW w:w="712" w:type="pct"/>
                  <w:gridSpan w:val="2"/>
                  <w:vMerge w:val="continue"/>
                  <w:vAlign w:val="center"/>
                  <w:shd w:val="clear" w:color="auto" w:fill="auto"/>
                </w:tcPr>
                <w:p w14:paraId="02256782">
                  <w:pPr>
                    <w:jc w:val="center"/>
                    <w:spacing w:line="0" w:lineRule="atLeast"/>
                    <w:rPr>
                      <w:color w:val="auto"/>
                      <w:szCs w:val="21"/>
                      <w:rFonts w:eastAsiaTheme="minorEastAsia"/>
                    </w:rPr>
                  </w:pPr>
                </w:p>
              </w:tc>
              <w:tc>
                <w:tcPr>
                  <w:tcW w:w="529" w:type="pct"/>
                  <w:gridSpan w:val="2"/>
                  <w:vAlign w:val="center"/>
                  <w:shd w:val="clear" w:color="auto" w:fill="auto"/>
                </w:tcPr>
                <w:p w14:paraId="26478715">
                  <w:pPr>
                    <w:jc w:val="center"/>
                    <w:spacing w:line="0" w:lineRule="atLeast"/>
                    <w:rPr>
                      <w:color w:val="auto"/>
                      <w:szCs w:val="21"/>
                    </w:rPr>
                  </w:pPr>
                  <w:r>
                    <w:rPr>
                      <w:color w:val="auto"/>
                      <w:szCs w:val="21"/>
                    </w:rPr>
                    <w:t>0.</w:t>
                  </w:r>
                  <w:r>
                    <w:rPr>
                      <w:color w:val="auto"/>
                      <w:szCs w:val="21"/>
                      <w:rFonts w:hint="eastAsia"/>
                    </w:rPr>
                    <w:t>001</w:t>
                  </w:r>
                  <w:r>
                    <w:rPr>
                      <w:color w:val="auto"/>
                      <w:szCs w:val="21"/>
                    </w:rPr>
                    <w:t>t/a</w:t>
                  </w:r>
                </w:p>
              </w:tc>
            </w:tr>
          </w:tbl>
          <w:p w14:paraId="4DD4CEDF">
            <w:pPr>
              <w:jc w:val="center"/>
              <w:rPr>
                <w:b w:val="1"/>
                <w:color w:val="auto"/>
                <w:sz w:val="24"/>
                <w:rFonts w:eastAsiaTheme="minorEastAsia"/>
              </w:rPr>
            </w:pPr>
            <w:r>
              <w:rPr>
                <w:b w:val="1"/>
                <w:color w:val="auto"/>
                <w:sz w:val="24"/>
                <w:rFonts w:eastAsiaTheme="minorEastAsia"/>
              </w:rPr>
              <w:t>表4-</w:t>
            </w:r>
            <w:r>
              <w:rPr>
                <w:b w:val="1"/>
                <w:color w:val="auto"/>
                <w:sz w:val="24"/>
                <w:lang w:val="en-US" w:eastAsia="zh-CN"/>
                <w:rFonts w:hint="eastAsia" w:eastAsiaTheme="minorEastAsia"/>
              </w:rPr>
              <w:t>11</w:t>
            </w:r>
            <w:r>
              <w:rPr>
                <w:b w:val="1"/>
                <w:color w:val="auto"/>
                <w:sz w:val="24"/>
                <w:rFonts w:eastAsiaTheme="minorEastAsia"/>
              </w:rPr>
              <w:t xml:space="preserve"> 项目危险废物汇总表</w:t>
            </w:r>
          </w:p>
          <w:tbl>
            <w:tblPr>
              <w:tblStyle w:val="27"/>
              <w:tblW w:w="4964" w:type="pct"/>
              <w:tblInd w:type="dxa" w:w="0.000000"/>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674.000000"/>
              <w:gridCol w:w="1343.000000"/>
              <w:gridCol w:w="1121.000000"/>
              <w:gridCol w:w="683.000000"/>
              <w:gridCol w:w="678.000000"/>
              <w:gridCol w:w="515.000000"/>
              <w:gridCol w:w="598.000000"/>
              <w:gridCol w:w="618.000000"/>
              <w:gridCol w:w="583.000000"/>
              <w:gridCol w:w="533.000000"/>
              <w:gridCol w:w="983.000000"/>
            </w:tblGrid>
            <w:tr w14:paraId="40401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2" w:hRule="atLeast"/>
              </w:trPr>
              <w:tc>
                <w:tcPr>
                  <w:tcW w:w="405" w:type="pct"/>
                  <w:vAlign w:val="center"/>
                </w:tcPr>
                <w:p w14:paraId="2A29A992">
                  <w:pPr>
                    <w:jc w:val="center"/>
                    <w:contextualSpacing/>
                    <w:rPr>
                      <w:color w:val="auto"/>
                      <w:spacing w:val="-6"/>
                      <w:szCs w:val="21"/>
                      <w:rFonts w:eastAsiaTheme="minorEastAsia"/>
                    </w:rPr>
                  </w:pPr>
                  <w:r>
                    <w:rPr>
                      <w:color w:val="auto"/>
                      <w:spacing w:val="-6"/>
                      <w:szCs w:val="21"/>
                      <w:rFonts w:eastAsiaTheme="minorEastAsia"/>
                    </w:rPr>
                    <w:t>名称</w:t>
                  </w:r>
                </w:p>
              </w:tc>
              <w:tc>
                <w:tcPr>
                  <w:tcW w:w="806" w:type="pct"/>
                  <w:vAlign w:val="center"/>
                </w:tcPr>
                <w:p w14:paraId="712A32A1">
                  <w:pPr>
                    <w:jc w:val="center"/>
                    <w:contextualSpacing/>
                    <w:rPr>
                      <w:color w:val="auto"/>
                      <w:spacing w:val="-6"/>
                      <w:szCs w:val="21"/>
                      <w:rFonts w:eastAsiaTheme="minorEastAsia"/>
                    </w:rPr>
                  </w:pPr>
                  <w:r>
                    <w:rPr>
                      <w:color w:val="auto"/>
                      <w:spacing w:val="-6"/>
                      <w:szCs w:val="21"/>
                      <w:rFonts w:eastAsiaTheme="minorEastAsia"/>
                    </w:rPr>
                    <w:t>废物</w:t>
                  </w:r>
                </w:p>
                <w:p w14:paraId="74EAC618">
                  <w:pPr>
                    <w:jc w:val="center"/>
                    <w:contextualSpacing/>
                    <w:rPr>
                      <w:color w:val="auto"/>
                      <w:spacing w:val="-6"/>
                      <w:szCs w:val="21"/>
                      <w:rFonts w:eastAsiaTheme="minorEastAsia"/>
                    </w:rPr>
                  </w:pPr>
                  <w:r>
                    <w:rPr>
                      <w:color w:val="auto"/>
                      <w:spacing w:val="-6"/>
                      <w:szCs w:val="21"/>
                      <w:rFonts w:eastAsiaTheme="minorEastAsia"/>
                    </w:rPr>
                    <w:t>类别</w:t>
                  </w:r>
                </w:p>
              </w:tc>
              <w:tc>
                <w:tcPr>
                  <w:tcW w:w="673" w:type="pct"/>
                  <w:vAlign w:val="center"/>
                </w:tcPr>
                <w:p w14:paraId="357B62A0">
                  <w:pPr>
                    <w:jc w:val="center"/>
                    <w:contextualSpacing/>
                    <w:rPr>
                      <w:color w:val="auto"/>
                      <w:spacing w:val="-6"/>
                      <w:szCs w:val="21"/>
                      <w:rFonts w:eastAsiaTheme="minorEastAsia"/>
                    </w:rPr>
                  </w:pPr>
                  <w:r>
                    <w:rPr>
                      <w:color w:val="auto"/>
                      <w:spacing w:val="-6"/>
                      <w:szCs w:val="21"/>
                      <w:rFonts w:eastAsiaTheme="minorEastAsia"/>
                    </w:rPr>
                    <w:t>危险废物代码</w:t>
                  </w:r>
                </w:p>
              </w:tc>
              <w:tc>
                <w:tcPr>
                  <w:tcW w:w="410" w:type="pct"/>
                  <w:vAlign w:val="center"/>
                </w:tcPr>
                <w:p w14:paraId="302CAC92">
                  <w:pPr>
                    <w:jc w:val="center"/>
                    <w:contextualSpacing/>
                    <w:rPr>
                      <w:color w:val="auto"/>
                      <w:spacing w:val="-6"/>
                      <w:szCs w:val="21"/>
                      <w:rFonts w:eastAsiaTheme="minorEastAsia"/>
                    </w:rPr>
                  </w:pPr>
                  <w:r>
                    <w:rPr>
                      <w:color w:val="auto"/>
                      <w:spacing w:val="-6"/>
                      <w:szCs w:val="21"/>
                      <w:rFonts w:eastAsiaTheme="minorEastAsia"/>
                    </w:rPr>
                    <w:t>产生量</w:t>
                  </w:r>
                </w:p>
                <w:p w14:paraId="33F58F99">
                  <w:pPr>
                    <w:jc w:val="center"/>
                    <w:contextualSpacing/>
                    <w:rPr>
                      <w:color w:val="auto"/>
                      <w:spacing w:val="-6"/>
                      <w:szCs w:val="21"/>
                      <w:rFonts w:eastAsiaTheme="minorEastAsia"/>
                    </w:rPr>
                  </w:pPr>
                  <w:r>
                    <w:rPr>
                      <w:color w:val="auto"/>
                      <w:spacing w:val="-6"/>
                      <w:szCs w:val="21"/>
                      <w:rFonts w:eastAsiaTheme="minorEastAsia"/>
                    </w:rPr>
                    <w:t>（吨/年）</w:t>
                  </w:r>
                </w:p>
              </w:tc>
              <w:tc>
                <w:tcPr>
                  <w:tcW w:w="407" w:type="pct"/>
                  <w:vAlign w:val="center"/>
                </w:tcPr>
                <w:p w14:paraId="020E1983">
                  <w:pPr>
                    <w:jc w:val="center"/>
                    <w:contextualSpacing/>
                    <w:rPr>
                      <w:color w:val="auto"/>
                      <w:spacing w:val="-6"/>
                      <w:szCs w:val="21"/>
                      <w:rFonts w:eastAsiaTheme="minorEastAsia"/>
                    </w:rPr>
                  </w:pPr>
                  <w:r>
                    <w:rPr>
                      <w:color w:val="auto"/>
                      <w:spacing w:val="-6"/>
                      <w:szCs w:val="21"/>
                      <w:rFonts w:eastAsiaTheme="minorEastAsia"/>
                    </w:rPr>
                    <w:t>产生工序及装置</w:t>
                  </w:r>
                </w:p>
              </w:tc>
              <w:tc>
                <w:tcPr>
                  <w:tcW w:w="309" w:type="pct"/>
                  <w:vAlign w:val="center"/>
                </w:tcPr>
                <w:p w14:paraId="65F0DA14">
                  <w:pPr>
                    <w:jc w:val="center"/>
                    <w:contextualSpacing/>
                    <w:rPr>
                      <w:color w:val="auto"/>
                      <w:spacing w:val="-6"/>
                      <w:szCs w:val="21"/>
                      <w:rFonts w:eastAsiaTheme="minorEastAsia"/>
                    </w:rPr>
                  </w:pPr>
                  <w:r>
                    <w:rPr>
                      <w:color w:val="auto"/>
                      <w:spacing w:val="-6"/>
                      <w:szCs w:val="21"/>
                      <w:rFonts w:eastAsiaTheme="minorEastAsia"/>
                    </w:rPr>
                    <w:t>形态</w:t>
                  </w:r>
                </w:p>
              </w:tc>
              <w:tc>
                <w:tcPr>
                  <w:tcW w:w="359" w:type="pct"/>
                  <w:vAlign w:val="center"/>
                </w:tcPr>
                <w:p w14:paraId="07EEE65C">
                  <w:pPr>
                    <w:jc w:val="center"/>
                    <w:contextualSpacing/>
                    <w:rPr>
                      <w:color w:val="auto"/>
                      <w:spacing w:val="-6"/>
                      <w:szCs w:val="21"/>
                      <w:rFonts w:eastAsiaTheme="minorEastAsia"/>
                    </w:rPr>
                  </w:pPr>
                  <w:r>
                    <w:rPr>
                      <w:color w:val="auto"/>
                      <w:spacing w:val="-6"/>
                      <w:szCs w:val="21"/>
                      <w:rFonts w:eastAsiaTheme="minorEastAsia"/>
                    </w:rPr>
                    <w:t>主要成分</w:t>
                  </w:r>
                </w:p>
              </w:tc>
              <w:tc>
                <w:tcPr>
                  <w:tcW w:w="371" w:type="pct"/>
                  <w:vAlign w:val="center"/>
                </w:tcPr>
                <w:p w14:paraId="06239860">
                  <w:pPr>
                    <w:jc w:val="center"/>
                    <w:contextualSpacing/>
                    <w:rPr>
                      <w:color w:val="auto"/>
                      <w:spacing w:val="-6"/>
                      <w:szCs w:val="21"/>
                      <w:rFonts w:eastAsiaTheme="minorEastAsia"/>
                    </w:rPr>
                  </w:pPr>
                  <w:r>
                    <w:rPr>
                      <w:color w:val="auto"/>
                      <w:spacing w:val="-6"/>
                      <w:szCs w:val="21"/>
                      <w:rFonts w:eastAsiaTheme="minorEastAsia"/>
                    </w:rPr>
                    <w:t>有害成分</w:t>
                  </w:r>
                </w:p>
              </w:tc>
              <w:tc>
                <w:tcPr>
                  <w:tcW w:w="350" w:type="pct"/>
                  <w:vAlign w:val="center"/>
                </w:tcPr>
                <w:p w14:paraId="76F0AE6C">
                  <w:pPr>
                    <w:jc w:val="center"/>
                    <w:contextualSpacing/>
                    <w:rPr>
                      <w:color w:val="auto"/>
                      <w:spacing w:val="-6"/>
                      <w:szCs w:val="21"/>
                      <w:rFonts w:eastAsiaTheme="minorEastAsia"/>
                    </w:rPr>
                  </w:pPr>
                  <w:r>
                    <w:rPr>
                      <w:color w:val="auto"/>
                      <w:spacing w:val="-6"/>
                      <w:szCs w:val="21"/>
                      <w:rFonts w:eastAsiaTheme="minorEastAsia"/>
                    </w:rPr>
                    <w:t>产废周期</w:t>
                  </w:r>
                </w:p>
              </w:tc>
              <w:tc>
                <w:tcPr>
                  <w:tcW w:w="320" w:type="pct"/>
                  <w:vAlign w:val="center"/>
                </w:tcPr>
                <w:p w14:paraId="5371191A">
                  <w:pPr>
                    <w:jc w:val="center"/>
                    <w:contextualSpacing/>
                    <w:rPr>
                      <w:color w:val="auto"/>
                      <w:spacing w:val="-6"/>
                      <w:szCs w:val="21"/>
                      <w:rFonts w:eastAsiaTheme="minorEastAsia"/>
                    </w:rPr>
                  </w:pPr>
                  <w:r>
                    <w:rPr>
                      <w:color w:val="auto"/>
                      <w:spacing w:val="-6"/>
                      <w:szCs w:val="21"/>
                      <w:rFonts w:eastAsiaTheme="minorEastAsia"/>
                    </w:rPr>
                    <w:t>危险</w:t>
                  </w:r>
                </w:p>
                <w:p w14:paraId="26E230B6">
                  <w:pPr>
                    <w:jc w:val="center"/>
                    <w:contextualSpacing/>
                    <w:rPr>
                      <w:color w:val="auto"/>
                      <w:spacing w:val="-6"/>
                      <w:szCs w:val="21"/>
                      <w:rFonts w:eastAsiaTheme="minorEastAsia"/>
                    </w:rPr>
                  </w:pPr>
                  <w:r>
                    <w:rPr>
                      <w:color w:val="auto"/>
                      <w:spacing w:val="-6"/>
                      <w:szCs w:val="21"/>
                      <w:rFonts w:eastAsiaTheme="minorEastAsia"/>
                    </w:rPr>
                    <w:t>特性</w:t>
                  </w:r>
                </w:p>
              </w:tc>
              <w:tc>
                <w:tcPr>
                  <w:tcW w:w="591" w:type="pct"/>
                  <w:vAlign w:val="center"/>
                </w:tcPr>
                <w:p w14:paraId="22F2C705">
                  <w:pPr>
                    <w:topLinePunct w:val="1"/>
                    <w:adjustRightInd w:val="0"/>
                    <w:jc w:val="center"/>
                    <w:rPr>
                      <w:color w:val="auto"/>
                      <w:szCs w:val="21"/>
                      <w:rFonts w:eastAsiaTheme="minorEastAsia"/>
                    </w:rPr>
                  </w:pPr>
                  <w:r>
                    <w:rPr>
                      <w:color w:val="auto"/>
                      <w:szCs w:val="21"/>
                      <w:rFonts w:eastAsiaTheme="minorEastAsia"/>
                    </w:rPr>
                    <w:t>污染防治措施</w:t>
                  </w:r>
                </w:p>
              </w:tc>
            </w:tr>
            <w:tr w14:paraId="36792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2" w:hRule="atLeast"/>
              </w:trPr>
              <w:tc>
                <w:tcPr>
                  <w:tcW w:w="404" w:type="pct"/>
                  <w:vAlign w:val="center"/>
                </w:tcPr>
                <w:p w14:paraId="1F5744BF">
                  <w:pPr>
                    <w:jc w:val="center"/>
                    <w:contextualSpacing/>
                    <w:spacing w:line="0" w:lineRule="atLeast"/>
                    <w:rPr>
                      <w:color w:val="auto"/>
                      <w:spacing w:val="-6"/>
                      <w:szCs w:val="21"/>
                      <w:rFonts w:eastAsiaTheme="minorEastAsia"/>
                    </w:rPr>
                  </w:pPr>
                  <w:r>
                    <w:rPr>
                      <w:color w:val="auto"/>
                      <w:spacing w:val="-6"/>
                      <w:szCs w:val="21"/>
                      <w:rFonts w:eastAsiaTheme="minorEastAsia"/>
                    </w:rPr>
                    <w:t>废活性炭</w:t>
                  </w:r>
                </w:p>
              </w:tc>
              <w:tc>
                <w:tcPr>
                  <w:tcW w:w="806" w:type="pct"/>
                  <w:vAlign w:val="center"/>
                </w:tcPr>
                <w:p w14:paraId="0F36EA9E">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HW49</w:t>
                  </w:r>
                </w:p>
                <w:p w14:paraId="228D73F7">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其他废物</w:t>
                  </w:r>
                </w:p>
              </w:tc>
              <w:tc>
                <w:tcPr>
                  <w:tcW w:w="673" w:type="pct"/>
                  <w:vAlign w:val="center"/>
                </w:tcPr>
                <w:p w14:paraId="1D8B34F9">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900-0</w:t>
                  </w:r>
                  <w:r>
                    <w:rPr>
                      <w:color w:val="auto"/>
                      <w:spacing w:val="-6"/>
                      <w:szCs w:val="21"/>
                      <w:rFonts w:hint="eastAsia" w:eastAsiaTheme="minorEastAsia"/>
                    </w:rPr>
                    <w:t>39</w:t>
                  </w:r>
                  <w:r>
                    <w:rPr>
                      <w:color w:val="auto"/>
                      <w:spacing w:val="-6"/>
                      <w:szCs w:val="21"/>
                      <w:rFonts w:eastAsiaTheme="minorEastAsia"/>
                    </w:rPr>
                    <w:t>-49</w:t>
                  </w:r>
                </w:p>
              </w:tc>
              <w:tc>
                <w:tcPr>
                  <w:tcW w:w="410" w:type="pct"/>
                  <w:vAlign w:val="center"/>
                </w:tcPr>
                <w:p w14:paraId="31598B2D">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3.6</w:t>
                  </w:r>
                </w:p>
              </w:tc>
              <w:tc>
                <w:tcPr>
                  <w:tcW w:w="407" w:type="pct"/>
                  <w:vAlign w:val="center"/>
                </w:tcPr>
                <w:p w14:paraId="02255349">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废气净化装置</w:t>
                  </w:r>
                </w:p>
              </w:tc>
              <w:tc>
                <w:tcPr>
                  <w:tcW w:w="309" w:type="pct"/>
                  <w:vAlign w:val="center"/>
                </w:tcPr>
                <w:p w14:paraId="7F281B9F">
                  <w:pPr>
                    <w:pStyle w:val="90"/>
                    <w:contextualSpacing/>
                    <w:spacing w:line="240" w:lineRule="auto"/>
                    <w:rPr>
                      <w:color w:val="auto"/>
                      <w:spacing w:val="-6"/>
                      <w:sz w:val="21"/>
                      <w:kern w:val="2"/>
                      <w:szCs w:val="21"/>
                      <w:rFonts w:eastAsiaTheme="minorEastAsia"/>
                    </w:rPr>
                  </w:pPr>
                  <w:r>
                    <w:rPr>
                      <w:color w:val="auto"/>
                      <w:spacing w:val="-6"/>
                      <w:sz w:val="21"/>
                      <w:kern w:val="2"/>
                      <w:szCs w:val="21"/>
                      <w:rFonts w:eastAsiaTheme="minorEastAsia"/>
                    </w:rPr>
                    <w:t>固态</w:t>
                  </w:r>
                </w:p>
              </w:tc>
              <w:tc>
                <w:tcPr>
                  <w:tcW w:w="359" w:type="pct"/>
                  <w:vAlign w:val="center"/>
                </w:tcPr>
                <w:p w14:paraId="26E10BD0">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沥青烟</w:t>
                  </w:r>
                </w:p>
              </w:tc>
              <w:tc>
                <w:tcPr>
                  <w:tcW w:w="371" w:type="pct"/>
                  <w:vAlign w:val="center"/>
                </w:tcPr>
                <w:p w14:paraId="22BC050D">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苯并[a]芘</w:t>
                  </w:r>
                </w:p>
              </w:tc>
              <w:tc>
                <w:tcPr>
                  <w:tcW w:w="350" w:type="pct"/>
                  <w:vAlign w:val="center"/>
                </w:tcPr>
                <w:p w14:paraId="64B5376D">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eastAsiaTheme="minorEastAsia"/>
                    </w:rPr>
                    <w:t>1</w:t>
                  </w:r>
                  <w:r>
                    <w:rPr>
                      <w:color w:val="auto"/>
                      <w:spacing w:val="-6"/>
                      <w:sz w:val="21"/>
                      <w:kern w:val="2"/>
                      <w:szCs w:val="21"/>
                      <w:rFonts w:hint="eastAsia" w:eastAsiaTheme="minorEastAsia"/>
                    </w:rPr>
                    <w:t>月</w:t>
                  </w:r>
                </w:p>
              </w:tc>
              <w:tc>
                <w:tcPr>
                  <w:tcW w:w="320" w:type="pct"/>
                  <w:vAlign w:val="center"/>
                </w:tcPr>
                <w:p w14:paraId="3125125A">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毒性</w:t>
                  </w:r>
                </w:p>
              </w:tc>
              <w:tc>
                <w:tcPr>
                  <w:tcW w:w="592" w:type="pct"/>
                  <w:vMerge w:val="restart"/>
                  <w:vAlign w:val="center"/>
                </w:tcPr>
                <w:p w14:paraId="05C16244">
                  <w:pPr>
                    <w:pStyle w:val="90"/>
                    <w:spacing w:line="240" w:lineRule="auto"/>
                    <w:rPr>
                      <w:color w:val="auto"/>
                      <w:sz w:val="21"/>
                      <w:rFonts w:eastAsiaTheme="minorEastAsia"/>
                    </w:rPr>
                  </w:pPr>
                  <w:r>
                    <w:rPr>
                      <w:color w:val="auto"/>
                      <w:sz w:val="21"/>
                      <w:rFonts w:eastAsiaTheme="minorEastAsia"/>
                    </w:rPr>
                    <w:t>暂存于</w:t>
                  </w:r>
                  <w:r>
                    <w:rPr>
                      <w:color w:val="auto"/>
                      <w:sz w:val="21"/>
                      <w:rFonts w:hint="eastAsia" w:eastAsiaTheme="minorEastAsia"/>
                    </w:rPr>
                    <w:t>危废贮存</w:t>
                  </w:r>
                  <w:r>
                    <w:rPr>
                      <w:color w:val="auto"/>
                      <w:lang w:val="en-US" w:eastAsia="zh-CN"/>
                      <w:szCs w:val="21"/>
                      <w:rFonts w:hint="eastAsia" w:hAnsiTheme="minorEastAsia" w:eastAsiaTheme="minorEastAsia"/>
                    </w:rPr>
                    <w:t>点</w:t>
                  </w:r>
                  <w:r>
                    <w:rPr>
                      <w:color w:val="auto"/>
                      <w:sz w:val="21"/>
                      <w:rFonts w:eastAsiaTheme="minorEastAsia"/>
                    </w:rPr>
                    <w:t>，交有资质单位处置</w:t>
                  </w:r>
                </w:p>
              </w:tc>
            </w:tr>
            <w:tr w14:paraId="33D2E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2" w:hRule="atLeast"/>
              </w:trPr>
              <w:tc>
                <w:tcPr>
                  <w:tcW w:w="405" w:type="pct"/>
                  <w:vAlign w:val="center"/>
                </w:tcPr>
                <w:p w14:paraId="2BDAD37D">
                  <w:pPr>
                    <w:jc w:val="center"/>
                    <w:contextualSpacing/>
                    <w:spacing w:line="0" w:lineRule="atLeast"/>
                    <w:rPr>
                      <w:color w:val="auto"/>
                      <w:spacing w:val="-6"/>
                      <w:szCs w:val="21"/>
                      <w:rFonts w:eastAsiaTheme="minorEastAsia"/>
                    </w:rPr>
                  </w:pPr>
                  <w:r>
                    <w:rPr>
                      <w:color w:val="auto"/>
                      <w:spacing w:val="-6"/>
                      <w:szCs w:val="21"/>
                      <w:rFonts w:eastAsiaTheme="minorEastAsia"/>
                    </w:rPr>
                    <w:t>废导热油</w:t>
                  </w:r>
                </w:p>
              </w:tc>
              <w:tc>
                <w:tcPr>
                  <w:tcW w:w="806" w:type="pct"/>
                  <w:vAlign w:val="center"/>
                </w:tcPr>
                <w:p w14:paraId="724049BF">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HW08废矿物油与含矿物油废物</w:t>
                  </w:r>
                </w:p>
              </w:tc>
              <w:tc>
                <w:tcPr>
                  <w:tcW w:w="673" w:type="pct"/>
                  <w:vAlign w:val="center"/>
                </w:tcPr>
                <w:p w14:paraId="16B40365">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900-249-08</w:t>
                  </w:r>
                </w:p>
              </w:tc>
              <w:tc>
                <w:tcPr>
                  <w:tcW w:w="410" w:type="pct"/>
                  <w:vAlign w:val="center"/>
                </w:tcPr>
                <w:p w14:paraId="1CE21900">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3</w:t>
                  </w:r>
                </w:p>
              </w:tc>
              <w:tc>
                <w:tcPr>
                  <w:tcW w:w="407" w:type="pct"/>
                  <w:vAlign w:val="center"/>
                </w:tcPr>
                <w:p w14:paraId="16899AB4">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导热油炉</w:t>
                  </w:r>
                </w:p>
              </w:tc>
              <w:tc>
                <w:tcPr>
                  <w:tcW w:w="309" w:type="pct"/>
                  <w:vAlign w:val="center"/>
                </w:tcPr>
                <w:p w14:paraId="465C88D0">
                  <w:pPr>
                    <w:pStyle w:val="90"/>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液态</w:t>
                  </w:r>
                </w:p>
              </w:tc>
              <w:tc>
                <w:tcPr>
                  <w:tcW w:w="359" w:type="pct"/>
                  <w:vAlign w:val="center"/>
                </w:tcPr>
                <w:p w14:paraId="601511B7">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有机物</w:t>
                  </w:r>
                </w:p>
              </w:tc>
              <w:tc>
                <w:tcPr>
                  <w:tcW w:w="371" w:type="pct"/>
                  <w:vAlign w:val="center"/>
                </w:tcPr>
                <w:p w14:paraId="05D9DF72">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石油类</w:t>
                  </w:r>
                </w:p>
              </w:tc>
              <w:tc>
                <w:tcPr>
                  <w:tcW w:w="350" w:type="pct"/>
                  <w:vAlign w:val="center"/>
                </w:tcPr>
                <w:p w14:paraId="77F8A02A">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3年</w:t>
                  </w:r>
                </w:p>
              </w:tc>
              <w:tc>
                <w:tcPr>
                  <w:tcW w:w="320" w:type="pct"/>
                  <w:vAlign w:val="center"/>
                </w:tcPr>
                <w:p w14:paraId="03340886">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毒性</w:t>
                  </w:r>
                </w:p>
              </w:tc>
              <w:tc>
                <w:tcPr>
                  <w:tcW w:w="591" w:type="pct"/>
                  <w:vMerge w:val="continue"/>
                  <w:vAlign w:val="center"/>
                </w:tcPr>
                <w:p w14:paraId="1880F7E7">
                  <w:pPr>
                    <w:pStyle w:val="90"/>
                    <w:spacing w:line="240" w:lineRule="auto"/>
                    <w:ind w:firstLine="210"/>
                    <w:rPr>
                      <w:color w:val="auto"/>
                      <w:sz w:val="21"/>
                      <w:rFonts w:eastAsiaTheme="minorEastAsia"/>
                    </w:rPr>
                  </w:pPr>
                </w:p>
              </w:tc>
            </w:tr>
            <w:tr w14:paraId="326EA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2" w:hRule="atLeast"/>
              </w:trPr>
              <w:tc>
                <w:tcPr>
                  <w:tcW w:w="405" w:type="pct"/>
                  <w:vAlign w:val="center"/>
                </w:tcPr>
                <w:p w14:paraId="1297474C">
                  <w:pPr>
                    <w:jc w:val="center"/>
                    <w:contextualSpacing/>
                    <w:spacing w:line="0" w:lineRule="atLeast"/>
                    <w:rPr>
                      <w:color w:val="auto"/>
                      <w:spacing w:val="-6"/>
                      <w:szCs w:val="21"/>
                      <w:rFonts w:eastAsiaTheme="minorEastAsia"/>
                    </w:rPr>
                  </w:pPr>
                  <w:r>
                    <w:rPr>
                      <w:color w:val="auto"/>
                      <w:spacing w:val="-6"/>
                      <w:szCs w:val="21"/>
                      <w:rFonts w:hint="eastAsia" w:eastAsiaTheme="minorEastAsia"/>
                    </w:rPr>
                    <w:t>废油桶</w:t>
                  </w:r>
                </w:p>
              </w:tc>
              <w:tc>
                <w:tcPr>
                  <w:tcW w:w="806" w:type="pct"/>
                  <w:vAlign w:val="center"/>
                </w:tcPr>
                <w:p w14:paraId="6DD2CA2F">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HW08废矿物油与含矿物油废物</w:t>
                  </w:r>
                </w:p>
              </w:tc>
              <w:tc>
                <w:tcPr>
                  <w:tcW w:w="673" w:type="pct"/>
                  <w:vAlign w:val="center"/>
                </w:tcPr>
                <w:p w14:paraId="6D1555D1">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900-249-08</w:t>
                  </w:r>
                </w:p>
              </w:tc>
              <w:tc>
                <w:tcPr>
                  <w:tcW w:w="410" w:type="pct"/>
                  <w:vAlign w:val="center"/>
                </w:tcPr>
                <w:p w14:paraId="679F61A9">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0.3</w:t>
                  </w:r>
                </w:p>
              </w:tc>
              <w:tc>
                <w:tcPr>
                  <w:tcW w:w="407" w:type="pct"/>
                  <w:vAlign w:val="center"/>
                </w:tcPr>
                <w:p w14:paraId="644264E5">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导热油炉</w:t>
                  </w:r>
                </w:p>
              </w:tc>
              <w:tc>
                <w:tcPr>
                  <w:tcW w:w="309" w:type="pct"/>
                  <w:vAlign w:val="center"/>
                </w:tcPr>
                <w:p w14:paraId="674E83D9">
                  <w:pPr>
                    <w:pStyle w:val="90"/>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液态</w:t>
                  </w:r>
                </w:p>
              </w:tc>
              <w:tc>
                <w:tcPr>
                  <w:tcW w:w="359" w:type="pct"/>
                  <w:vAlign w:val="center"/>
                </w:tcPr>
                <w:p w14:paraId="6D3B555E">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有机物</w:t>
                  </w:r>
                </w:p>
              </w:tc>
              <w:tc>
                <w:tcPr>
                  <w:tcW w:w="371" w:type="pct"/>
                  <w:vAlign w:val="center"/>
                </w:tcPr>
                <w:p w14:paraId="1CC0950C">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石油类</w:t>
                  </w:r>
                </w:p>
              </w:tc>
              <w:tc>
                <w:tcPr>
                  <w:tcW w:w="350" w:type="pct"/>
                  <w:vAlign w:val="center"/>
                </w:tcPr>
                <w:p w14:paraId="671B8C9B">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3</w:t>
                  </w:r>
                  <w:r>
                    <w:rPr>
                      <w:color w:val="auto"/>
                      <w:spacing w:val="-6"/>
                      <w:sz w:val="21"/>
                      <w:kern w:val="2"/>
                      <w:szCs w:val="21"/>
                      <w:rFonts w:eastAsiaTheme="minorEastAsia"/>
                    </w:rPr>
                    <w:t>年</w:t>
                  </w:r>
                </w:p>
              </w:tc>
              <w:tc>
                <w:tcPr>
                  <w:tcW w:w="320" w:type="pct"/>
                  <w:vAlign w:val="center"/>
                </w:tcPr>
                <w:p w14:paraId="6C2D2AD8">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毒性</w:t>
                  </w:r>
                </w:p>
              </w:tc>
              <w:tc>
                <w:tcPr>
                  <w:tcW w:w="591" w:type="pct"/>
                  <w:vMerge w:val="continue"/>
                  <w:vAlign w:val="center"/>
                </w:tcPr>
                <w:p w14:paraId="194632E2">
                  <w:pPr>
                    <w:pStyle w:val="90"/>
                    <w:spacing w:line="240" w:lineRule="auto"/>
                    <w:ind w:firstLine="210"/>
                    <w:rPr>
                      <w:color w:val="auto"/>
                      <w:sz w:val="21"/>
                      <w:rFonts w:eastAsiaTheme="minorEastAsia"/>
                    </w:rPr>
                  </w:pPr>
                </w:p>
              </w:tc>
            </w:tr>
            <w:tr w14:paraId="65C08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92" w:hRule="atLeast"/>
              </w:trPr>
              <w:tc>
                <w:tcPr>
                  <w:tcW w:w="405" w:type="pct"/>
                  <w:vAlign w:val="center"/>
                </w:tcPr>
                <w:p w14:paraId="7E565337">
                  <w:pPr>
                    <w:jc w:val="center"/>
                    <w:contextualSpacing/>
                    <w:spacing w:line="0" w:lineRule="atLeast"/>
                    <w:rPr>
                      <w:color w:val="auto"/>
                      <w:spacing w:val="-6"/>
                      <w:szCs w:val="21"/>
                      <w:rFonts w:eastAsiaTheme="minorEastAsia"/>
                    </w:rPr>
                  </w:pPr>
                  <w:r>
                    <w:rPr>
                      <w:color w:val="auto"/>
                      <w:szCs w:val="21"/>
                      <w:rFonts w:hint="eastAsia" w:hAnsiTheme="minorEastAsia" w:eastAsiaTheme="minorEastAsia"/>
                    </w:rPr>
                    <w:t>初期雨水池油污</w:t>
                  </w:r>
                </w:p>
              </w:tc>
              <w:tc>
                <w:tcPr>
                  <w:tcW w:w="806" w:type="pct"/>
                  <w:vAlign w:val="center"/>
                </w:tcPr>
                <w:p w14:paraId="7CDE44E9">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HW08废矿物油与含矿物油废物</w:t>
                  </w:r>
                </w:p>
              </w:tc>
              <w:tc>
                <w:tcPr>
                  <w:tcW w:w="673" w:type="pct"/>
                  <w:vAlign w:val="center"/>
                </w:tcPr>
                <w:p w14:paraId="45B795A7">
                  <w:pPr>
                    <w:topLinePunct w:val="1"/>
                    <w:jc w:val="center"/>
                    <w:contextualSpacing/>
                    <w:spacing w:line="0" w:lineRule="atLeast"/>
                    <w:rPr>
                      <w:color w:val="auto"/>
                      <w:spacing w:val="-6"/>
                      <w:szCs w:val="21"/>
                      <w:rFonts w:eastAsiaTheme="minorEastAsia"/>
                    </w:rPr>
                  </w:pPr>
                  <w:r>
                    <w:rPr>
                      <w:color w:val="auto"/>
                      <w:spacing w:val="-6"/>
                      <w:szCs w:val="21"/>
                      <w:rFonts w:eastAsiaTheme="minorEastAsia"/>
                    </w:rPr>
                    <w:t>900-2</w:t>
                  </w:r>
                  <w:r>
                    <w:rPr>
                      <w:color w:val="auto"/>
                      <w:spacing w:val="-6"/>
                      <w:szCs w:val="21"/>
                      <w:rFonts w:hint="eastAsia" w:eastAsiaTheme="minorEastAsia"/>
                    </w:rPr>
                    <w:t>10</w:t>
                  </w:r>
                  <w:r>
                    <w:rPr>
                      <w:color w:val="auto"/>
                      <w:spacing w:val="-6"/>
                      <w:szCs w:val="21"/>
                      <w:rFonts w:eastAsiaTheme="minorEastAsia"/>
                    </w:rPr>
                    <w:t>-08</w:t>
                  </w:r>
                </w:p>
              </w:tc>
              <w:tc>
                <w:tcPr>
                  <w:tcW w:w="410" w:type="pct"/>
                  <w:vAlign w:val="center"/>
                </w:tcPr>
                <w:p w14:paraId="6899C062">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0.001</w:t>
                  </w:r>
                </w:p>
              </w:tc>
              <w:tc>
                <w:tcPr>
                  <w:tcW w:w="407" w:type="pct"/>
                  <w:vAlign w:val="center"/>
                </w:tcPr>
                <w:p w14:paraId="042DC438">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初期雨水池</w:t>
                  </w:r>
                </w:p>
              </w:tc>
              <w:tc>
                <w:tcPr>
                  <w:tcW w:w="309" w:type="pct"/>
                  <w:vAlign w:val="center"/>
                </w:tcPr>
                <w:p w14:paraId="273B3700">
                  <w:pPr>
                    <w:pStyle w:val="90"/>
                    <w:contextualSpacing/>
                    <w:spacing w:line="240" w:lineRule="auto"/>
                    <w:rPr>
                      <w:b w:val="1"/>
                      <w:color w:val="auto"/>
                      <w:spacing w:val="-6"/>
                      <w:sz w:val="21"/>
                      <w:kern w:val="2"/>
                      <w:szCs w:val="21"/>
                      <w:rFonts w:eastAsiaTheme="minorEastAsia"/>
                    </w:rPr>
                  </w:pPr>
                  <w:r>
                    <w:rPr>
                      <w:color w:val="auto"/>
                      <w:spacing w:val="-6"/>
                      <w:sz w:val="21"/>
                      <w:kern w:val="2"/>
                      <w:szCs w:val="21"/>
                      <w:rFonts w:hint="eastAsia" w:eastAsiaTheme="minorEastAsia"/>
                    </w:rPr>
                    <w:t>液态</w:t>
                  </w:r>
                </w:p>
              </w:tc>
              <w:tc>
                <w:tcPr>
                  <w:tcW w:w="359" w:type="pct"/>
                  <w:vAlign w:val="center"/>
                </w:tcPr>
                <w:p w14:paraId="30E5323A">
                  <w:pPr>
                    <w:widowControl w:val="1"/>
                    <w:jc w:val="center"/>
                    <w:contextualSpacing/>
                    <w:spacing w:line="240" w:lineRule="exact"/>
                    <w:rPr>
                      <w:color w:val="auto"/>
                      <w:spacing w:val="-6"/>
                      <w:szCs w:val="21"/>
                      <w:rFonts w:eastAsiaTheme="minorEastAsia"/>
                    </w:rPr>
                  </w:pPr>
                  <w:r>
                    <w:rPr>
                      <w:color w:val="auto"/>
                      <w:spacing w:val="-6"/>
                      <w:szCs w:val="21"/>
                      <w:rFonts w:hint="eastAsia" w:eastAsiaTheme="minorEastAsia"/>
                    </w:rPr>
                    <w:t>有机物</w:t>
                  </w:r>
                </w:p>
              </w:tc>
              <w:tc>
                <w:tcPr>
                  <w:tcW w:w="371" w:type="pct"/>
                  <w:vAlign w:val="center"/>
                </w:tcPr>
                <w:p w14:paraId="798607FD">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石油类</w:t>
                  </w:r>
                </w:p>
              </w:tc>
              <w:tc>
                <w:tcPr>
                  <w:tcW w:w="350" w:type="pct"/>
                  <w:vAlign w:val="center"/>
                </w:tcPr>
                <w:p w14:paraId="6282EE33">
                  <w:pPr>
                    <w:pStyle w:val="90"/>
                    <w:jc w:val="both"/>
                    <w:contextualSpacing/>
                    <w:spacing w:line="240" w:lineRule="auto"/>
                    <w:rPr>
                      <w:color w:val="auto"/>
                      <w:spacing w:val="-6"/>
                      <w:sz w:val="21"/>
                      <w:kern w:val="2"/>
                      <w:szCs w:val="21"/>
                      <w:rFonts w:eastAsiaTheme="minorEastAsia"/>
                    </w:rPr>
                  </w:pPr>
                  <w:r>
                    <w:rPr>
                      <w:color w:val="auto"/>
                      <w:spacing w:val="-6"/>
                      <w:sz w:val="21"/>
                      <w:kern w:val="2"/>
                      <w:szCs w:val="21"/>
                      <w:rFonts w:hint="eastAsia" w:eastAsiaTheme="minorEastAsia"/>
                    </w:rPr>
                    <w:t>1</w:t>
                  </w:r>
                  <w:r>
                    <w:rPr>
                      <w:color w:val="auto"/>
                      <w:spacing w:val="-6"/>
                      <w:sz w:val="21"/>
                      <w:kern w:val="2"/>
                      <w:szCs w:val="21"/>
                      <w:rFonts w:eastAsiaTheme="minorEastAsia"/>
                    </w:rPr>
                    <w:t>年</w:t>
                  </w:r>
                </w:p>
              </w:tc>
              <w:tc>
                <w:tcPr>
                  <w:tcW w:w="320" w:type="pct"/>
                  <w:vAlign w:val="center"/>
                </w:tcPr>
                <w:p w14:paraId="02BE6AD1">
                  <w:pPr>
                    <w:widowControl w:val="1"/>
                    <w:jc w:val="center"/>
                    <w:contextualSpacing/>
                    <w:spacing w:line="240" w:lineRule="exact"/>
                    <w:rPr>
                      <w:color w:val="auto"/>
                      <w:spacing w:val="-6"/>
                      <w:szCs w:val="21"/>
                      <w:rFonts w:eastAsiaTheme="minorEastAsia"/>
                    </w:rPr>
                  </w:pPr>
                  <w:r>
                    <w:rPr>
                      <w:color w:val="auto"/>
                      <w:spacing w:val="-6"/>
                      <w:szCs w:val="21"/>
                      <w:rFonts w:eastAsiaTheme="minorEastAsia"/>
                    </w:rPr>
                    <w:t>毒性</w:t>
                  </w:r>
                </w:p>
              </w:tc>
              <w:tc>
                <w:tcPr>
                  <w:tcW w:w="591" w:type="pct"/>
                  <w:vMerge w:val="continue"/>
                  <w:vAlign w:val="center"/>
                </w:tcPr>
                <w:p w14:paraId="270C695E">
                  <w:pPr>
                    <w:pStyle w:val="90"/>
                    <w:spacing w:line="240" w:lineRule="auto"/>
                    <w:ind w:firstLine="210"/>
                    <w:rPr>
                      <w:color w:val="auto"/>
                      <w:sz w:val="21"/>
                      <w:rFonts w:eastAsiaTheme="minorEastAsia"/>
                    </w:rPr>
                  </w:pPr>
                </w:p>
              </w:tc>
            </w:tr>
          </w:tbl>
          <w:p w14:paraId="6462507D">
            <w:pPr>
              <w:jc w:val="center"/>
              <w:spacing w:before="100"/>
              <w:ind w:firstLine="422"/>
              <w:rPr>
                <w:b w:val="1"/>
                <w:color w:val="auto"/>
                <w:sz w:val="24"/>
              </w:rPr>
            </w:pPr>
            <w:r>
              <w:rPr>
                <w:b w:val="1"/>
                <w:color w:val="auto"/>
                <w:sz w:val="24"/>
              </w:rPr>
              <w:t>表</w:t>
            </w:r>
            <w:r>
              <w:rPr>
                <w:b w:val="1"/>
                <w:color w:val="auto"/>
                <w:sz w:val="24"/>
                <w:rFonts w:hint="eastAsia"/>
              </w:rPr>
              <w:t>4-</w:t>
            </w:r>
            <w:r>
              <w:rPr>
                <w:b w:val="1"/>
                <w:color w:val="auto"/>
                <w:sz w:val="24"/>
                <w:lang w:val="en-US" w:eastAsia="zh-CN"/>
                <w:rFonts w:hint="eastAsia"/>
              </w:rPr>
              <w:t>12</w:t>
            </w:r>
            <w:r>
              <w:rPr>
                <w:b w:val="1"/>
                <w:color w:val="auto"/>
                <w:sz w:val="24"/>
              </w:rPr>
              <w:t xml:space="preserve"> 建设项目危险废物贮存场所基本情况表</w:t>
            </w:r>
          </w:p>
          <w:tbl>
            <w:tblPr>
              <w:tblStyle w:val="27"/>
              <w:tblW w:w="5000"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28.000000"/>
                <w:right w:type="dxa" w:w="28.000000"/>
              </w:tblCellMar>
            </w:tblPr>
            <w:tblGrid>
              <w:gridCol w:w="463.000000"/>
              <w:gridCol w:w="851.000000"/>
              <w:gridCol w:w="1136.000000"/>
              <w:gridCol w:w="1057.000000"/>
              <w:gridCol w:w="1248.000000"/>
              <w:gridCol w:w="604.000000"/>
              <w:gridCol w:w="695.000000"/>
              <w:gridCol w:w="1040.000000"/>
              <w:gridCol w:w="753.000000"/>
              <w:gridCol w:w="542.000000"/>
            </w:tblGrid>
            <w:tr w14:paraId="0DDCA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28.000000"/>
                  <w:right w:type="dxa" w:w="28.000000"/>
                </w:tblCellMar>
              </w:tblPrEx>
              <w:trPr>
                <w:cantSplit/>
                <w:trHeight w:val="360" w:hRule="atLeast"/>
                <w:jc w:val="center"/>
              </w:trPr>
              <w:tc>
                <w:tcPr>
                  <w:tcW w:w="276" w:type="pct"/>
                  <w:vAlign w:val="center"/>
                </w:tcPr>
                <w:p w14:paraId="5169517A">
                  <w:pPr>
                    <w:pStyle w:val="83"/>
                    <w:rPr>
                      <w:color w:val="auto"/>
                      <w:szCs w:val="21"/>
                    </w:rPr>
                  </w:pPr>
                  <w:r>
                    <w:rPr>
                      <w:color w:val="auto"/>
                      <w:sz w:val="21"/>
                      <w:szCs w:val="21"/>
                      <w:rFonts w:hint="eastAsia"/>
                    </w:rPr>
                    <w:t>序号</w:t>
                  </w:r>
                </w:p>
              </w:tc>
              <w:tc>
                <w:tcPr>
                  <w:tcW w:w="507" w:type="pct"/>
                  <w:vAlign w:val="center"/>
                </w:tcPr>
                <w:p w14:paraId="37C387FC">
                  <w:pPr>
                    <w:pStyle w:val="83"/>
                    <w:rPr>
                      <w:color w:val="auto"/>
                      <w:szCs w:val="21"/>
                    </w:rPr>
                  </w:pPr>
                  <w:r>
                    <w:rPr>
                      <w:color w:val="auto"/>
                      <w:sz w:val="21"/>
                      <w:szCs w:val="21"/>
                    </w:rPr>
                    <w:t>贮存场所名称</w:t>
                  </w:r>
                </w:p>
              </w:tc>
              <w:tc>
                <w:tcPr>
                  <w:tcW w:w="677" w:type="pct"/>
                  <w:vAlign w:val="center"/>
                </w:tcPr>
                <w:p w14:paraId="3F5D7FF5">
                  <w:pPr>
                    <w:pStyle w:val="83"/>
                    <w:rPr>
                      <w:color w:val="auto"/>
                      <w:szCs w:val="21"/>
                    </w:rPr>
                  </w:pPr>
                  <w:r>
                    <w:rPr>
                      <w:color w:val="auto"/>
                      <w:sz w:val="21"/>
                      <w:szCs w:val="21"/>
                    </w:rPr>
                    <w:t>危险废物名称</w:t>
                  </w:r>
                </w:p>
              </w:tc>
              <w:tc>
                <w:tcPr>
                  <w:tcW w:w="630" w:type="pct"/>
                  <w:vAlign w:val="center"/>
                </w:tcPr>
                <w:p w14:paraId="5854772F">
                  <w:pPr>
                    <w:pStyle w:val="83"/>
                    <w:rPr>
                      <w:color w:val="auto"/>
                      <w:szCs w:val="21"/>
                    </w:rPr>
                  </w:pPr>
                  <w:r>
                    <w:rPr>
                      <w:color w:val="auto"/>
                      <w:sz w:val="21"/>
                      <w:szCs w:val="21"/>
                    </w:rPr>
                    <w:t>危险废物类别</w:t>
                  </w:r>
                </w:p>
              </w:tc>
              <w:tc>
                <w:tcPr>
                  <w:tcW w:w="744" w:type="pct"/>
                  <w:vAlign w:val="center"/>
                </w:tcPr>
                <w:p w14:paraId="44919C36">
                  <w:pPr>
                    <w:pStyle w:val="83"/>
                    <w:rPr>
                      <w:color w:val="auto"/>
                      <w:szCs w:val="21"/>
                    </w:rPr>
                  </w:pPr>
                  <w:r>
                    <w:rPr>
                      <w:color w:val="auto"/>
                      <w:sz w:val="21"/>
                      <w:szCs w:val="21"/>
                    </w:rPr>
                    <w:t>危险废物代码</w:t>
                  </w:r>
                </w:p>
              </w:tc>
              <w:tc>
                <w:tcPr>
                  <w:tcW w:w="360" w:type="pct"/>
                  <w:vAlign w:val="center"/>
                </w:tcPr>
                <w:p w14:paraId="42C7822E">
                  <w:pPr>
                    <w:pStyle w:val="83"/>
                    <w:rPr>
                      <w:color w:val="auto"/>
                      <w:szCs w:val="21"/>
                    </w:rPr>
                  </w:pPr>
                  <w:r>
                    <w:rPr>
                      <w:color w:val="auto"/>
                      <w:sz w:val="21"/>
                      <w:szCs w:val="21"/>
                    </w:rPr>
                    <w:t>位置</w:t>
                  </w:r>
                </w:p>
              </w:tc>
              <w:tc>
                <w:tcPr>
                  <w:tcW w:w="414" w:type="pct"/>
                  <w:vAlign w:val="center"/>
                </w:tcPr>
                <w:p w14:paraId="75B4718F">
                  <w:pPr>
                    <w:pStyle w:val="83"/>
                    <w:rPr>
                      <w:color w:val="auto"/>
                      <w:szCs w:val="21"/>
                    </w:rPr>
                  </w:pPr>
                  <w:r>
                    <w:rPr>
                      <w:color w:val="auto"/>
                      <w:sz w:val="21"/>
                      <w:szCs w:val="21"/>
                    </w:rPr>
                    <w:t>建筑面积</w:t>
                  </w:r>
                </w:p>
              </w:tc>
              <w:tc>
                <w:tcPr>
                  <w:tcW w:w="620" w:type="pct"/>
                  <w:vAlign w:val="center"/>
                </w:tcPr>
                <w:p w14:paraId="4E0D37A5">
                  <w:pPr>
                    <w:pStyle w:val="83"/>
                    <w:rPr>
                      <w:color w:val="auto"/>
                      <w:szCs w:val="21"/>
                    </w:rPr>
                  </w:pPr>
                  <w:r>
                    <w:rPr>
                      <w:color w:val="auto"/>
                      <w:sz w:val="21"/>
                      <w:szCs w:val="21"/>
                    </w:rPr>
                    <w:t>贮存方式</w:t>
                  </w:r>
                </w:p>
              </w:tc>
              <w:tc>
                <w:tcPr>
                  <w:tcW w:w="449" w:type="pct"/>
                  <w:vAlign w:val="center"/>
                </w:tcPr>
                <w:p w14:paraId="33E79A63">
                  <w:pPr>
                    <w:pStyle w:val="83"/>
                    <w:rPr>
                      <w:color w:val="auto"/>
                      <w:szCs w:val="21"/>
                    </w:rPr>
                  </w:pPr>
                  <w:r>
                    <w:rPr>
                      <w:color w:val="auto"/>
                      <w:sz w:val="21"/>
                      <w:szCs w:val="21"/>
                    </w:rPr>
                    <w:t>贮存能力</w:t>
                  </w:r>
                </w:p>
              </w:tc>
              <w:tc>
                <w:tcPr>
                  <w:tcW w:w="323" w:type="pct"/>
                  <w:vAlign w:val="center"/>
                </w:tcPr>
                <w:p w14:paraId="18650EDB">
                  <w:pPr>
                    <w:pStyle w:val="83"/>
                    <w:rPr>
                      <w:color w:val="auto"/>
                      <w:szCs w:val="21"/>
                    </w:rPr>
                  </w:pPr>
                  <w:r>
                    <w:rPr>
                      <w:color w:val="auto"/>
                      <w:sz w:val="21"/>
                      <w:szCs w:val="21"/>
                    </w:rPr>
                    <w:t>贮存周期</w:t>
                  </w:r>
                </w:p>
              </w:tc>
            </w:tr>
            <w:tr w14:paraId="12D21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28.000000"/>
                  <w:right w:type="dxa" w:w="28.000000"/>
                </w:tblCellMar>
              </w:tblPrEx>
              <w:trPr>
                <w:cantSplit/>
                <w:trHeight w:val="609" w:hRule="atLeast"/>
                <w:jc w:val="center"/>
              </w:trPr>
              <w:tc>
                <w:tcPr>
                  <w:tcW w:w="276" w:type="pct"/>
                  <w:vMerge w:val="restart"/>
                  <w:vAlign w:val="center"/>
                </w:tcPr>
                <w:p w14:paraId="6BDB2CE2">
                  <w:pPr>
                    <w:pStyle w:val="83"/>
                    <w:rPr>
                      <w:color w:val="auto"/>
                      <w:szCs w:val="21"/>
                    </w:rPr>
                  </w:pPr>
                  <w:r>
                    <w:rPr>
                      <w:color w:val="auto"/>
                      <w:sz w:val="21"/>
                      <w:szCs w:val="21"/>
                      <w:rFonts w:hint="eastAsia"/>
                    </w:rPr>
                    <w:t>1</w:t>
                  </w:r>
                </w:p>
              </w:tc>
              <w:tc>
                <w:tcPr>
                  <w:tcW w:w="507" w:type="pct"/>
                  <w:vMerge w:val="restart"/>
                  <w:vAlign w:val="center"/>
                </w:tcPr>
                <w:p w14:paraId="4787A05C">
                  <w:pPr>
                    <w:pStyle w:val="83"/>
                    <w:rPr>
                      <w:color w:val="auto"/>
                      <w:lang w:eastAsia="zh-CN"/>
                      <w:szCs w:val="21"/>
                      <w:rFonts w:eastAsia="宋体" w:hint="eastAsia"/>
                    </w:rPr>
                  </w:pPr>
                  <w:r>
                    <w:rPr>
                      <w:color w:val="auto"/>
                      <w:sz w:val="21"/>
                      <w:szCs w:val="21"/>
                      <w:rFonts w:hint="eastAsia"/>
                    </w:rPr>
                    <w:t>危险废物贮存</w:t>
                  </w:r>
                  <w:r>
                    <w:rPr>
                      <w:color w:val="auto"/>
                      <w:sz w:val="21"/>
                      <w:lang w:val="en-US" w:eastAsia="zh-CN"/>
                      <w:szCs w:val="21"/>
                      <w:rFonts w:hint="eastAsia"/>
                    </w:rPr>
                    <w:t>点</w:t>
                  </w:r>
                </w:p>
              </w:tc>
              <w:tc>
                <w:tcPr>
                  <w:tcW w:w="677" w:type="pct"/>
                  <w:vAlign w:val="center"/>
                </w:tcPr>
                <w:p w14:paraId="432645C7">
                  <w:pPr>
                    <w:pStyle w:val="83"/>
                    <w:rPr>
                      <w:color w:val="auto"/>
                      <w:szCs w:val="21"/>
                    </w:rPr>
                  </w:pPr>
                  <w:r>
                    <w:rPr>
                      <w:color w:val="auto"/>
                      <w:sz w:val="21"/>
                      <w:szCs w:val="21"/>
                      <w:rFonts w:hint="eastAsia"/>
                    </w:rPr>
                    <w:t>废活性炭</w:t>
                  </w:r>
                </w:p>
              </w:tc>
              <w:tc>
                <w:tcPr>
                  <w:tcW w:w="630" w:type="pct"/>
                  <w:vAlign w:val="center"/>
                </w:tcPr>
                <w:p w14:paraId="19C9EF0B">
                  <w:pPr>
                    <w:pStyle w:val="83"/>
                    <w:rPr>
                      <w:color w:val="auto"/>
                      <w:szCs w:val="21"/>
                    </w:rPr>
                  </w:pPr>
                  <w:r>
                    <w:rPr>
                      <w:color w:val="auto"/>
                      <w:sz w:val="21"/>
                      <w:szCs w:val="21"/>
                      <w:rFonts w:hint="eastAsia"/>
                    </w:rPr>
                    <w:t>HW49</w:t>
                  </w:r>
                </w:p>
              </w:tc>
              <w:tc>
                <w:tcPr>
                  <w:tcW w:w="744" w:type="pct"/>
                  <w:vAlign w:val="center"/>
                </w:tcPr>
                <w:p w14:paraId="38E87692">
                  <w:pPr>
                    <w:pStyle w:val="83"/>
                    <w:rPr>
                      <w:color w:val="auto"/>
                      <w:szCs w:val="21"/>
                    </w:rPr>
                  </w:pPr>
                  <w:r>
                    <w:rPr>
                      <w:color w:val="auto"/>
                      <w:sz w:val="21"/>
                      <w:szCs w:val="21"/>
                      <w:rFonts w:hint="eastAsia"/>
                    </w:rPr>
                    <w:t>900-039-49</w:t>
                  </w:r>
                </w:p>
              </w:tc>
              <w:tc>
                <w:tcPr>
                  <w:tcW w:w="360" w:type="pct"/>
                  <w:vMerge w:val="restart"/>
                  <w:vAlign w:val="center"/>
                </w:tcPr>
                <w:p w14:paraId="777EB702">
                  <w:pPr>
                    <w:pStyle w:val="83"/>
                    <w:rPr>
                      <w:color w:val="auto"/>
                      <w:szCs w:val="21"/>
                    </w:rPr>
                  </w:pPr>
                  <w:r>
                    <w:rPr>
                      <w:color w:val="auto"/>
                      <w:sz w:val="21"/>
                      <w:szCs w:val="21"/>
                      <w:rFonts w:hint="eastAsia"/>
                    </w:rPr>
                    <w:t>位于厂区南侧</w:t>
                  </w:r>
                </w:p>
              </w:tc>
              <w:tc>
                <w:tcPr>
                  <w:tcW w:w="414" w:type="pct"/>
                  <w:vMerge w:val="restart"/>
                  <w:vAlign w:val="center"/>
                </w:tcPr>
                <w:p w14:paraId="6681DBFB">
                  <w:pPr>
                    <w:pStyle w:val="83"/>
                    <w:rPr>
                      <w:color w:val="auto"/>
                      <w:szCs w:val="21"/>
                    </w:rPr>
                  </w:pPr>
                  <w:r>
                    <w:rPr>
                      <w:color w:val="auto"/>
                      <w:sz w:val="21"/>
                      <w:szCs w:val="21"/>
                      <w:rFonts w:hint="eastAsia"/>
                    </w:rPr>
                    <w:t>15m</w:t>
                  </w:r>
                  <w:r>
                    <w:rPr>
                      <w:vertAlign w:val="superscript"/>
                      <w:color w:val="auto"/>
                      <w:sz w:val="21"/>
                      <w:szCs w:val="21"/>
                      <w:rFonts w:hint="eastAsia"/>
                    </w:rPr>
                    <w:t>2</w:t>
                  </w:r>
                </w:p>
              </w:tc>
              <w:tc>
                <w:tcPr>
                  <w:tcW w:w="620" w:type="pct"/>
                  <w:vMerge w:val="restart"/>
                  <w:vAlign w:val="center"/>
                </w:tcPr>
                <w:p w14:paraId="643C7C90">
                  <w:pPr>
                    <w:pStyle w:val="83"/>
                    <w:rPr>
                      <w:color w:val="auto"/>
                      <w:szCs w:val="21"/>
                    </w:rPr>
                  </w:pPr>
                  <w:r>
                    <w:rPr>
                      <w:color w:val="auto"/>
                      <w:sz w:val="21"/>
                      <w:szCs w:val="21"/>
                      <w:rFonts w:hint="eastAsia"/>
                    </w:rPr>
                    <w:t>采用专用桶装或袋装分类收集、暂存</w:t>
                  </w:r>
                </w:p>
              </w:tc>
              <w:tc>
                <w:tcPr>
                  <w:tcW w:w="449" w:type="pct"/>
                  <w:vMerge w:val="restart"/>
                  <w:vAlign w:val="center"/>
                </w:tcPr>
                <w:p w14:paraId="08B57E23">
                  <w:pPr>
                    <w:pStyle w:val="83"/>
                    <w:rPr>
                      <w:color w:val="auto"/>
                      <w:szCs w:val="21"/>
                    </w:rPr>
                  </w:pPr>
                  <w:r>
                    <w:rPr>
                      <w:color w:val="auto"/>
                      <w:sz w:val="21"/>
                      <w:szCs w:val="21"/>
                      <w:rFonts w:hint="eastAsia"/>
                    </w:rPr>
                    <w:t>3t</w:t>
                  </w:r>
                </w:p>
              </w:tc>
              <w:tc>
                <w:tcPr>
                  <w:tcW w:w="323" w:type="pct"/>
                  <w:vMerge w:val="restart"/>
                  <w:vAlign w:val="center"/>
                </w:tcPr>
                <w:p w14:paraId="5D8B2FDC">
                  <w:pPr>
                    <w:pStyle w:val="83"/>
                    <w:rPr>
                      <w:color w:val="auto"/>
                      <w:szCs w:val="21"/>
                    </w:rPr>
                  </w:pPr>
                  <w:r>
                    <w:rPr>
                      <w:color w:val="auto"/>
                      <w:sz w:val="21"/>
                      <w:szCs w:val="21"/>
                      <w:rFonts w:hint="eastAsia"/>
                    </w:rPr>
                    <w:t>1a</w:t>
                  </w:r>
                </w:p>
              </w:tc>
            </w:tr>
            <w:tr w14:paraId="75AD9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28.000000"/>
                  <w:right w:type="dxa" w:w="28.000000"/>
                </w:tblCellMar>
              </w:tblPrEx>
              <w:trPr>
                <w:cantSplit/>
                <w:trHeight w:val="608" w:hRule="atLeast"/>
                <w:jc w:val="center"/>
              </w:trPr>
              <w:tc>
                <w:tcPr>
                  <w:tcW w:w="276" w:type="pct"/>
                  <w:vMerge w:val="continue"/>
                  <w:vAlign w:val="center"/>
                </w:tcPr>
                <w:p w14:paraId="65DCC748">
                  <w:pPr>
                    <w:pStyle w:val="83"/>
                    <w:rPr>
                      <w:color w:val="auto"/>
                      <w:sz w:val="21"/>
                      <w:szCs w:val="21"/>
                    </w:rPr>
                  </w:pPr>
                </w:p>
              </w:tc>
              <w:tc>
                <w:tcPr>
                  <w:tcW w:w="507" w:type="pct"/>
                  <w:vMerge w:val="continue"/>
                  <w:vAlign w:val="center"/>
                </w:tcPr>
                <w:p w14:paraId="0A0D8FF6">
                  <w:pPr>
                    <w:pStyle w:val="83"/>
                    <w:rPr>
                      <w:color w:val="auto"/>
                      <w:sz w:val="21"/>
                      <w:szCs w:val="21"/>
                    </w:rPr>
                  </w:pPr>
                </w:p>
              </w:tc>
              <w:tc>
                <w:tcPr>
                  <w:tcW w:w="677" w:type="pct"/>
                  <w:vAlign w:val="center"/>
                </w:tcPr>
                <w:p w14:paraId="611DF5CB">
                  <w:pPr>
                    <w:pStyle w:val="83"/>
                    <w:rPr>
                      <w:color w:val="auto"/>
                      <w:sz w:val="21"/>
                      <w:szCs w:val="21"/>
                    </w:rPr>
                  </w:pPr>
                  <w:r>
                    <w:rPr>
                      <w:color w:val="auto"/>
                      <w:sz w:val="21"/>
                      <w:szCs w:val="21"/>
                      <w:rFonts w:hint="eastAsia"/>
                    </w:rPr>
                    <w:t>废导热油</w:t>
                  </w:r>
                </w:p>
              </w:tc>
              <w:tc>
                <w:tcPr>
                  <w:tcW w:w="630" w:type="pct"/>
                  <w:vAlign w:val="center"/>
                </w:tcPr>
                <w:p w14:paraId="46AC3506">
                  <w:pPr>
                    <w:pStyle w:val="83"/>
                    <w:rPr>
                      <w:color w:val="auto"/>
                      <w:sz w:val="21"/>
                      <w:szCs w:val="21"/>
                    </w:rPr>
                  </w:pPr>
                  <w:r>
                    <w:rPr>
                      <w:color w:val="auto"/>
                      <w:sz w:val="21"/>
                      <w:szCs w:val="21"/>
                      <w:rFonts w:hint="eastAsia"/>
                    </w:rPr>
                    <w:t>HW08</w:t>
                  </w:r>
                </w:p>
              </w:tc>
              <w:tc>
                <w:tcPr>
                  <w:tcW w:w="744" w:type="pct"/>
                  <w:vAlign w:val="center"/>
                </w:tcPr>
                <w:p w14:paraId="4372CD5B">
                  <w:pPr>
                    <w:pStyle w:val="83"/>
                    <w:rPr>
                      <w:color w:val="auto"/>
                      <w:sz w:val="21"/>
                      <w:szCs w:val="21"/>
                    </w:rPr>
                  </w:pPr>
                  <w:r>
                    <w:rPr>
                      <w:color w:val="auto"/>
                      <w:spacing w:val="-6"/>
                      <w:szCs w:val="21"/>
                      <w:rFonts w:eastAsiaTheme="minorEastAsia"/>
                    </w:rPr>
                    <w:t>900-249-08</w:t>
                  </w:r>
                </w:p>
              </w:tc>
              <w:tc>
                <w:tcPr>
                  <w:tcW w:w="360" w:type="pct"/>
                  <w:vMerge w:val="continue"/>
                  <w:vAlign w:val="center"/>
                </w:tcPr>
                <w:p w14:paraId="25A9837E">
                  <w:pPr>
                    <w:pStyle w:val="83"/>
                    <w:rPr>
                      <w:color w:val="auto"/>
                      <w:sz w:val="21"/>
                      <w:szCs w:val="21"/>
                    </w:rPr>
                  </w:pPr>
                </w:p>
              </w:tc>
              <w:tc>
                <w:tcPr>
                  <w:tcW w:w="414" w:type="pct"/>
                  <w:vMerge w:val="continue"/>
                  <w:vAlign w:val="center"/>
                </w:tcPr>
                <w:p w14:paraId="2C2D407E">
                  <w:pPr>
                    <w:pStyle w:val="83"/>
                    <w:rPr>
                      <w:color w:val="auto"/>
                      <w:sz w:val="21"/>
                      <w:szCs w:val="21"/>
                    </w:rPr>
                  </w:pPr>
                </w:p>
              </w:tc>
              <w:tc>
                <w:tcPr>
                  <w:tcW w:w="620" w:type="pct"/>
                  <w:vMerge w:val="continue"/>
                  <w:vAlign w:val="center"/>
                </w:tcPr>
                <w:p w14:paraId="73FCBFCC">
                  <w:pPr>
                    <w:pStyle w:val="83"/>
                    <w:rPr>
                      <w:color w:val="auto"/>
                      <w:sz w:val="21"/>
                      <w:szCs w:val="21"/>
                    </w:rPr>
                  </w:pPr>
                </w:p>
              </w:tc>
              <w:tc>
                <w:tcPr>
                  <w:tcW w:w="449" w:type="pct"/>
                  <w:vMerge w:val="continue"/>
                  <w:vAlign w:val="center"/>
                </w:tcPr>
                <w:p w14:paraId="528C76A5">
                  <w:pPr>
                    <w:pStyle w:val="83"/>
                    <w:rPr>
                      <w:color w:val="auto"/>
                      <w:sz w:val="21"/>
                      <w:szCs w:val="21"/>
                    </w:rPr>
                  </w:pPr>
                </w:p>
              </w:tc>
              <w:tc>
                <w:tcPr>
                  <w:tcW w:w="323" w:type="pct"/>
                  <w:vMerge w:val="continue"/>
                  <w:vAlign w:val="center"/>
                </w:tcPr>
                <w:p w14:paraId="14C6DD02">
                  <w:pPr>
                    <w:pStyle w:val="83"/>
                    <w:rPr>
                      <w:color w:val="auto"/>
                      <w:sz w:val="21"/>
                      <w:szCs w:val="21"/>
                    </w:rPr>
                  </w:pPr>
                </w:p>
              </w:tc>
            </w:tr>
            <w:tr w14:paraId="55377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28.000000"/>
                  <w:right w:type="dxa" w:w="28.000000"/>
                </w:tblCellMar>
              </w:tblPrEx>
              <w:trPr>
                <w:cantSplit/>
                <w:trHeight w:val="608" w:hRule="atLeast"/>
                <w:jc w:val="center"/>
              </w:trPr>
              <w:tc>
                <w:tcPr>
                  <w:tcW w:w="276" w:type="pct"/>
                  <w:vMerge w:val="continue"/>
                  <w:vAlign w:val="center"/>
                </w:tcPr>
                <w:p w14:paraId="12FBCEFA">
                  <w:pPr>
                    <w:pStyle w:val="83"/>
                    <w:rPr>
                      <w:color w:val="auto"/>
                      <w:sz w:val="21"/>
                      <w:szCs w:val="21"/>
                    </w:rPr>
                  </w:pPr>
                </w:p>
              </w:tc>
              <w:tc>
                <w:tcPr>
                  <w:tcW w:w="507" w:type="pct"/>
                  <w:vMerge w:val="continue"/>
                  <w:vAlign w:val="center"/>
                </w:tcPr>
                <w:p w14:paraId="6A58D02D">
                  <w:pPr>
                    <w:pStyle w:val="83"/>
                    <w:rPr>
                      <w:color w:val="auto"/>
                      <w:sz w:val="21"/>
                      <w:szCs w:val="21"/>
                    </w:rPr>
                  </w:pPr>
                </w:p>
              </w:tc>
              <w:tc>
                <w:tcPr>
                  <w:tcW w:w="677" w:type="pct"/>
                  <w:vAlign w:val="center"/>
                </w:tcPr>
                <w:p w14:paraId="539F7823">
                  <w:pPr>
                    <w:pStyle w:val="83"/>
                    <w:rPr>
                      <w:color w:val="auto"/>
                      <w:sz w:val="21"/>
                      <w:szCs w:val="21"/>
                    </w:rPr>
                  </w:pPr>
                  <w:r>
                    <w:rPr>
                      <w:color w:val="auto"/>
                      <w:sz w:val="21"/>
                      <w:szCs w:val="21"/>
                      <w:rFonts w:hint="eastAsia"/>
                    </w:rPr>
                    <w:t>废油桶</w:t>
                  </w:r>
                </w:p>
              </w:tc>
              <w:tc>
                <w:tcPr>
                  <w:tcW w:w="630" w:type="pct"/>
                  <w:vAlign w:val="center"/>
                </w:tcPr>
                <w:p w14:paraId="16E205D9">
                  <w:pPr>
                    <w:pStyle w:val="83"/>
                    <w:rPr>
                      <w:color w:val="auto"/>
                      <w:sz w:val="21"/>
                      <w:szCs w:val="21"/>
                    </w:rPr>
                  </w:pPr>
                  <w:r>
                    <w:rPr>
                      <w:color w:val="auto"/>
                      <w:sz w:val="21"/>
                      <w:szCs w:val="21"/>
                      <w:rFonts w:hint="eastAsia"/>
                    </w:rPr>
                    <w:t>HW08</w:t>
                  </w:r>
                </w:p>
              </w:tc>
              <w:tc>
                <w:tcPr>
                  <w:tcW w:w="744" w:type="pct"/>
                  <w:vAlign w:val="center"/>
                </w:tcPr>
                <w:p w14:paraId="30FB86D1">
                  <w:pPr>
                    <w:pStyle w:val="83"/>
                    <w:rPr>
                      <w:color w:val="auto"/>
                      <w:sz w:val="21"/>
                      <w:szCs w:val="21"/>
                    </w:rPr>
                  </w:pPr>
                  <w:r>
                    <w:rPr>
                      <w:color w:val="auto"/>
                      <w:spacing w:val="-6"/>
                      <w:szCs w:val="21"/>
                      <w:rFonts w:eastAsiaTheme="minorEastAsia"/>
                    </w:rPr>
                    <w:t>900-249-08</w:t>
                  </w:r>
                </w:p>
              </w:tc>
              <w:tc>
                <w:tcPr>
                  <w:tcW w:w="360" w:type="pct"/>
                  <w:vMerge w:val="continue"/>
                  <w:vAlign w:val="center"/>
                </w:tcPr>
                <w:p w14:paraId="64CD0FB7">
                  <w:pPr>
                    <w:pStyle w:val="83"/>
                    <w:rPr>
                      <w:color w:val="auto"/>
                      <w:sz w:val="21"/>
                      <w:szCs w:val="21"/>
                    </w:rPr>
                  </w:pPr>
                </w:p>
              </w:tc>
              <w:tc>
                <w:tcPr>
                  <w:tcW w:w="414" w:type="pct"/>
                  <w:vMerge w:val="continue"/>
                  <w:vAlign w:val="center"/>
                </w:tcPr>
                <w:p w14:paraId="4E20C28B">
                  <w:pPr>
                    <w:pStyle w:val="83"/>
                    <w:rPr>
                      <w:color w:val="auto"/>
                      <w:sz w:val="21"/>
                      <w:szCs w:val="21"/>
                    </w:rPr>
                  </w:pPr>
                </w:p>
              </w:tc>
              <w:tc>
                <w:tcPr>
                  <w:tcW w:w="620" w:type="pct"/>
                  <w:vMerge w:val="continue"/>
                  <w:vAlign w:val="center"/>
                </w:tcPr>
                <w:p w14:paraId="548A0F01">
                  <w:pPr>
                    <w:pStyle w:val="83"/>
                    <w:rPr>
                      <w:color w:val="auto"/>
                      <w:sz w:val="21"/>
                      <w:szCs w:val="21"/>
                    </w:rPr>
                  </w:pPr>
                </w:p>
              </w:tc>
              <w:tc>
                <w:tcPr>
                  <w:tcW w:w="449" w:type="pct"/>
                  <w:vMerge w:val="continue"/>
                  <w:vAlign w:val="center"/>
                </w:tcPr>
                <w:p w14:paraId="23CEB606">
                  <w:pPr>
                    <w:pStyle w:val="83"/>
                    <w:rPr>
                      <w:color w:val="auto"/>
                      <w:sz w:val="21"/>
                      <w:szCs w:val="21"/>
                    </w:rPr>
                  </w:pPr>
                </w:p>
              </w:tc>
              <w:tc>
                <w:tcPr>
                  <w:tcW w:w="323" w:type="pct"/>
                  <w:vMerge w:val="continue"/>
                  <w:vAlign w:val="center"/>
                </w:tcPr>
                <w:p w14:paraId="79D410C5">
                  <w:pPr>
                    <w:pStyle w:val="83"/>
                    <w:rPr>
                      <w:color w:val="auto"/>
                      <w:sz w:val="21"/>
                      <w:szCs w:val="21"/>
                    </w:rPr>
                  </w:pPr>
                </w:p>
              </w:tc>
            </w:tr>
            <w:tr w14:paraId="7C08F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28.000000"/>
                  <w:right w:type="dxa" w:w="28.000000"/>
                </w:tblCellMar>
              </w:tblPrEx>
              <w:trPr>
                <w:cantSplit/>
                <w:trHeight w:val="608" w:hRule="atLeast"/>
                <w:jc w:val="center"/>
              </w:trPr>
              <w:tc>
                <w:tcPr>
                  <w:tcW w:w="276" w:type="pct"/>
                  <w:vMerge w:val="continue"/>
                  <w:vAlign w:val="center"/>
                </w:tcPr>
                <w:p w14:paraId="794C90C1">
                  <w:pPr>
                    <w:pStyle w:val="83"/>
                    <w:rPr>
                      <w:color w:val="auto"/>
                      <w:sz w:val="21"/>
                      <w:szCs w:val="21"/>
                    </w:rPr>
                  </w:pPr>
                </w:p>
              </w:tc>
              <w:tc>
                <w:tcPr>
                  <w:tcW w:w="507" w:type="pct"/>
                  <w:vMerge w:val="continue"/>
                  <w:vAlign w:val="center"/>
                </w:tcPr>
                <w:p w14:paraId="0EE0890B">
                  <w:pPr>
                    <w:pStyle w:val="83"/>
                    <w:rPr>
                      <w:color w:val="auto"/>
                      <w:sz w:val="21"/>
                      <w:szCs w:val="21"/>
                    </w:rPr>
                  </w:pPr>
                </w:p>
              </w:tc>
              <w:tc>
                <w:tcPr>
                  <w:tcW w:w="677" w:type="pct"/>
                  <w:vAlign w:val="center"/>
                </w:tcPr>
                <w:p w14:paraId="2FEC1891">
                  <w:pPr>
                    <w:pStyle w:val="83"/>
                    <w:rPr>
                      <w:color w:val="auto"/>
                      <w:sz w:val="21"/>
                      <w:szCs w:val="21"/>
                    </w:rPr>
                  </w:pPr>
                  <w:r>
                    <w:rPr>
                      <w:color w:val="auto"/>
                      <w:szCs w:val="21"/>
                      <w:rFonts w:hint="eastAsia" w:hAnsiTheme="minorEastAsia" w:eastAsiaTheme="minorEastAsia"/>
                    </w:rPr>
                    <w:t>初期雨水池油污</w:t>
                  </w:r>
                </w:p>
              </w:tc>
              <w:tc>
                <w:tcPr>
                  <w:tcW w:w="630" w:type="pct"/>
                  <w:vAlign w:val="center"/>
                </w:tcPr>
                <w:p w14:paraId="51C4E5BA">
                  <w:pPr>
                    <w:pStyle w:val="83"/>
                    <w:rPr>
                      <w:color w:val="auto"/>
                      <w:sz w:val="21"/>
                      <w:szCs w:val="21"/>
                    </w:rPr>
                  </w:pPr>
                  <w:r>
                    <w:rPr>
                      <w:color w:val="auto"/>
                      <w:sz w:val="21"/>
                      <w:szCs w:val="21"/>
                      <w:rFonts w:hint="eastAsia"/>
                    </w:rPr>
                    <w:t>HW08</w:t>
                  </w:r>
                </w:p>
              </w:tc>
              <w:tc>
                <w:tcPr>
                  <w:tcW w:w="744" w:type="pct"/>
                  <w:vAlign w:val="center"/>
                </w:tcPr>
                <w:p w14:paraId="62CB8D77">
                  <w:pPr>
                    <w:pStyle w:val="83"/>
                    <w:rPr>
                      <w:color w:val="auto"/>
                      <w:sz w:val="21"/>
                      <w:szCs w:val="21"/>
                    </w:rPr>
                  </w:pPr>
                  <w:r>
                    <w:rPr>
                      <w:color w:val="auto"/>
                      <w:spacing w:val="-6"/>
                      <w:szCs w:val="21"/>
                      <w:rFonts w:eastAsiaTheme="minorEastAsia"/>
                    </w:rPr>
                    <w:t>900-2</w:t>
                  </w:r>
                  <w:r>
                    <w:rPr>
                      <w:color w:val="auto"/>
                      <w:spacing w:val="-6"/>
                      <w:szCs w:val="21"/>
                      <w:rFonts w:hint="eastAsia" w:eastAsiaTheme="minorEastAsia"/>
                    </w:rPr>
                    <w:t>10</w:t>
                  </w:r>
                  <w:r>
                    <w:rPr>
                      <w:color w:val="auto"/>
                      <w:spacing w:val="-6"/>
                      <w:szCs w:val="21"/>
                      <w:rFonts w:eastAsiaTheme="minorEastAsia"/>
                    </w:rPr>
                    <w:t>-08</w:t>
                  </w:r>
                </w:p>
              </w:tc>
              <w:tc>
                <w:tcPr>
                  <w:tcW w:w="360" w:type="pct"/>
                  <w:vMerge w:val="continue"/>
                  <w:vAlign w:val="center"/>
                </w:tcPr>
                <w:p w14:paraId="54907360">
                  <w:pPr>
                    <w:pStyle w:val="83"/>
                    <w:rPr>
                      <w:color w:val="auto"/>
                      <w:sz w:val="21"/>
                      <w:szCs w:val="21"/>
                    </w:rPr>
                  </w:pPr>
                </w:p>
              </w:tc>
              <w:tc>
                <w:tcPr>
                  <w:tcW w:w="414" w:type="pct"/>
                  <w:vMerge w:val="continue"/>
                  <w:vAlign w:val="center"/>
                </w:tcPr>
                <w:p w14:paraId="78A365BA">
                  <w:pPr>
                    <w:pStyle w:val="83"/>
                    <w:rPr>
                      <w:color w:val="auto"/>
                      <w:sz w:val="21"/>
                      <w:szCs w:val="21"/>
                    </w:rPr>
                  </w:pPr>
                </w:p>
              </w:tc>
              <w:tc>
                <w:tcPr>
                  <w:tcW w:w="620" w:type="pct"/>
                  <w:vMerge w:val="continue"/>
                  <w:vAlign w:val="center"/>
                </w:tcPr>
                <w:p w14:paraId="74ADC164">
                  <w:pPr>
                    <w:pStyle w:val="83"/>
                    <w:rPr>
                      <w:color w:val="auto"/>
                      <w:sz w:val="21"/>
                      <w:szCs w:val="21"/>
                    </w:rPr>
                  </w:pPr>
                </w:p>
              </w:tc>
              <w:tc>
                <w:tcPr>
                  <w:tcW w:w="449" w:type="pct"/>
                  <w:vMerge w:val="continue"/>
                  <w:vAlign w:val="center"/>
                </w:tcPr>
                <w:p w14:paraId="285D8C4B">
                  <w:pPr>
                    <w:pStyle w:val="83"/>
                    <w:rPr>
                      <w:color w:val="auto"/>
                      <w:sz w:val="21"/>
                      <w:szCs w:val="21"/>
                    </w:rPr>
                  </w:pPr>
                </w:p>
              </w:tc>
              <w:tc>
                <w:tcPr>
                  <w:tcW w:w="323" w:type="pct"/>
                  <w:vMerge w:val="continue"/>
                  <w:vAlign w:val="center"/>
                </w:tcPr>
                <w:p w14:paraId="43B5C8BD">
                  <w:pPr>
                    <w:pStyle w:val="83"/>
                    <w:rPr>
                      <w:color w:val="auto"/>
                      <w:sz w:val="21"/>
                      <w:szCs w:val="21"/>
                    </w:rPr>
                  </w:pPr>
                </w:p>
              </w:tc>
            </w:tr>
          </w:tbl>
          <w:p w14:paraId="1E7F67B8">
            <w:pPr>
              <w:contextualSpacing/>
              <w:spacing w:line="360" w:lineRule="auto"/>
              <w:ind w:firstLine="482" w:firstLineChars="200"/>
              <w:rPr>
                <w:b w:val="1"/>
                <w:color w:val="auto"/>
                <w:sz w:val="24"/>
                <w:bCs/>
              </w:rPr>
            </w:pPr>
            <w:r>
              <w:rPr>
                <w:b w:val="1"/>
                <w:color w:val="auto"/>
                <w:sz w:val="24"/>
                <w:bCs/>
              </w:rPr>
              <w:t>2、环境管理要求</w:t>
            </w:r>
          </w:p>
          <w:p w14:paraId="325F5E95">
            <w:pPr>
              <w:contextualSpacing/>
              <w:spacing w:line="360" w:lineRule="auto"/>
              <w:ind w:firstLine="480" w:firstLineChars="200"/>
              <w:rPr>
                <w:color w:val="auto"/>
                <w:sz w:val="24"/>
                <w:szCs w:val="22"/>
              </w:rPr>
            </w:pPr>
            <w:r>
              <w:rPr>
                <w:color w:val="auto"/>
                <w:sz w:val="24"/>
                <w:szCs w:val="22"/>
              </w:rPr>
              <w:t>（1）工业固体废物</w:t>
            </w:r>
          </w:p>
          <w:p w14:paraId="1F07FBE8">
            <w:pPr>
              <w:contextualSpacing/>
              <w:spacing w:line="360" w:lineRule="auto"/>
              <w:ind w:firstLine="480" w:firstLineChars="200"/>
              <w:rPr>
                <w:color w:val="auto"/>
                <w:sz w:val="24"/>
                <w:szCs w:val="22"/>
              </w:rPr>
            </w:pPr>
            <w:r>
              <w:rPr>
                <w:color w:val="auto"/>
                <w:sz w:val="24"/>
                <w:szCs w:val="22"/>
                <w:rFonts w:asciiTheme="minorEastAsia" w:hAnsiTheme="minorEastAsia" w:eastAsiaTheme="minorEastAsia"/>
              </w:rPr>
              <w:fldChar w:fldCharType="begin"/>
            </w:r>
            <w:r>
              <w:rPr>
                <w:color w:val="auto"/>
                <w:sz w:val="24"/>
                <w:szCs w:val="22"/>
                <w:rFonts w:asciiTheme="minorEastAsia" w:hAnsiTheme="minorEastAsia" w:eastAsiaTheme="minorEastAsia"/>
              </w:rPr>
              <w:instrText xml:space="preserve"> = 1 \* GB3 </w:instrText>
            </w:r>
            <w:r>
              <w:rPr>
                <w:color w:val="auto"/>
                <w:sz w:val="24"/>
                <w:szCs w:val="22"/>
                <w:rFonts w:asciiTheme="minorEastAsia" w:hAnsiTheme="minorEastAsia" w:eastAsiaTheme="minorEastAsia"/>
              </w:rPr>
              <w:fldChar w:fldCharType="separate"/>
            </w:r>
            <w:r>
              <w:rPr>
                <w:color w:val="auto"/>
                <w:sz w:val="24"/>
                <w:szCs w:val="22"/>
                <w:rFonts w:asciiTheme="minorEastAsia" w:hAnsiTheme="minorEastAsia" w:eastAsiaTheme="minorEastAsia"/>
              </w:rPr>
              <w:t>①</w:t>
            </w:r>
            <w:r>
              <w:rPr>
                <w:color w:val="auto"/>
                <w:sz w:val="24"/>
                <w:szCs w:val="22"/>
                <w:rFonts w:asciiTheme="minorEastAsia" w:hAnsiTheme="minorEastAsia" w:eastAsiaTheme="minorEastAsia"/>
              </w:rPr>
              <w:fldChar w:fldCharType="end"/>
            </w:r>
            <w:r>
              <w:rPr>
                <w:color w:val="auto"/>
                <w:sz w:val="24"/>
                <w:szCs w:val="22"/>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642508E6">
            <w:pPr>
              <w:contextualSpacing/>
              <w:spacing w:line="360" w:lineRule="auto"/>
              <w:ind w:firstLine="480" w:firstLineChars="200"/>
              <w:rPr>
                <w:color w:val="auto"/>
                <w:sz w:val="24"/>
                <w:szCs w:val="22"/>
              </w:rPr>
            </w:pPr>
            <w:r>
              <w:rPr>
                <w:color w:val="auto"/>
                <w:sz w:val="24"/>
                <w:szCs w:val="22"/>
                <w:rFonts w:asciiTheme="minorEastAsia" w:hAnsiTheme="minorEastAsia" w:eastAsiaTheme="minorEastAsia"/>
              </w:rPr>
              <w:fldChar w:fldCharType="begin"/>
            </w:r>
            <w:r>
              <w:rPr>
                <w:color w:val="auto"/>
                <w:sz w:val="24"/>
                <w:szCs w:val="22"/>
                <w:rFonts w:asciiTheme="minorEastAsia" w:hAnsiTheme="minorEastAsia" w:eastAsiaTheme="minorEastAsia"/>
              </w:rPr>
              <w:instrText xml:space="preserve"> = 2 \* GB3 </w:instrText>
            </w:r>
            <w:r>
              <w:rPr>
                <w:color w:val="auto"/>
                <w:sz w:val="24"/>
                <w:szCs w:val="22"/>
                <w:rFonts w:asciiTheme="minorEastAsia" w:hAnsiTheme="minorEastAsia" w:eastAsiaTheme="minorEastAsia"/>
              </w:rPr>
              <w:fldChar w:fldCharType="separate"/>
            </w:r>
            <w:r>
              <w:rPr>
                <w:color w:val="auto"/>
                <w:sz w:val="24"/>
                <w:szCs w:val="22"/>
                <w:rFonts w:asciiTheme="minorEastAsia" w:hAnsiTheme="minorEastAsia" w:eastAsiaTheme="minorEastAsia"/>
              </w:rPr>
              <w:t>②</w:t>
            </w:r>
            <w:r>
              <w:rPr>
                <w:color w:val="auto"/>
                <w:sz w:val="24"/>
                <w:szCs w:val="22"/>
                <w:rFonts w:asciiTheme="minorEastAsia" w:hAnsiTheme="minorEastAsia" w:eastAsiaTheme="minorEastAsia"/>
              </w:rPr>
              <w:fldChar w:fldCharType="end"/>
            </w:r>
            <w:r>
              <w:rPr>
                <w:color w:val="auto"/>
                <w:sz w:val="24"/>
                <w:szCs w:val="22"/>
              </w:rPr>
              <w:t>禁止向生活垃圾收集设施中投放工业固体废物。</w:t>
            </w:r>
          </w:p>
          <w:p w14:paraId="311D494B">
            <w:pPr>
              <w:autoSpaceDE w:val="0"/>
              <w:autoSpaceDN w:val="0"/>
              <w:contextualSpacing/>
              <w:spacing w:line="360" w:lineRule="auto"/>
              <w:ind w:firstLine="480" w:firstLineChars="200"/>
              <w:rPr>
                <w:color w:val="auto"/>
                <w:sz w:val="24"/>
                <w:bCs/>
              </w:rPr>
            </w:pPr>
            <w:r>
              <w:rPr>
                <w:color w:val="auto"/>
                <w:sz w:val="24"/>
                <w:szCs w:val="22"/>
                <w:rFonts w:asciiTheme="minorEastAsia" w:hAnsiTheme="minorEastAsia" w:eastAsiaTheme="minorEastAsia"/>
              </w:rPr>
              <w:fldChar w:fldCharType="begin"/>
            </w:r>
            <w:r>
              <w:rPr>
                <w:color w:val="auto"/>
                <w:sz w:val="24"/>
                <w:szCs w:val="22"/>
                <w:rFonts w:asciiTheme="minorEastAsia" w:hAnsiTheme="minorEastAsia" w:eastAsiaTheme="minorEastAsia"/>
              </w:rPr>
              <w:instrText xml:space="preserve"> = 3 \* GB3 </w:instrText>
            </w:r>
            <w:r>
              <w:rPr>
                <w:color w:val="auto"/>
                <w:sz w:val="24"/>
                <w:szCs w:val="22"/>
                <w:rFonts w:asciiTheme="minorEastAsia" w:hAnsiTheme="minorEastAsia" w:eastAsiaTheme="minorEastAsia"/>
              </w:rPr>
              <w:fldChar w:fldCharType="separate"/>
            </w:r>
            <w:r>
              <w:rPr>
                <w:color w:val="auto"/>
                <w:sz w:val="24"/>
                <w:szCs w:val="22"/>
                <w:rFonts w:asciiTheme="minorEastAsia" w:hAnsiTheme="minorEastAsia" w:eastAsiaTheme="minorEastAsia"/>
              </w:rPr>
              <w:t>③</w:t>
            </w:r>
            <w:r>
              <w:rPr>
                <w:color w:val="auto"/>
                <w:sz w:val="24"/>
                <w:szCs w:val="22"/>
                <w:rFonts w:asciiTheme="minorEastAsia" w:hAnsiTheme="minorEastAsia" w:eastAsiaTheme="minorEastAsia"/>
              </w:rPr>
              <w:fldChar w:fldCharType="end"/>
            </w:r>
            <w:r>
              <w:rPr>
                <w:color w:val="auto"/>
                <w:sz w:val="24"/>
                <w:szCs w:val="22"/>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r>
              <w:rPr>
                <w:color w:val="auto"/>
                <w:sz w:val="24"/>
                <w:bCs/>
              </w:rPr>
              <w:t>。</w:t>
            </w:r>
          </w:p>
          <w:p w14:paraId="0E1A20B8">
            <w:pPr>
              <w:autoSpaceDE w:val="0"/>
              <w:autoSpaceDN w:val="0"/>
              <w:contextualSpacing/>
              <w:spacing w:line="360" w:lineRule="auto"/>
              <w:ind w:firstLine="480" w:firstLineChars="200"/>
              <w:rPr>
                <w:color w:val="auto"/>
                <w:sz w:val="24"/>
                <w:bCs/>
              </w:rPr>
            </w:pPr>
            <w:r>
              <w:rPr>
                <w:color w:val="auto"/>
                <w:sz w:val="24"/>
                <w:bCs/>
              </w:rPr>
              <w:t>（2）生活垃圾</w:t>
            </w:r>
          </w:p>
          <w:p w14:paraId="597D2B20">
            <w:pPr>
              <w:contextualSpacing/>
              <w:spacing w:line="360" w:lineRule="auto"/>
              <w:ind w:firstLine="480" w:firstLineChars="200"/>
              <w:rPr>
                <w:color w:val="auto"/>
                <w:sz w:val="24"/>
                <w:szCs w:val="22"/>
              </w:rPr>
            </w:pPr>
            <w:r>
              <w:rPr>
                <w:color w:val="auto"/>
                <w:sz w:val="24"/>
                <w:szCs w:val="22"/>
                <w:rFonts w:asciiTheme="minorEastAsia" w:hAnsiTheme="minorEastAsia" w:eastAsiaTheme="minorEastAsia"/>
              </w:rPr>
              <w:fldChar w:fldCharType="begin"/>
            </w:r>
            <w:r>
              <w:rPr>
                <w:color w:val="auto"/>
                <w:sz w:val="24"/>
                <w:szCs w:val="22"/>
                <w:rFonts w:asciiTheme="minorEastAsia" w:hAnsiTheme="minorEastAsia" w:eastAsiaTheme="minorEastAsia"/>
              </w:rPr>
              <w:instrText xml:space="preserve"> = 1 \* GB3 </w:instrText>
            </w:r>
            <w:r>
              <w:rPr>
                <w:color w:val="auto"/>
                <w:sz w:val="24"/>
                <w:szCs w:val="22"/>
                <w:rFonts w:asciiTheme="minorEastAsia" w:hAnsiTheme="minorEastAsia" w:eastAsiaTheme="minorEastAsia"/>
              </w:rPr>
              <w:fldChar w:fldCharType="separate"/>
            </w:r>
            <w:r>
              <w:rPr>
                <w:color w:val="auto"/>
                <w:sz w:val="24"/>
                <w:szCs w:val="22"/>
                <w:rFonts w:asciiTheme="minorEastAsia" w:hAnsiTheme="minorEastAsia" w:eastAsiaTheme="minorEastAsia"/>
              </w:rPr>
              <w:t>①</w:t>
            </w:r>
            <w:r>
              <w:rPr>
                <w:color w:val="auto"/>
                <w:sz w:val="24"/>
                <w:szCs w:val="22"/>
                <w:rFonts w:asciiTheme="minorEastAsia" w:hAnsiTheme="minorEastAsia" w:eastAsiaTheme="minorEastAsia"/>
              </w:rPr>
              <w:fldChar w:fldCharType="end"/>
            </w:r>
            <w:r>
              <w:rPr>
                <w:color w:val="auto"/>
                <w:sz w:val="24"/>
                <w:szCs w:val="22"/>
              </w:rPr>
              <w:t>任何单位和个人都应当依法在指定的地点分类投放生活垃圾。禁止随意倾倒、抛撒、堆放或者焚烧生活垃圾。</w:t>
            </w:r>
          </w:p>
          <w:p w14:paraId="18371081">
            <w:pPr>
              <w:autoSpaceDE w:val="0"/>
              <w:autoSpaceDN w:val="0"/>
              <w:contextualSpacing/>
              <w:spacing w:line="360" w:lineRule="auto"/>
              <w:ind w:firstLine="480" w:firstLineChars="200"/>
              <w:rPr>
                <w:color w:val="auto"/>
                <w:sz w:val="24"/>
                <w:bCs/>
              </w:rPr>
            </w:pPr>
            <w:r>
              <w:rPr>
                <w:color w:val="auto"/>
                <w:sz w:val="24"/>
                <w:szCs w:val="22"/>
                <w:rFonts w:asciiTheme="minorEastAsia" w:hAnsiTheme="minorEastAsia" w:eastAsiaTheme="minorEastAsia"/>
              </w:rPr>
              <w:fldChar w:fldCharType="begin"/>
            </w:r>
            <w:r>
              <w:rPr>
                <w:color w:val="auto"/>
                <w:sz w:val="24"/>
                <w:szCs w:val="22"/>
                <w:rFonts w:asciiTheme="minorEastAsia" w:hAnsiTheme="minorEastAsia" w:eastAsiaTheme="minorEastAsia"/>
              </w:rPr>
              <w:instrText xml:space="preserve"> = 2 \* GB3 </w:instrText>
            </w:r>
            <w:r>
              <w:rPr>
                <w:color w:val="auto"/>
                <w:sz w:val="24"/>
                <w:szCs w:val="22"/>
                <w:rFonts w:asciiTheme="minorEastAsia" w:hAnsiTheme="minorEastAsia" w:eastAsiaTheme="minorEastAsia"/>
              </w:rPr>
              <w:fldChar w:fldCharType="separate"/>
            </w:r>
            <w:r>
              <w:rPr>
                <w:color w:val="auto"/>
                <w:sz w:val="24"/>
                <w:szCs w:val="22"/>
                <w:rFonts w:asciiTheme="minorEastAsia" w:hAnsiTheme="minorEastAsia" w:eastAsiaTheme="minorEastAsia"/>
              </w:rPr>
              <w:t>②</w:t>
            </w:r>
            <w:r>
              <w:rPr>
                <w:color w:val="auto"/>
                <w:sz w:val="24"/>
                <w:szCs w:val="22"/>
                <w:rFonts w:asciiTheme="minorEastAsia" w:hAnsiTheme="minorEastAsia" w:eastAsiaTheme="minorEastAsia"/>
              </w:rPr>
              <w:fldChar w:fldCharType="end"/>
            </w:r>
            <w:r>
              <w:rPr>
                <w:color w:val="auto"/>
                <w:sz w:val="24"/>
                <w:szCs w:val="22"/>
              </w:rPr>
              <w:t>已经分类投放的生活垃圾，应当按照规定分类收集、分类运输、分类处理。</w:t>
            </w:r>
          </w:p>
          <w:p w14:paraId="27A74465">
            <w:pPr>
              <w:contextualSpacing/>
              <w:spacing w:line="360" w:lineRule="auto"/>
              <w:ind w:firstLine="480" w:firstLineChars="200"/>
              <w:rPr>
                <w:color w:val="auto"/>
                <w:sz w:val="24"/>
                <w:szCs w:val="22"/>
              </w:rPr>
            </w:pPr>
            <w:r>
              <w:rPr>
                <w:color w:val="auto"/>
                <w:sz w:val="24"/>
                <w:szCs w:val="22"/>
                <w:rFonts w:hint="eastAsia"/>
              </w:rPr>
              <w:t>（3）危险废物</w:t>
            </w:r>
          </w:p>
          <w:p w14:paraId="0F70F3E1">
            <w:pPr>
              <w:contextualSpacing/>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 1 \* GB3 </w:instrText>
            </w:r>
            <w:r>
              <w:rPr>
                <w:color w:val="auto"/>
                <w:sz w:val="24"/>
                <w:szCs w:val="22"/>
              </w:rPr>
              <w:fldChar w:fldCharType="separate"/>
            </w:r>
            <w:r>
              <w:rPr>
                <w:color w:val="auto"/>
                <w:sz w:val="24"/>
                <w:szCs w:val="22"/>
                <w:rFonts w:ascii="宋体" w:hAnsi="宋体" w:cs="宋体" w:hint="eastAsia"/>
              </w:rPr>
              <w:t>①</w:t>
            </w:r>
            <w:r>
              <w:rPr>
                <w:color w:val="auto"/>
                <w:sz w:val="24"/>
                <w:szCs w:val="22"/>
              </w:rPr>
              <w:fldChar w:fldCharType="end"/>
            </w:r>
            <w:r>
              <w:rPr>
                <w:color w:val="auto"/>
                <w:sz w:val="24"/>
                <w:szCs w:val="22"/>
              </w:rPr>
              <w:t>本项目</w:t>
            </w:r>
            <w:r>
              <w:rPr>
                <w:color w:val="auto"/>
                <w:sz w:val="24"/>
                <w:szCs w:val="22"/>
                <w:rFonts w:hint="eastAsia"/>
              </w:rPr>
              <w:t>危险废物</w:t>
            </w:r>
            <w:r>
              <w:rPr>
                <w:color w:val="auto"/>
                <w:sz w:val="24"/>
                <w:szCs w:val="22"/>
              </w:rPr>
              <w:t>集中收集后</w:t>
            </w:r>
            <w:r>
              <w:rPr>
                <w:color w:val="auto"/>
                <w:sz w:val="24"/>
                <w:szCs w:val="22"/>
                <w:rFonts w:hint="eastAsia"/>
              </w:rPr>
              <w:t>，</w:t>
            </w:r>
            <w:r>
              <w:rPr>
                <w:color w:val="auto"/>
                <w:sz w:val="24"/>
                <w:szCs w:val="22"/>
              </w:rPr>
              <w:t>分类</w:t>
            </w:r>
            <w:r>
              <w:rPr>
                <w:color w:val="auto"/>
                <w:sz w:val="24"/>
                <w:szCs w:val="22"/>
                <w:rFonts w:hint="eastAsia"/>
              </w:rPr>
              <w:t>、</w:t>
            </w:r>
            <w:r>
              <w:rPr>
                <w:color w:val="auto"/>
                <w:sz w:val="24"/>
                <w:szCs w:val="22"/>
              </w:rPr>
              <w:t>分区暂存于危险</w:t>
            </w:r>
            <w:r>
              <w:rPr>
                <w:color w:val="auto"/>
                <w:sz w:val="24"/>
                <w:szCs w:val="22"/>
                <w:rFonts w:hint="eastAsia"/>
              </w:rPr>
              <w:t>废物</w:t>
            </w:r>
            <w:r>
              <w:rPr>
                <w:color w:val="auto"/>
                <w:sz w:val="24"/>
                <w:szCs w:val="22"/>
              </w:rPr>
              <w:t>暂存间，并定期交由有资质单位处置。</w:t>
            </w:r>
          </w:p>
          <w:p w14:paraId="111573A5">
            <w:pPr>
              <w:contextualSpacing/>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w:instrText>
            </w:r>
            <w:r>
              <w:rPr>
                <w:color w:val="auto"/>
                <w:sz w:val="24"/>
                <w:szCs w:val="22"/>
                <w:rFonts w:hint="eastAsia"/>
              </w:rPr>
              <w:instrText xml:space="preserve">= 2 \* GB3</w:instrText>
            </w:r>
            <w:r>
              <w:rPr>
                <w:color w:val="auto"/>
                <w:sz w:val="24"/>
                <w:szCs w:val="22"/>
              </w:rPr>
              <w:instrText xml:space="preserve"> </w:instrText>
            </w:r>
            <w:r>
              <w:rPr>
                <w:color w:val="auto"/>
                <w:sz w:val="24"/>
                <w:szCs w:val="22"/>
              </w:rPr>
              <w:fldChar w:fldCharType="separate"/>
            </w:r>
            <w:r>
              <w:rPr>
                <w:color w:val="auto"/>
                <w:sz w:val="24"/>
                <w:szCs w:val="22"/>
                <w:rFonts w:hint="eastAsia"/>
              </w:rPr>
              <w:t>②</w:t>
            </w:r>
            <w:r>
              <w:rPr>
                <w:color w:val="auto"/>
                <w:sz w:val="24"/>
                <w:szCs w:val="22"/>
              </w:rPr>
              <w:fldChar w:fldCharType="end"/>
            </w:r>
            <w:r>
              <w:rPr>
                <w:color w:val="auto"/>
                <w:sz w:val="24"/>
                <w:szCs w:val="22"/>
              </w:rPr>
              <w:t>对危险废物的容器和包装物以及收集、贮存、运输、利用、处置危险废物的设施、场所，应当按照规定设置危险废物识别标志</w:t>
            </w:r>
            <w:r>
              <w:rPr>
                <w:color w:val="auto"/>
                <w:sz w:val="24"/>
                <w:szCs w:val="22"/>
                <w:rFonts w:hint="eastAsia"/>
              </w:rPr>
              <w:t>。</w:t>
            </w:r>
          </w:p>
          <w:p w14:paraId="206DB205">
            <w:pPr>
              <w:contextualSpacing/>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w:instrText>
            </w:r>
            <w:r>
              <w:rPr>
                <w:color w:val="auto"/>
                <w:sz w:val="24"/>
                <w:szCs w:val="22"/>
                <w:rFonts w:hint="eastAsia"/>
              </w:rPr>
              <w:instrText xml:space="preserve">= 3 \* GB3</w:instrText>
            </w:r>
            <w:r>
              <w:rPr>
                <w:color w:val="auto"/>
                <w:sz w:val="24"/>
                <w:szCs w:val="22"/>
              </w:rPr>
              <w:instrText xml:space="preserve"> </w:instrText>
            </w:r>
            <w:r>
              <w:rPr>
                <w:color w:val="auto"/>
                <w:sz w:val="24"/>
                <w:szCs w:val="22"/>
              </w:rPr>
              <w:fldChar w:fldCharType="separate"/>
            </w:r>
            <w:r>
              <w:rPr>
                <w:color w:val="auto"/>
                <w:sz w:val="24"/>
                <w:szCs w:val="22"/>
                <w:rFonts w:hint="eastAsia"/>
              </w:rPr>
              <w:t>③</w:t>
            </w:r>
            <w:r>
              <w:rPr>
                <w:color w:val="auto"/>
                <w:sz w:val="24"/>
                <w:szCs w:val="22"/>
              </w:rPr>
              <w:fldChar w:fldCharType="end"/>
            </w:r>
            <w:r>
              <w:rPr>
                <w:color w:val="auto"/>
                <w:sz w:val="24"/>
                <w:szCs w:val="22"/>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r>
              <w:rPr>
                <w:color w:val="auto"/>
                <w:sz w:val="24"/>
                <w:szCs w:val="22"/>
                <w:rFonts w:hint="eastAsia"/>
              </w:rPr>
              <w:t>。</w:t>
            </w:r>
          </w:p>
          <w:p w14:paraId="304D1292">
            <w:pPr>
              <w:contextualSpacing/>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w:instrText>
            </w:r>
            <w:r>
              <w:rPr>
                <w:color w:val="auto"/>
                <w:sz w:val="24"/>
                <w:szCs w:val="22"/>
                <w:rFonts w:hint="eastAsia"/>
              </w:rPr>
              <w:instrText xml:space="preserve">= 4 \* GB3</w:instrText>
            </w:r>
            <w:r>
              <w:rPr>
                <w:color w:val="auto"/>
                <w:sz w:val="24"/>
                <w:szCs w:val="22"/>
              </w:rPr>
              <w:instrText xml:space="preserve"> </w:instrText>
            </w:r>
            <w:r>
              <w:rPr>
                <w:color w:val="auto"/>
                <w:sz w:val="24"/>
                <w:szCs w:val="22"/>
              </w:rPr>
              <w:fldChar w:fldCharType="separate"/>
            </w:r>
            <w:r>
              <w:rPr>
                <w:color w:val="auto"/>
                <w:sz w:val="24"/>
                <w:szCs w:val="22"/>
                <w:rFonts w:hint="eastAsia"/>
              </w:rPr>
              <w:t>④</w:t>
            </w:r>
            <w:r>
              <w:rPr>
                <w:color w:val="auto"/>
                <w:sz w:val="24"/>
                <w:szCs w:val="22"/>
              </w:rPr>
              <w:fldChar w:fldCharType="end"/>
            </w:r>
            <w:r>
              <w:rPr>
                <w:color w:val="auto"/>
                <w:sz w:val="24"/>
                <w:szCs w:val="22"/>
              </w:rPr>
              <w:t>产生危险废物的单位，应当按照国家有关规定和环境保护标准要求贮存、利用、处置危险废物，不得擅自倾倒、堆放</w:t>
            </w:r>
            <w:r>
              <w:rPr>
                <w:color w:val="auto"/>
                <w:sz w:val="24"/>
                <w:szCs w:val="22"/>
                <w:rFonts w:hint="eastAsia"/>
              </w:rPr>
              <w:t>。</w:t>
            </w:r>
          </w:p>
          <w:p w14:paraId="6A49F084">
            <w:pPr>
              <w:contextualSpacing/>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w:instrText>
            </w:r>
            <w:r>
              <w:rPr>
                <w:color w:val="auto"/>
                <w:sz w:val="24"/>
                <w:szCs w:val="22"/>
                <w:rFonts w:hint="eastAsia"/>
              </w:rPr>
              <w:instrText xml:space="preserve">= 5 \* GB3</w:instrText>
            </w:r>
            <w:r>
              <w:rPr>
                <w:color w:val="auto"/>
                <w:sz w:val="24"/>
                <w:szCs w:val="22"/>
              </w:rPr>
              <w:instrText xml:space="preserve"> </w:instrText>
            </w:r>
            <w:r>
              <w:rPr>
                <w:color w:val="auto"/>
                <w:sz w:val="24"/>
                <w:szCs w:val="22"/>
              </w:rPr>
              <w:fldChar w:fldCharType="separate"/>
            </w:r>
            <w:r>
              <w:rPr>
                <w:color w:val="auto"/>
                <w:sz w:val="24"/>
                <w:szCs w:val="22"/>
                <w:rFonts w:hint="eastAsia"/>
              </w:rPr>
              <w:t>⑤</w:t>
            </w:r>
            <w:r>
              <w:rPr>
                <w:color w:val="auto"/>
                <w:sz w:val="24"/>
                <w:szCs w:val="22"/>
              </w:rPr>
              <w:fldChar w:fldCharType="end"/>
            </w:r>
            <w:r>
              <w:rPr>
                <w:color w:val="auto"/>
                <w:sz w:val="24"/>
                <w:szCs w:val="22"/>
                <w:rFonts w:hint="eastAsia"/>
              </w:rPr>
              <w:t>危险废物暂存和处置要求</w:t>
            </w:r>
          </w:p>
          <w:p w14:paraId="57573E1E">
            <w:pPr>
              <w:contextualSpacing/>
              <w:spacing w:line="360" w:lineRule="auto"/>
              <w:ind w:firstLine="480" w:firstLineChars="200"/>
              <w:rPr>
                <w:color w:val="auto"/>
                <w:sz w:val="24"/>
                <w:szCs w:val="22"/>
              </w:rPr>
            </w:pPr>
            <w:r>
              <w:rPr>
                <w:color w:val="auto"/>
                <w:sz w:val="24"/>
                <w:szCs w:val="22"/>
                <w:rFonts w:hint="eastAsia"/>
              </w:rPr>
              <w:t>a.</w:t>
            </w:r>
            <w:r>
              <w:rPr>
                <w:color w:val="auto"/>
                <w:sz w:val="24"/>
                <w:szCs w:val="22"/>
              </w:rPr>
              <w:t>危废的存储应严格按照</w:t>
            </w:r>
            <w:r>
              <w:rPr>
                <w:color w:val="auto"/>
                <w:sz w:val="24"/>
                <w:szCs w:val="22"/>
                <w:rFonts w:hint="eastAsia"/>
              </w:rPr>
              <w:t>《危险废物贮存污染控制标准》（GB18597-2001）及其修改单</w:t>
            </w:r>
            <w:r>
              <w:rPr>
                <w:color w:val="auto"/>
                <w:sz w:val="24"/>
                <w:szCs w:val="22"/>
              </w:rPr>
              <w:t>要求执行。对存储的各种</w:t>
            </w:r>
            <w:r>
              <w:rPr>
                <w:color w:val="auto"/>
                <w:sz w:val="24"/>
                <w:szCs w:val="22"/>
                <w:rFonts w:hint="eastAsia"/>
              </w:rPr>
              <w:t>危废</w:t>
            </w:r>
            <w:r>
              <w:rPr>
                <w:color w:val="auto"/>
                <w:sz w:val="24"/>
                <w:szCs w:val="22"/>
              </w:rPr>
              <w:t>的容器进行标识，避免混合、混放。</w:t>
            </w:r>
          </w:p>
          <w:p w14:paraId="52D65677">
            <w:pPr>
              <w:contextualSpacing/>
              <w:spacing w:line="360" w:lineRule="auto"/>
              <w:ind w:firstLine="480" w:firstLineChars="200"/>
              <w:rPr>
                <w:color w:val="auto"/>
                <w:sz w:val="24"/>
                <w:szCs w:val="22"/>
              </w:rPr>
            </w:pPr>
            <w:r>
              <w:rPr>
                <w:color w:val="auto"/>
                <w:sz w:val="24"/>
                <w:szCs w:val="22"/>
                <w:rFonts w:hint="eastAsia"/>
              </w:rPr>
              <w:t>b.</w:t>
            </w:r>
            <w:r>
              <w:rPr>
                <w:color w:val="auto"/>
                <w:sz w:val="24"/>
                <w:szCs w:val="22"/>
              </w:rPr>
              <w:t>本项目生产过程中产生的属于危险废物，应按危险废物的有关规定进行管理处置，其暂存和处理按照国家相关要求进行，使用专用密闭容器</w:t>
            </w:r>
            <w:r>
              <w:rPr>
                <w:color w:val="auto"/>
                <w:sz w:val="24"/>
                <w:szCs w:val="22"/>
                <w:rFonts w:hint="eastAsia"/>
              </w:rPr>
              <w:t>分类</w:t>
            </w:r>
            <w:r>
              <w:rPr>
                <w:color w:val="auto"/>
                <w:sz w:val="24"/>
                <w:szCs w:val="22"/>
              </w:rPr>
              <w:t>存储废液，防止废液挥发，并交给</w:t>
            </w:r>
            <w:r>
              <w:rPr>
                <w:color w:val="auto"/>
                <w:sz w:val="24"/>
                <w:szCs w:val="22"/>
                <w:rFonts w:hint="eastAsia"/>
              </w:rPr>
              <w:t>有资质</w:t>
            </w:r>
            <w:r>
              <w:rPr>
                <w:color w:val="auto"/>
                <w:sz w:val="24"/>
                <w:szCs w:val="22"/>
              </w:rPr>
              <w:t>的废液回收处理企业。</w:t>
            </w:r>
            <w:r>
              <w:rPr>
                <w:color w:val="auto"/>
                <w:sz w:val="24"/>
                <w:szCs w:val="22"/>
                <w:rFonts w:hint="eastAsia"/>
              </w:rPr>
              <w:t>日</w:t>
            </w:r>
            <w:r>
              <w:rPr>
                <w:color w:val="auto"/>
                <w:sz w:val="24"/>
                <w:szCs w:val="22"/>
              </w:rPr>
              <w:t>常管理应专人专管，严格</w:t>
            </w:r>
            <w:r>
              <w:rPr>
                <w:color w:val="auto"/>
                <w:sz w:val="24"/>
                <w:szCs w:val="22"/>
                <w:rFonts w:hint="eastAsia"/>
              </w:rPr>
              <w:t>进行日常安全防护管理和监测</w:t>
            </w:r>
            <w:r>
              <w:rPr>
                <w:color w:val="auto"/>
                <w:sz w:val="24"/>
                <w:szCs w:val="22"/>
              </w:rPr>
              <w:t>。</w:t>
            </w:r>
          </w:p>
          <w:p w14:paraId="04D971A5">
            <w:pPr>
              <w:contextualSpacing/>
              <w:spacing w:line="360" w:lineRule="auto"/>
              <w:ind w:firstLine="480" w:firstLineChars="200"/>
              <w:rPr>
                <w:color w:val="auto"/>
                <w:sz w:val="24"/>
                <w:szCs w:val="22"/>
              </w:rPr>
            </w:pPr>
            <w:r>
              <w:rPr>
                <w:color w:val="auto"/>
                <w:sz w:val="24"/>
                <w:szCs w:val="22"/>
                <w:rFonts w:hint="eastAsia"/>
              </w:rPr>
              <w:t>c.</w:t>
            </w:r>
            <w:r>
              <w:rPr>
                <w:color w:val="auto"/>
                <w:sz w:val="24"/>
                <w:szCs w:val="22"/>
              </w:rPr>
              <w:t>对</w:t>
            </w:r>
            <w:r>
              <w:rPr>
                <w:color w:val="auto"/>
                <w:sz w:val="24"/>
                <w:szCs w:val="22"/>
                <w:rFonts w:hint="eastAsia"/>
              </w:rPr>
              <w:t>危险废物暂存区设立明显的警示标志，</w:t>
            </w:r>
            <w:r>
              <w:rPr>
                <w:color w:val="auto"/>
                <w:sz w:val="24"/>
                <w:szCs w:val="22"/>
              </w:rPr>
              <w:t>拆解过程产生的危险废物应按照类</w:t>
            </w:r>
            <w:r>
              <w:rPr>
                <w:color w:val="auto"/>
                <w:sz w:val="24"/>
                <w:szCs w:val="22"/>
                <w:rFonts w:hint="eastAsia"/>
              </w:rPr>
              <w:t>别</w:t>
            </w:r>
            <w:r>
              <w:rPr>
                <w:color w:val="auto"/>
                <w:sz w:val="24"/>
                <w:szCs w:val="22"/>
              </w:rPr>
              <w:t>分别放置在专门的收集容器和暂存设施内</w:t>
            </w:r>
            <w:r>
              <w:rPr>
                <w:color w:val="auto"/>
                <w:sz w:val="24"/>
                <w:szCs w:val="22"/>
                <w:rFonts w:hint="eastAsia"/>
              </w:rPr>
              <w:t>。</w:t>
            </w:r>
          </w:p>
          <w:p w14:paraId="77E37ACD">
            <w:pPr>
              <w:contextualSpacing/>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w:instrText>
            </w:r>
            <w:r>
              <w:rPr>
                <w:color w:val="auto"/>
                <w:sz w:val="24"/>
                <w:szCs w:val="22"/>
                <w:rFonts w:hint="eastAsia"/>
              </w:rPr>
              <w:instrText xml:space="preserve">= 6 \* GB3</w:instrText>
            </w:r>
            <w:r>
              <w:rPr>
                <w:color w:val="auto"/>
                <w:sz w:val="24"/>
                <w:szCs w:val="22"/>
              </w:rPr>
              <w:instrText xml:space="preserve"> </w:instrText>
            </w:r>
            <w:r>
              <w:rPr>
                <w:color w:val="auto"/>
                <w:sz w:val="24"/>
                <w:szCs w:val="22"/>
              </w:rPr>
              <w:fldChar w:fldCharType="separate"/>
            </w:r>
            <w:r>
              <w:rPr>
                <w:color w:val="auto"/>
                <w:sz w:val="24"/>
                <w:szCs w:val="22"/>
                <w:rFonts w:hint="eastAsia"/>
              </w:rPr>
              <w:t>⑥</w:t>
            </w:r>
            <w:r>
              <w:rPr>
                <w:color w:val="auto"/>
                <w:sz w:val="24"/>
                <w:szCs w:val="22"/>
              </w:rPr>
              <w:fldChar w:fldCharType="end"/>
            </w:r>
            <w:r>
              <w:rPr>
                <w:color w:val="auto"/>
                <w:sz w:val="24"/>
                <w:szCs w:val="22"/>
              </w:rPr>
              <w:t>危险废物转运的管理要求</w:t>
            </w:r>
          </w:p>
          <w:p w14:paraId="5D72141F">
            <w:pPr>
              <w:contextualSpacing/>
              <w:spacing w:line="360" w:lineRule="auto"/>
              <w:ind w:firstLine="480" w:firstLineChars="200"/>
              <w:rPr>
                <w:color w:val="auto"/>
                <w:sz w:val="24"/>
                <w:szCs w:val="22"/>
              </w:rPr>
            </w:pPr>
            <w:r>
              <w:rPr>
                <w:color w:val="auto"/>
                <w:sz w:val="24"/>
                <w:szCs w:val="22"/>
              </w:rPr>
              <w:t>a</w:t>
            </w:r>
            <w:r>
              <w:rPr>
                <w:color w:val="auto"/>
                <w:sz w:val="24"/>
                <w:szCs w:val="22"/>
                <w:rFonts w:hint="eastAsia"/>
              </w:rPr>
              <w:t>.转移危险废物的，应当按照国家有关规定填写、运行危险废物电子或者纸质转移联单。</w:t>
            </w:r>
          </w:p>
          <w:p w14:paraId="5A23876D">
            <w:pPr>
              <w:contextualSpacing/>
              <w:spacing w:line="360" w:lineRule="auto"/>
              <w:ind w:firstLine="480" w:firstLineChars="200"/>
              <w:rPr>
                <w:color w:val="auto"/>
                <w:sz w:val="24"/>
                <w:szCs w:val="22"/>
              </w:rPr>
            </w:pPr>
            <w:r>
              <w:rPr>
                <w:color w:val="auto"/>
                <w:sz w:val="24"/>
                <w:szCs w:val="22"/>
                <w:rFonts w:hint="eastAsia"/>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14:paraId="63723027">
            <w:pPr>
              <w:contextualSpacing/>
              <w:spacing w:line="360" w:lineRule="auto"/>
              <w:ind w:firstLine="480" w:firstLineChars="200"/>
              <w:rPr>
                <w:color w:val="auto"/>
                <w:sz w:val="24"/>
                <w:szCs w:val="22"/>
              </w:rPr>
            </w:pPr>
            <w:r>
              <w:rPr>
                <w:color w:val="auto"/>
                <w:sz w:val="24"/>
                <w:szCs w:val="22"/>
                <w:rFonts w:hint="eastAsia"/>
              </w:rPr>
              <w:t>b.运输危险废物，应当采取防止污染环境的措施，并遵守国家有关危险货物运输管理的规定。</w:t>
            </w:r>
          </w:p>
          <w:p w14:paraId="00582E8D">
            <w:pPr>
              <w:contextualSpacing/>
              <w:spacing w:line="360" w:lineRule="auto"/>
              <w:ind w:firstLine="480" w:firstLineChars="200"/>
              <w:rPr>
                <w:color w:val="auto"/>
                <w:sz w:val="24"/>
                <w:szCs w:val="22"/>
              </w:rPr>
            </w:pPr>
            <w:r>
              <w:rPr>
                <w:color w:val="auto"/>
                <w:sz w:val="24"/>
                <w:szCs w:val="22"/>
                <w:rFonts w:hint="eastAsia"/>
              </w:rPr>
              <w:t>禁止将危险废物与旅客在同一运输工具上载运。</w:t>
            </w:r>
          </w:p>
          <w:p w14:paraId="47C895F7">
            <w:pPr>
              <w:contextualSpacing/>
              <w:spacing w:line="360" w:lineRule="auto"/>
              <w:ind w:firstLine="480" w:firstLineChars="200"/>
              <w:rPr>
                <w:color w:val="auto"/>
                <w:sz w:val="24"/>
                <w:szCs w:val="22"/>
              </w:rPr>
            </w:pPr>
            <w:r>
              <w:rPr>
                <w:color w:val="auto"/>
                <w:sz w:val="24"/>
                <w:szCs w:val="22"/>
              </w:rPr>
              <w:t>综上所述，本项目产生的固体废物经过妥善处理后，处置率达到100%不会影响周边环境。</w:t>
            </w:r>
          </w:p>
          <w:p w14:paraId="03B238B1">
            <w:pPr>
              <w:contextualSpacing/>
              <w:spacing w:line="360" w:lineRule="auto"/>
              <w:ind w:firstLine="482" w:firstLineChars="200"/>
              <w:rPr>
                <w:b w:val="1"/>
                <w:color w:val="auto"/>
                <w:sz w:val="24"/>
                <w:bCs/>
              </w:rPr>
            </w:pPr>
            <w:r>
              <w:rPr>
                <w:b w:val="1"/>
                <w:color w:val="auto"/>
                <w:sz w:val="24"/>
                <w:bCs/>
              </w:rPr>
              <w:t>（五）</w:t>
            </w:r>
            <w:r>
              <w:rPr>
                <w:b w:val="1"/>
                <w:color w:val="auto"/>
                <w:sz w:val="24"/>
                <w:rFonts w:eastAsiaTheme="minorEastAsia"/>
              </w:rPr>
              <w:t>环境风险</w:t>
            </w:r>
          </w:p>
          <w:p w14:paraId="5D434FD4">
            <w:pPr>
              <w:spacing w:line="360" w:lineRule="auto"/>
              <w:ind w:firstLine="482" w:firstLineChars="200"/>
              <w:rPr>
                <w:rStyle w:val="73"/>
                <w:color w:val="auto"/>
                <w:rFonts w:ascii="Times New Roman" w:hAnsi="Times New Roman" w:hint="default" w:eastAsiaTheme="minorEastAsia"/>
              </w:rPr>
            </w:pPr>
            <w:r>
              <w:rPr>
                <w:rStyle w:val="73"/>
                <w:b w:val="1"/>
                <w:color w:val="auto"/>
                <w:rFonts w:ascii="Times New Roman" w:hAnsi="Times New Roman" w:hint="default" w:eastAsiaTheme="minorEastAsia"/>
              </w:rPr>
              <w:t>1、</w:t>
            </w:r>
            <w:r>
              <w:rPr>
                <w:b w:val="1"/>
                <w:color w:val="auto"/>
                <w:sz w:val="24"/>
                <w:rFonts w:hint="eastAsia" w:hAnsiTheme="minorEastAsia" w:eastAsiaTheme="minorEastAsia"/>
              </w:rPr>
              <w:t>风险分析</w:t>
            </w:r>
          </w:p>
          <w:p w14:paraId="4DD04462">
            <w:pPr>
              <w:spacing w:line="360" w:lineRule="auto"/>
              <w:ind w:firstLine="480" w:firstLineChars="200"/>
              <w:rPr>
                <w:color w:val="auto"/>
                <w:sz w:val="24"/>
                <w:rFonts w:eastAsiaTheme="minorEastAsia"/>
              </w:rPr>
            </w:pPr>
            <w:r>
              <w:rPr>
                <w:rStyle w:val="73"/>
                <w:color w:val="auto"/>
                <w:rFonts w:ascii="Times New Roman" w:hAnsi="Times New Roman" w:hint="default" w:eastAsiaTheme="minorEastAsia"/>
              </w:rPr>
              <w:t>根据《建设项目环境风险评价技术导则》（</w:t>
            </w:r>
            <w:r>
              <w:rPr>
                <w:rStyle w:val="76"/>
                <w:color w:val="auto"/>
                <w:rFonts w:ascii="Times New Roman" w:hAnsi="Times New Roman" w:eastAsiaTheme="minorEastAsia"/>
              </w:rPr>
              <w:t>HJ/T169-2018</w:t>
            </w:r>
            <w:r>
              <w:rPr>
                <w:rStyle w:val="73"/>
                <w:color w:val="auto"/>
                <w:rFonts w:ascii="Times New Roman" w:hAnsi="Times New Roman" w:hint="default" w:eastAsiaTheme="minorEastAsia"/>
              </w:rPr>
              <w:t xml:space="preserve">）附录中附录 </w:t>
            </w:r>
            <w:r>
              <w:rPr>
                <w:rStyle w:val="76"/>
                <w:color w:val="auto"/>
                <w:rFonts w:ascii="Times New Roman" w:hAnsi="Times New Roman" w:eastAsiaTheme="minorEastAsia"/>
              </w:rPr>
              <w:t xml:space="preserve">B </w:t>
            </w:r>
            <w:r>
              <w:rPr>
                <w:rStyle w:val="73"/>
                <w:color w:val="auto"/>
                <w:rFonts w:ascii="Times New Roman" w:hAnsi="Times New Roman" w:hint="default" w:eastAsiaTheme="minorEastAsia"/>
              </w:rPr>
              <w:t>及《危险化学品重大危险源辨识》（</w:t>
            </w:r>
            <w:r>
              <w:rPr>
                <w:rStyle w:val="76"/>
                <w:color w:val="auto"/>
                <w:rFonts w:ascii="Times New Roman" w:hAnsi="Times New Roman" w:eastAsiaTheme="minorEastAsia"/>
              </w:rPr>
              <w:t>GB18218-2018</w:t>
            </w:r>
            <w:r>
              <w:rPr>
                <w:rStyle w:val="73"/>
                <w:color w:val="auto"/>
                <w:rFonts w:ascii="Times New Roman" w:hAnsi="Times New Roman" w:hint="default" w:eastAsiaTheme="minorEastAsia"/>
              </w:rPr>
              <w:t>），本项目主要风险物质为导热油、废导热油、废</w:t>
            </w:r>
            <w:r>
              <w:rPr>
                <w:rStyle w:val="76"/>
                <w:color w:val="auto"/>
                <w:rFonts w:ascii="Times New Roman" w:hAnsi="Times New Roman" w:eastAsiaTheme="minorEastAsia"/>
              </w:rPr>
              <w:t>油桶中废矿物油、初期雨水池油污、</w:t>
            </w:r>
            <w:r>
              <w:rPr>
                <w:rStyle w:val="73"/>
                <w:color w:val="auto"/>
                <w:rFonts w:ascii="Times New Roman" w:hAnsi="Times New Roman" w:hint="default" w:eastAsiaTheme="minorEastAsia"/>
              </w:rPr>
              <w:t>天然气，导热油</w:t>
            </w:r>
            <w:r>
              <w:rPr>
                <w:color w:val="auto"/>
                <w:sz w:val="24"/>
                <w:rFonts w:eastAsiaTheme="minorEastAsia"/>
              </w:rPr>
              <w:t>位于密封</w:t>
            </w:r>
            <w:r>
              <w:rPr>
                <w:rStyle w:val="76"/>
                <w:color w:val="auto"/>
                <w:rFonts w:ascii="Times New Roman" w:hAnsi="Times New Roman" w:eastAsiaTheme="minorEastAsia"/>
              </w:rPr>
              <w:t>管道内，总量</w:t>
            </w:r>
            <w:r>
              <w:rPr>
                <w:rStyle w:val="76"/>
                <w:color w:val="auto"/>
                <w:rFonts w:ascii="Times New Roman" w:hAnsi="Times New Roman" w:hint="eastAsia" w:eastAsiaTheme="minorEastAsia"/>
              </w:rPr>
              <w:t>3</w:t>
            </w:r>
            <w:r>
              <w:rPr>
                <w:rStyle w:val="76"/>
                <w:color w:val="auto"/>
                <w:rFonts w:ascii="Times New Roman" w:hAnsi="Times New Roman" w:eastAsiaTheme="minorEastAsia"/>
              </w:rPr>
              <w:t>t，</w:t>
            </w:r>
            <w:r>
              <w:rPr>
                <w:rStyle w:val="76"/>
                <w:color w:val="auto"/>
                <w:rFonts w:ascii="Times New Roman" w:hAnsi="Times New Roman" w:hint="eastAsia" w:eastAsiaTheme="minorEastAsia"/>
              </w:rPr>
              <w:t>天然气</w:t>
            </w:r>
            <w:r>
              <w:rPr>
                <w:rStyle w:val="76"/>
                <w:color w:val="auto"/>
                <w:rFonts w:ascii="Times New Roman" w:hAnsi="Times New Roman" w:eastAsiaTheme="minorEastAsia"/>
              </w:rPr>
              <w:t>位于</w:t>
            </w:r>
            <w:r>
              <w:rPr>
                <w:rStyle w:val="76"/>
                <w:color w:val="auto"/>
                <w:rFonts w:ascii="Times New Roman" w:hAnsi="Times New Roman" w:hint="eastAsia" w:eastAsiaTheme="minorEastAsia"/>
              </w:rPr>
              <w:t>2</w:t>
            </w:r>
            <w:r>
              <w:rPr>
                <w:rStyle w:val="76"/>
                <w:color w:val="auto"/>
                <w:rFonts w:ascii="Times New Roman" w:hAnsi="Times New Roman" w:eastAsiaTheme="minorEastAsia"/>
              </w:rPr>
              <w:t>个</w:t>
            </w:r>
            <w:r>
              <w:rPr>
                <w:rStyle w:val="76"/>
                <w:color w:val="auto"/>
                <w:rFonts w:ascii="Times New Roman" w:hAnsi="Times New Roman" w:hint="eastAsia" w:eastAsiaTheme="minorEastAsia"/>
              </w:rPr>
              <w:t>4.43t</w:t>
            </w:r>
            <w:r>
              <w:rPr>
                <w:rStyle w:val="76"/>
                <w:color w:val="auto"/>
                <w:rFonts w:ascii="Times New Roman" w:hAnsi="Times New Roman" w:eastAsiaTheme="minorEastAsia"/>
              </w:rPr>
              <w:t>储罐车内，存储量共为</w:t>
            </w:r>
            <w:r>
              <w:rPr>
                <w:rStyle w:val="76"/>
                <w:color w:val="auto"/>
                <w:rFonts w:ascii="Times New Roman" w:hAnsi="Times New Roman" w:hint="eastAsia" w:eastAsiaTheme="minorEastAsia"/>
              </w:rPr>
              <w:t>8.86</w:t>
            </w:r>
            <w:r>
              <w:rPr>
                <w:rStyle w:val="76"/>
                <w:color w:val="auto"/>
                <w:rFonts w:ascii="Times New Roman" w:hAnsi="Times New Roman" w:eastAsiaTheme="minorEastAsia"/>
              </w:rPr>
              <w:t>t，因废油桶中废矿物油的含量无法确定，本次按废油桶产生量</w:t>
            </w:r>
            <w:r>
              <w:rPr>
                <w:rStyle w:val="76"/>
                <w:color w:val="auto"/>
                <w:rFonts w:ascii="Times New Roman" w:hAnsi="Times New Roman" w:hint="eastAsia" w:eastAsiaTheme="minorEastAsia"/>
              </w:rPr>
              <w:t>0.3t/a作为废油桶中废矿物的含量。</w:t>
            </w:r>
            <w:r>
              <w:rPr>
                <w:rStyle w:val="76"/>
                <w:color w:val="auto"/>
                <w:rFonts w:ascii="Times New Roman" w:hAnsi="Times New Roman" w:eastAsiaTheme="minorEastAsia"/>
              </w:rPr>
              <w:t>详情见下表。</w:t>
            </w:r>
          </w:p>
          <w:p w14:paraId="5F23B2BB">
            <w:pPr>
              <w:ind w:right="105" w:rightChars="50"/>
              <w:rPr>
                <w:b w:val="1"/>
                <w:color w:val="auto"/>
                <w:sz w:val="24"/>
                <w:bCs/>
                <w:rFonts w:eastAsiaTheme="minorEastAsia"/>
              </w:rPr>
            </w:pPr>
          </w:p>
          <w:p w14:paraId="3E2BAA38">
            <w:pPr>
              <w:jc w:val="center"/>
              <w:ind w:firstLine="499" w:firstLineChars="207" w:left="105" w:leftChars="50" w:right="105" w:rightChars="50"/>
              <w:rPr>
                <w:b w:val="1"/>
                <w:color w:val="auto"/>
                <w:sz w:val="24"/>
                <w:bCs/>
                <w:rFonts w:eastAsiaTheme="minorEastAsia"/>
              </w:rPr>
            </w:pPr>
            <w:r>
              <w:rPr>
                <w:b w:val="1"/>
                <w:color w:val="auto"/>
                <w:sz w:val="24"/>
                <w:bCs/>
                <w:rFonts w:eastAsiaTheme="minorEastAsia"/>
              </w:rPr>
              <w:t>表</w:t>
            </w:r>
            <w:r>
              <w:rPr>
                <w:b w:val="1"/>
                <w:color w:val="auto"/>
                <w:sz w:val="24"/>
                <w:bCs/>
                <w:rFonts w:hint="eastAsia" w:eastAsiaTheme="minorEastAsia"/>
              </w:rPr>
              <w:t>4-</w:t>
            </w:r>
            <w:r>
              <w:rPr>
                <w:b w:val="1"/>
                <w:color w:val="auto"/>
                <w:sz w:val="24"/>
                <w:lang w:val="en-US" w:eastAsia="zh-CN"/>
                <w:bCs/>
                <w:rFonts w:hint="eastAsia" w:eastAsiaTheme="minorEastAsia"/>
              </w:rPr>
              <w:t>13</w:t>
            </w:r>
            <w:r>
              <w:rPr>
                <w:b w:val="1"/>
                <w:color w:val="auto"/>
                <w:sz w:val="24"/>
                <w:bCs/>
                <w:rFonts w:eastAsiaTheme="minorEastAsia"/>
              </w:rPr>
              <w:t xml:space="preserve"> 建设项目Q值确定表</w:t>
            </w:r>
          </w:p>
          <w:tbl>
            <w:tblPr>
              <w:tblStyle w:val="27"/>
              <w:tblW w:w="5000" w:type="pct"/>
              <w:jc w:val="center"/>
              <w:tblLayout w:type="fixed"/>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
            <w:tblGrid>
              <w:gridCol w:w="700.000000"/>
              <w:gridCol w:w="2097.000000"/>
              <w:gridCol w:w="1091.000000"/>
              <w:gridCol w:w="1713.000000"/>
              <w:gridCol w:w="1253.000000"/>
              <w:gridCol w:w="1535.000000"/>
            </w:tblGrid>
            <w:tr w14:paraId="29D00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372" w:hRule="atLeast"/>
                <w:jc w:val="center"/>
              </w:trPr>
              <w:tc>
                <w:tcPr>
                  <w:tcW w:w="417" w:type="pct"/>
                  <w:vAlign w:val="center"/>
                  <w:tcBorders>
                    <w:top w:val="single" w:color="auto" w:sz="12" w:space="0"/>
                    <w:left w:val="nil"/>
                    <w:bottom w:val="single" w:color="auto" w:sz="4" w:space="0"/>
                    <w:right w:val="single" w:color="auto" w:sz="4" w:space="0"/>
                  </w:tcBorders>
                </w:tcPr>
                <w:p w14:paraId="3C472752">
                  <w:pPr>
                    <w:jc w:val="center"/>
                    <w:rPr>
                      <w:color w:val="auto"/>
                      <w:bCs/>
                      <w:szCs w:val="21"/>
                      <w:rFonts w:eastAsiaTheme="minorEastAsia"/>
                    </w:rPr>
                  </w:pPr>
                  <w:r>
                    <w:rPr>
                      <w:color w:val="auto"/>
                      <w:bCs/>
                      <w:szCs w:val="21"/>
                      <w:rFonts w:eastAsiaTheme="minorEastAsia"/>
                    </w:rPr>
                    <w:t>序号</w:t>
                  </w:r>
                </w:p>
              </w:tc>
              <w:tc>
                <w:tcPr>
                  <w:tcW w:w="1250" w:type="pct"/>
                  <w:vAlign w:val="center"/>
                  <w:tcBorders>
                    <w:top w:val="single" w:color="auto" w:sz="12" w:space="0"/>
                    <w:left w:val="single" w:color="auto" w:sz="4" w:space="0"/>
                    <w:bottom w:val="single" w:color="auto" w:sz="4" w:space="0"/>
                    <w:right w:val="single" w:color="auto" w:sz="4" w:space="0"/>
                  </w:tcBorders>
                </w:tcPr>
                <w:p w14:paraId="06DA357E">
                  <w:pPr>
                    <w:jc w:val="center"/>
                    <w:rPr>
                      <w:color w:val="auto"/>
                      <w:bCs/>
                      <w:szCs w:val="21"/>
                      <w:rFonts w:eastAsiaTheme="minorEastAsia"/>
                    </w:rPr>
                  </w:pPr>
                  <w:r>
                    <w:rPr>
                      <w:color w:val="auto"/>
                      <w:bCs/>
                      <w:szCs w:val="21"/>
                      <w:rFonts w:eastAsiaTheme="minorEastAsia"/>
                    </w:rPr>
                    <w:t>物质名称</w:t>
                  </w:r>
                </w:p>
              </w:tc>
              <w:tc>
                <w:tcPr>
                  <w:tcW w:w="650" w:type="pct"/>
                  <w:vAlign w:val="center"/>
                  <w:tcBorders>
                    <w:top w:val="single" w:color="auto" w:sz="12" w:space="0"/>
                    <w:left w:val="single" w:color="auto" w:sz="4" w:space="0"/>
                    <w:bottom w:val="single" w:color="auto" w:sz="4" w:space="0"/>
                    <w:right w:val="single" w:color="auto" w:sz="4" w:space="0"/>
                  </w:tcBorders>
                </w:tcPr>
                <w:p w14:paraId="647D91B8">
                  <w:pPr>
                    <w:jc w:val="center"/>
                    <w:rPr>
                      <w:color w:val="auto"/>
                      <w:bCs/>
                      <w:szCs w:val="21"/>
                      <w:rFonts w:eastAsiaTheme="minorEastAsia"/>
                    </w:rPr>
                  </w:pPr>
                  <w:r>
                    <w:rPr>
                      <w:color w:val="auto"/>
                      <w:bCs/>
                      <w:szCs w:val="21"/>
                      <w:rFonts w:eastAsiaTheme="minorEastAsia"/>
                    </w:rPr>
                    <w:t>CAS号</w:t>
                  </w:r>
                </w:p>
              </w:tc>
              <w:tc>
                <w:tcPr>
                  <w:tcW w:w="1021" w:type="pct"/>
                  <w:vAlign w:val="center"/>
                  <w:tcBorders>
                    <w:top w:val="single" w:color="auto" w:sz="12" w:space="0"/>
                    <w:left w:val="single" w:color="auto" w:sz="4" w:space="0"/>
                    <w:bottom w:val="single" w:color="auto" w:sz="4" w:space="0"/>
                    <w:right w:val="single" w:color="auto" w:sz="4" w:space="0"/>
                  </w:tcBorders>
                </w:tcPr>
                <w:p w14:paraId="74F5CB2A">
                  <w:pPr>
                    <w:jc w:val="center"/>
                    <w:rPr>
                      <w:color w:val="auto"/>
                      <w:bCs/>
                      <w:szCs w:val="21"/>
                      <w:rFonts w:eastAsiaTheme="minorEastAsia"/>
                    </w:rPr>
                  </w:pPr>
                  <w:r>
                    <w:rPr>
                      <w:color w:val="auto"/>
                      <w:bCs/>
                      <w:szCs w:val="21"/>
                      <w:rFonts w:eastAsiaTheme="minorEastAsia"/>
                    </w:rPr>
                    <w:t>最大存在量（t）</w:t>
                  </w:r>
                </w:p>
              </w:tc>
              <w:tc>
                <w:tcPr>
                  <w:tcW w:w="747" w:type="pct"/>
                  <w:vAlign w:val="center"/>
                  <w:tcBorders>
                    <w:top w:val="single" w:color="auto" w:sz="12" w:space="0"/>
                    <w:left w:val="single" w:color="auto" w:sz="4" w:space="0"/>
                    <w:bottom w:val="single" w:color="auto" w:sz="4" w:space="0"/>
                    <w:right w:val="single" w:color="auto" w:sz="4" w:space="0"/>
                  </w:tcBorders>
                </w:tcPr>
                <w:p w14:paraId="1B91ABDD">
                  <w:pPr>
                    <w:jc w:val="center"/>
                    <w:rPr>
                      <w:color w:val="auto"/>
                      <w:bCs/>
                      <w:szCs w:val="21"/>
                      <w:rFonts w:eastAsiaTheme="minorEastAsia"/>
                    </w:rPr>
                  </w:pPr>
                  <w:r>
                    <w:rPr>
                      <w:color w:val="auto"/>
                      <w:bCs/>
                      <w:szCs w:val="21"/>
                      <w:rFonts w:eastAsiaTheme="minorEastAsia"/>
                    </w:rPr>
                    <w:t>临界量（t）</w:t>
                  </w:r>
                </w:p>
              </w:tc>
              <w:tc>
                <w:tcPr>
                  <w:tcW w:w="915" w:type="pct"/>
                  <w:vAlign w:val="center"/>
                  <w:tcBorders>
                    <w:top w:val="single" w:color="auto" w:sz="12" w:space="0"/>
                    <w:left w:val="single" w:color="auto" w:sz="4" w:space="0"/>
                    <w:bottom w:val="single" w:color="auto" w:sz="4" w:space="0"/>
                    <w:right w:val="nil"/>
                  </w:tcBorders>
                </w:tcPr>
                <w:p w14:paraId="5901666F">
                  <w:pPr>
                    <w:jc w:val="center"/>
                    <w:rPr>
                      <w:color w:val="auto"/>
                      <w:bCs/>
                      <w:szCs w:val="21"/>
                      <w:rFonts w:eastAsiaTheme="minorEastAsia"/>
                    </w:rPr>
                  </w:pPr>
                  <w:r>
                    <w:rPr>
                      <w:color w:val="auto"/>
                      <w:bCs/>
                      <w:szCs w:val="21"/>
                      <w:rFonts w:eastAsiaTheme="minorEastAsia"/>
                    </w:rPr>
                    <w:t>Q值</w:t>
                  </w:r>
                </w:p>
              </w:tc>
            </w:tr>
            <w:tr w14:paraId="20682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82" w:hRule="atLeast"/>
                <w:jc w:val="center"/>
              </w:trPr>
              <w:tc>
                <w:tcPr>
                  <w:tcW w:w="417" w:type="pct"/>
                  <w:vAlign w:val="center"/>
                  <w:tcBorders>
                    <w:top w:val="single" w:color="auto" w:sz="4" w:space="0"/>
                    <w:left w:val="nil"/>
                    <w:bottom w:val="single" w:color="auto" w:sz="4" w:space="0"/>
                    <w:right w:val="single" w:color="auto" w:sz="4" w:space="0"/>
                  </w:tcBorders>
                </w:tcPr>
                <w:p w14:paraId="43617D72">
                  <w:pPr>
                    <w:jc w:val="center"/>
                    <w:rPr>
                      <w:color w:val="auto"/>
                      <w:szCs w:val="21"/>
                      <w:rFonts w:eastAsiaTheme="minorEastAsia"/>
                    </w:rPr>
                  </w:pPr>
                  <w:r>
                    <w:rPr>
                      <w:color w:val="auto"/>
                      <w:szCs w:val="21"/>
                      <w:rFonts w:eastAsiaTheme="minorEastAsia"/>
                    </w:rPr>
                    <w:t>1</w:t>
                  </w:r>
                </w:p>
              </w:tc>
              <w:tc>
                <w:tcPr>
                  <w:tcW w:w="1250" w:type="pct"/>
                  <w:vAlign w:val="center"/>
                  <w:tcBorders>
                    <w:top w:val="single" w:color="auto" w:sz="4" w:space="0"/>
                    <w:left w:val="single" w:color="auto" w:sz="4" w:space="0"/>
                    <w:bottom w:val="single" w:color="auto" w:sz="4" w:space="0"/>
                    <w:right w:val="single" w:color="auto" w:sz="4" w:space="0"/>
                  </w:tcBorders>
                </w:tcPr>
                <w:p w14:paraId="01E8F148">
                  <w:pPr>
                    <w:jc w:val="center"/>
                    <w:rPr>
                      <w:color w:val="auto"/>
                      <w:szCs w:val="21"/>
                      <w:rFonts w:eastAsiaTheme="minorEastAsia"/>
                    </w:rPr>
                  </w:pPr>
                  <w:r>
                    <w:rPr>
                      <w:color w:val="auto"/>
                      <w:szCs w:val="21"/>
                      <w:rFonts w:eastAsiaTheme="minorEastAsia"/>
                    </w:rPr>
                    <w:t>导热油</w:t>
                  </w:r>
                </w:p>
              </w:tc>
              <w:tc>
                <w:tcPr>
                  <w:tcW w:w="650" w:type="pct"/>
                  <w:vAlign w:val="center"/>
                  <w:tcBorders>
                    <w:top w:val="single" w:color="auto" w:sz="4" w:space="0"/>
                    <w:left w:val="single" w:color="auto" w:sz="4" w:space="0"/>
                    <w:bottom w:val="single" w:color="auto" w:sz="4" w:space="0"/>
                    <w:right w:val="single" w:color="auto" w:sz="4" w:space="0"/>
                  </w:tcBorders>
                </w:tcPr>
                <w:p w14:paraId="2AA2ACDC">
                  <w:pPr>
                    <w:jc w:val="center"/>
                    <w:rPr>
                      <w:color w:val="auto"/>
                      <w:szCs w:val="21"/>
                      <w:rFonts w:eastAsiaTheme="minorEastAsia"/>
                    </w:rPr>
                  </w:pPr>
                  <w:r>
                    <w:rPr>
                      <w:color w:val="auto"/>
                      <w:szCs w:val="21"/>
                      <w:rFonts w:eastAsiaTheme="minorEastAsia"/>
                    </w:rPr>
                    <w:t>--</w:t>
                  </w:r>
                </w:p>
              </w:tc>
              <w:tc>
                <w:tcPr>
                  <w:tcW w:w="1021" w:type="pct"/>
                  <w:vAlign w:val="center"/>
                  <w:tcBorders>
                    <w:top w:val="single" w:color="auto" w:sz="4" w:space="0"/>
                    <w:left w:val="single" w:color="auto" w:sz="4" w:space="0"/>
                    <w:bottom w:val="single" w:color="auto" w:sz="4" w:space="0"/>
                    <w:right w:val="single" w:color="auto" w:sz="4" w:space="0"/>
                  </w:tcBorders>
                </w:tcPr>
                <w:p w14:paraId="7CC4CE3A">
                  <w:pPr>
                    <w:jc w:val="center"/>
                    <w:rPr>
                      <w:color w:val="auto"/>
                      <w:szCs w:val="21"/>
                      <w:rFonts w:eastAsiaTheme="minorEastAsia"/>
                    </w:rPr>
                  </w:pPr>
                  <w:r>
                    <w:rPr>
                      <w:color w:val="auto"/>
                      <w:szCs w:val="21"/>
                      <w:rFonts w:hint="eastAsia" w:eastAsiaTheme="minorEastAsia"/>
                    </w:rPr>
                    <w:t>3</w:t>
                  </w:r>
                </w:p>
              </w:tc>
              <w:tc>
                <w:tcPr>
                  <w:tcW w:w="747" w:type="pct"/>
                  <w:vAlign w:val="center"/>
                  <w:tcBorders>
                    <w:top w:val="single" w:color="auto" w:sz="4" w:space="0"/>
                    <w:left w:val="single" w:color="auto" w:sz="4" w:space="0"/>
                    <w:bottom w:val="single" w:color="auto" w:sz="4" w:space="0"/>
                    <w:right w:val="single" w:color="auto" w:sz="4" w:space="0"/>
                  </w:tcBorders>
                </w:tcPr>
                <w:p w14:paraId="5AB00DDA">
                  <w:pPr>
                    <w:jc w:val="center"/>
                    <w:rPr>
                      <w:color w:val="auto"/>
                      <w:szCs w:val="21"/>
                      <w:rFonts w:eastAsiaTheme="minorEastAsia"/>
                    </w:rPr>
                  </w:pPr>
                  <w:r>
                    <w:rPr>
                      <w:color w:val="auto"/>
                      <w:szCs w:val="21"/>
                      <w:rFonts w:eastAsiaTheme="minorEastAsia"/>
                    </w:rPr>
                    <w:t>2500</w:t>
                  </w:r>
                </w:p>
              </w:tc>
              <w:tc>
                <w:tcPr>
                  <w:tcW w:w="915" w:type="pct"/>
                  <w:vAlign w:val="center"/>
                  <w:tcBorders>
                    <w:top w:val="single" w:color="auto" w:sz="4" w:space="0"/>
                    <w:left w:val="single" w:color="auto" w:sz="4" w:space="0"/>
                    <w:bottom w:val="single" w:color="auto" w:sz="4" w:space="0"/>
                    <w:right w:val="nil"/>
                  </w:tcBorders>
                </w:tcPr>
                <w:p w14:paraId="3143F54C">
                  <w:pPr>
                    <w:jc w:val="center"/>
                    <w:rPr>
                      <w:color w:val="auto"/>
                      <w:szCs w:val="21"/>
                      <w:rFonts w:eastAsiaTheme="minorEastAsia"/>
                    </w:rPr>
                  </w:pPr>
                  <w:r>
                    <w:rPr>
                      <w:color w:val="auto"/>
                      <w:szCs w:val="21"/>
                      <w:rFonts w:hint="eastAsia" w:eastAsiaTheme="minorEastAsia"/>
                    </w:rPr>
                    <w:t>0.0012</w:t>
                  </w:r>
                </w:p>
              </w:tc>
            </w:tr>
            <w:tr w14:paraId="3370F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82" w:hRule="atLeast"/>
                <w:jc w:val="center"/>
              </w:trPr>
              <w:tc>
                <w:tcPr>
                  <w:tcW w:w="417" w:type="pct"/>
                  <w:vAlign w:val="center"/>
                  <w:tcBorders>
                    <w:top w:val="single" w:color="auto" w:sz="4" w:space="0"/>
                    <w:left w:val="nil"/>
                    <w:bottom w:val="single" w:color="auto" w:sz="4" w:space="0"/>
                    <w:right w:val="single" w:color="auto" w:sz="4" w:space="0"/>
                  </w:tcBorders>
                </w:tcPr>
                <w:p w14:paraId="66D3C39D">
                  <w:pPr>
                    <w:jc w:val="center"/>
                    <w:rPr>
                      <w:color w:val="auto"/>
                      <w:szCs w:val="21"/>
                      <w:rFonts w:eastAsiaTheme="minorEastAsia"/>
                    </w:rPr>
                  </w:pPr>
                  <w:r>
                    <w:rPr>
                      <w:color w:val="auto"/>
                      <w:szCs w:val="21"/>
                      <w:rFonts w:eastAsiaTheme="minorEastAsia"/>
                    </w:rPr>
                    <w:t>2</w:t>
                  </w:r>
                </w:p>
              </w:tc>
              <w:tc>
                <w:tcPr>
                  <w:tcW w:w="1250" w:type="pct"/>
                  <w:vAlign w:val="center"/>
                  <w:tcBorders>
                    <w:top w:val="single" w:color="auto" w:sz="4" w:space="0"/>
                    <w:left w:val="single" w:color="auto" w:sz="4" w:space="0"/>
                    <w:bottom w:val="single" w:color="auto" w:sz="4" w:space="0"/>
                    <w:right w:val="single" w:color="auto" w:sz="4" w:space="0"/>
                  </w:tcBorders>
                </w:tcPr>
                <w:p w14:paraId="61B6F958">
                  <w:pPr>
                    <w:jc w:val="center"/>
                    <w:rPr>
                      <w:color w:val="auto"/>
                      <w:szCs w:val="21"/>
                      <w:rFonts w:eastAsiaTheme="minorEastAsia"/>
                    </w:rPr>
                  </w:pPr>
                  <w:r>
                    <w:rPr>
                      <w:color w:val="auto"/>
                      <w:szCs w:val="21"/>
                      <w:rFonts w:hint="eastAsia" w:eastAsiaTheme="minorEastAsia"/>
                    </w:rPr>
                    <w:t>天然气</w:t>
                  </w:r>
                </w:p>
              </w:tc>
              <w:tc>
                <w:tcPr>
                  <w:tcW w:w="650" w:type="pct"/>
                  <w:vAlign w:val="center"/>
                  <w:tcBorders>
                    <w:top w:val="single" w:color="auto" w:sz="4" w:space="0"/>
                    <w:left w:val="single" w:color="auto" w:sz="4" w:space="0"/>
                    <w:bottom w:val="single" w:color="auto" w:sz="4" w:space="0"/>
                    <w:right w:val="single" w:color="auto" w:sz="4" w:space="0"/>
                  </w:tcBorders>
                </w:tcPr>
                <w:p w14:paraId="02BE3FB6">
                  <w:pPr>
                    <w:jc w:val="center"/>
                    <w:rPr>
                      <w:color w:val="auto"/>
                      <w:szCs w:val="21"/>
                      <w:rFonts w:eastAsiaTheme="minorEastAsia"/>
                    </w:rPr>
                  </w:pPr>
                  <w:r>
                    <w:rPr>
                      <w:color w:val="auto"/>
                      <w:szCs w:val="21"/>
                      <w:rFonts w:eastAsiaTheme="minorEastAsia"/>
                    </w:rPr>
                    <w:t>--</w:t>
                  </w:r>
                </w:p>
              </w:tc>
              <w:tc>
                <w:tcPr>
                  <w:tcW w:w="1021" w:type="pct"/>
                  <w:vAlign w:val="center"/>
                  <w:tcBorders>
                    <w:top w:val="single" w:color="auto" w:sz="4" w:space="0"/>
                    <w:left w:val="single" w:color="auto" w:sz="4" w:space="0"/>
                    <w:bottom w:val="single" w:color="auto" w:sz="4" w:space="0"/>
                    <w:right w:val="single" w:color="auto" w:sz="4" w:space="0"/>
                  </w:tcBorders>
                </w:tcPr>
                <w:p w14:paraId="0C4208BC">
                  <w:pPr>
                    <w:jc w:val="center"/>
                    <w:rPr>
                      <w:color w:val="auto"/>
                      <w:szCs w:val="21"/>
                      <w:rFonts w:eastAsiaTheme="minorEastAsia"/>
                    </w:rPr>
                  </w:pPr>
                  <w:r>
                    <w:rPr>
                      <w:color w:val="auto"/>
                      <w:szCs w:val="21"/>
                      <w:rFonts w:hint="eastAsia" w:eastAsiaTheme="minorEastAsia"/>
                    </w:rPr>
                    <w:t>8.86</w:t>
                  </w:r>
                </w:p>
              </w:tc>
              <w:tc>
                <w:tcPr>
                  <w:tcW w:w="747" w:type="pct"/>
                  <w:vAlign w:val="center"/>
                  <w:tcBorders>
                    <w:top w:val="single" w:color="auto" w:sz="4" w:space="0"/>
                    <w:left w:val="single" w:color="auto" w:sz="4" w:space="0"/>
                    <w:bottom w:val="single" w:color="auto" w:sz="4" w:space="0"/>
                    <w:right w:val="single" w:color="auto" w:sz="4" w:space="0"/>
                  </w:tcBorders>
                </w:tcPr>
                <w:p w14:paraId="12F3C38D">
                  <w:pPr>
                    <w:jc w:val="center"/>
                    <w:rPr>
                      <w:color w:val="auto"/>
                      <w:szCs w:val="21"/>
                      <w:rFonts w:eastAsiaTheme="minorEastAsia"/>
                    </w:rPr>
                  </w:pPr>
                  <w:r>
                    <w:rPr>
                      <w:color w:val="auto"/>
                      <w:szCs w:val="21"/>
                      <w:rFonts w:hint="eastAsia" w:eastAsiaTheme="minorEastAsia"/>
                    </w:rPr>
                    <w:t>10</w:t>
                  </w:r>
                </w:p>
              </w:tc>
              <w:tc>
                <w:tcPr>
                  <w:tcW w:w="915" w:type="pct"/>
                  <w:vAlign w:val="center"/>
                  <w:tcBorders>
                    <w:top w:val="single" w:color="auto" w:sz="4" w:space="0"/>
                    <w:left w:val="single" w:color="auto" w:sz="4" w:space="0"/>
                    <w:bottom w:val="single" w:color="auto" w:sz="4" w:space="0"/>
                    <w:right w:val="nil"/>
                  </w:tcBorders>
                </w:tcPr>
                <w:p w14:paraId="7B64FA9F">
                  <w:pPr>
                    <w:jc w:val="center"/>
                    <w:rPr>
                      <w:color w:val="auto"/>
                      <w:szCs w:val="21"/>
                      <w:rFonts w:eastAsiaTheme="minorEastAsia"/>
                    </w:rPr>
                  </w:pPr>
                  <w:r>
                    <w:rPr>
                      <w:color w:val="auto"/>
                      <w:szCs w:val="21"/>
                      <w:rFonts w:hint="eastAsia" w:eastAsiaTheme="minorEastAsia"/>
                    </w:rPr>
                    <w:t>0.886</w:t>
                  </w:r>
                </w:p>
              </w:tc>
            </w:tr>
            <w:tr w14:paraId="2EAB2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82" w:hRule="atLeast"/>
                <w:jc w:val="center"/>
              </w:trPr>
              <w:tc>
                <w:tcPr>
                  <w:tcW w:w="417" w:type="pct"/>
                  <w:vAlign w:val="center"/>
                  <w:tcBorders>
                    <w:top w:val="single" w:color="auto" w:sz="4" w:space="0"/>
                    <w:left w:val="nil"/>
                    <w:bottom w:val="single" w:color="auto" w:sz="4" w:space="0"/>
                    <w:right w:val="single" w:color="auto" w:sz="4" w:space="0"/>
                  </w:tcBorders>
                </w:tcPr>
                <w:p w14:paraId="670B31D9">
                  <w:pPr>
                    <w:jc w:val="center"/>
                    <w:rPr>
                      <w:color w:val="auto"/>
                      <w:szCs w:val="21"/>
                      <w:rFonts w:eastAsiaTheme="minorEastAsia"/>
                    </w:rPr>
                  </w:pPr>
                  <w:r>
                    <w:rPr>
                      <w:color w:val="auto"/>
                      <w:szCs w:val="21"/>
                      <w:rFonts w:hint="eastAsia" w:eastAsiaTheme="minorEastAsia"/>
                    </w:rPr>
                    <w:t>3</w:t>
                  </w:r>
                </w:p>
              </w:tc>
              <w:tc>
                <w:tcPr>
                  <w:tcW w:w="1250" w:type="pct"/>
                  <w:vAlign w:val="center"/>
                  <w:tcBorders>
                    <w:top w:val="single" w:color="auto" w:sz="4" w:space="0"/>
                    <w:left w:val="single" w:color="auto" w:sz="4" w:space="0"/>
                    <w:bottom w:val="single" w:color="auto" w:sz="4" w:space="0"/>
                    <w:right w:val="single" w:color="auto" w:sz="4" w:space="0"/>
                  </w:tcBorders>
                </w:tcPr>
                <w:p w14:paraId="290C8284">
                  <w:pPr>
                    <w:jc w:val="center"/>
                    <w:rPr>
                      <w:color w:val="auto"/>
                      <w:szCs w:val="21"/>
                      <w:rFonts w:eastAsiaTheme="minorEastAsia"/>
                    </w:rPr>
                  </w:pPr>
                  <w:r>
                    <w:rPr>
                      <w:color w:val="auto"/>
                      <w:szCs w:val="21"/>
                      <w:rFonts w:hint="eastAsia" w:eastAsiaTheme="minorEastAsia"/>
                    </w:rPr>
                    <w:t>废导热油</w:t>
                  </w:r>
                </w:p>
              </w:tc>
              <w:tc>
                <w:tcPr>
                  <w:tcW w:w="650" w:type="pct"/>
                  <w:vAlign w:val="center"/>
                  <w:tcBorders>
                    <w:top w:val="single" w:color="auto" w:sz="4" w:space="0"/>
                    <w:left w:val="single" w:color="auto" w:sz="4" w:space="0"/>
                    <w:bottom w:val="single" w:color="auto" w:sz="4" w:space="0"/>
                    <w:right w:val="single" w:color="auto" w:sz="4" w:space="0"/>
                  </w:tcBorders>
                </w:tcPr>
                <w:p w14:paraId="6580B765">
                  <w:pPr>
                    <w:jc w:val="center"/>
                    <w:rPr>
                      <w:color w:val="auto"/>
                      <w:szCs w:val="21"/>
                      <w:rFonts w:eastAsiaTheme="minorEastAsia"/>
                    </w:rPr>
                  </w:pPr>
                  <w:r>
                    <w:rPr>
                      <w:color w:val="auto"/>
                      <w:szCs w:val="21"/>
                      <w:rFonts w:eastAsiaTheme="minorEastAsia"/>
                    </w:rPr>
                    <w:t>--</w:t>
                  </w:r>
                </w:p>
              </w:tc>
              <w:tc>
                <w:tcPr>
                  <w:tcW w:w="1021" w:type="pct"/>
                  <w:vAlign w:val="center"/>
                  <w:tcBorders>
                    <w:top w:val="single" w:color="auto" w:sz="4" w:space="0"/>
                    <w:left w:val="single" w:color="auto" w:sz="4" w:space="0"/>
                    <w:bottom w:val="single" w:color="auto" w:sz="4" w:space="0"/>
                    <w:right w:val="single" w:color="auto" w:sz="4" w:space="0"/>
                  </w:tcBorders>
                </w:tcPr>
                <w:p w14:paraId="46FC602F">
                  <w:pPr>
                    <w:jc w:val="center"/>
                    <w:rPr>
                      <w:color w:val="auto"/>
                      <w:szCs w:val="21"/>
                      <w:rFonts w:eastAsiaTheme="minorEastAsia"/>
                    </w:rPr>
                  </w:pPr>
                  <w:r>
                    <w:rPr>
                      <w:color w:val="auto"/>
                      <w:szCs w:val="21"/>
                      <w:rFonts w:hint="eastAsia" w:eastAsiaTheme="minorEastAsia"/>
                    </w:rPr>
                    <w:t>3</w:t>
                  </w:r>
                </w:p>
              </w:tc>
              <w:tc>
                <w:tcPr>
                  <w:tcW w:w="747" w:type="pct"/>
                  <w:vAlign w:val="center"/>
                  <w:tcBorders>
                    <w:top w:val="single" w:color="auto" w:sz="4" w:space="0"/>
                    <w:left w:val="single" w:color="auto" w:sz="4" w:space="0"/>
                    <w:bottom w:val="single" w:color="auto" w:sz="4" w:space="0"/>
                    <w:right w:val="single" w:color="auto" w:sz="4" w:space="0"/>
                  </w:tcBorders>
                </w:tcPr>
                <w:p w14:paraId="3AAC2CD5">
                  <w:pPr>
                    <w:jc w:val="center"/>
                    <w:rPr>
                      <w:color w:val="auto"/>
                      <w:szCs w:val="21"/>
                      <w:rFonts w:eastAsiaTheme="minorEastAsia"/>
                    </w:rPr>
                  </w:pPr>
                  <w:r>
                    <w:rPr>
                      <w:color w:val="auto"/>
                      <w:szCs w:val="21"/>
                      <w:rFonts w:hint="eastAsia" w:eastAsiaTheme="minorEastAsia"/>
                    </w:rPr>
                    <w:t>2500</w:t>
                  </w:r>
                </w:p>
              </w:tc>
              <w:tc>
                <w:tcPr>
                  <w:tcW w:w="915" w:type="pct"/>
                  <w:vAlign w:val="center"/>
                  <w:tcBorders>
                    <w:top w:val="single" w:color="auto" w:sz="4" w:space="0"/>
                    <w:left w:val="single" w:color="auto" w:sz="4" w:space="0"/>
                    <w:bottom w:val="single" w:color="auto" w:sz="4" w:space="0"/>
                    <w:right w:val="nil"/>
                  </w:tcBorders>
                </w:tcPr>
                <w:p w14:paraId="35F270CD">
                  <w:pPr>
                    <w:jc w:val="center"/>
                    <w:rPr>
                      <w:color w:val="auto"/>
                      <w:szCs w:val="21"/>
                      <w:rFonts w:eastAsiaTheme="minorEastAsia"/>
                    </w:rPr>
                  </w:pPr>
                  <w:r>
                    <w:rPr>
                      <w:color w:val="auto"/>
                      <w:szCs w:val="21"/>
                      <w:rFonts w:hint="eastAsia" w:eastAsiaTheme="minorEastAsia"/>
                    </w:rPr>
                    <w:t>0.0012</w:t>
                  </w:r>
                </w:p>
              </w:tc>
            </w:tr>
            <w:tr w14:paraId="4B950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82" w:hRule="atLeast"/>
                <w:jc w:val="center"/>
              </w:trPr>
              <w:tc>
                <w:tcPr>
                  <w:tcW w:w="417" w:type="pct"/>
                  <w:vAlign w:val="center"/>
                  <w:tcBorders>
                    <w:top w:val="single" w:color="auto" w:sz="4" w:space="0"/>
                    <w:left w:val="nil"/>
                    <w:bottom w:val="single" w:color="auto" w:sz="4" w:space="0"/>
                    <w:right w:val="single" w:color="auto" w:sz="4" w:space="0"/>
                  </w:tcBorders>
                </w:tcPr>
                <w:p w14:paraId="52EF7999">
                  <w:pPr>
                    <w:jc w:val="center"/>
                    <w:rPr>
                      <w:color w:val="auto"/>
                      <w:szCs w:val="21"/>
                      <w:rFonts w:eastAsiaTheme="minorEastAsia"/>
                    </w:rPr>
                  </w:pPr>
                  <w:r>
                    <w:rPr>
                      <w:color w:val="auto"/>
                      <w:szCs w:val="21"/>
                      <w:rFonts w:hint="eastAsia" w:eastAsiaTheme="minorEastAsia"/>
                    </w:rPr>
                    <w:t>4</w:t>
                  </w:r>
                </w:p>
              </w:tc>
              <w:tc>
                <w:tcPr>
                  <w:tcW w:w="1250" w:type="pct"/>
                  <w:vAlign w:val="center"/>
                  <w:tcBorders>
                    <w:top w:val="single" w:color="auto" w:sz="4" w:space="0"/>
                    <w:left w:val="single" w:color="auto" w:sz="4" w:space="0"/>
                    <w:bottom w:val="single" w:color="auto" w:sz="4" w:space="0"/>
                    <w:right w:val="single" w:color="auto" w:sz="4" w:space="0"/>
                  </w:tcBorders>
                </w:tcPr>
                <w:p w14:paraId="74126C69">
                  <w:pPr>
                    <w:jc w:val="center"/>
                    <w:rPr>
                      <w:color w:val="auto"/>
                      <w:szCs w:val="21"/>
                      <w:rFonts w:eastAsiaTheme="minorEastAsia"/>
                    </w:rPr>
                  </w:pPr>
                  <w:r>
                    <w:rPr>
                      <w:rStyle w:val="73"/>
                      <w:color w:val="auto"/>
                      <w:sz w:val="21"/>
                      <w:szCs w:val="21"/>
                      <w:rFonts w:ascii="Times New Roman" w:hAnsi="Times New Roman" w:hint="default" w:eastAsiaTheme="minorEastAsia"/>
                    </w:rPr>
                    <w:t>废</w:t>
                  </w:r>
                  <w:r>
                    <w:rPr>
                      <w:rStyle w:val="76"/>
                      <w:color w:val="auto"/>
                      <w:sz w:val="21"/>
                      <w:szCs w:val="21"/>
                      <w:rFonts w:ascii="Times New Roman" w:hAnsi="Times New Roman" w:eastAsiaTheme="minorEastAsia"/>
                    </w:rPr>
                    <w:t>油桶中废矿物油</w:t>
                  </w:r>
                </w:p>
              </w:tc>
              <w:tc>
                <w:tcPr>
                  <w:tcW w:w="650" w:type="pct"/>
                  <w:vAlign w:val="center"/>
                  <w:tcBorders>
                    <w:top w:val="single" w:color="auto" w:sz="4" w:space="0"/>
                    <w:left w:val="single" w:color="auto" w:sz="4" w:space="0"/>
                    <w:bottom w:val="single" w:color="auto" w:sz="4" w:space="0"/>
                    <w:right w:val="single" w:color="auto" w:sz="4" w:space="0"/>
                  </w:tcBorders>
                </w:tcPr>
                <w:p w14:paraId="5D6779C1">
                  <w:pPr>
                    <w:jc w:val="center"/>
                    <w:rPr>
                      <w:color w:val="auto"/>
                      <w:szCs w:val="21"/>
                      <w:rFonts w:eastAsiaTheme="minorEastAsia"/>
                    </w:rPr>
                  </w:pPr>
                  <w:r>
                    <w:rPr>
                      <w:color w:val="auto"/>
                      <w:szCs w:val="21"/>
                      <w:rFonts w:eastAsiaTheme="minorEastAsia"/>
                    </w:rPr>
                    <w:t>--</w:t>
                  </w:r>
                </w:p>
              </w:tc>
              <w:tc>
                <w:tcPr>
                  <w:tcW w:w="1021" w:type="pct"/>
                  <w:vAlign w:val="center"/>
                  <w:tcBorders>
                    <w:top w:val="single" w:color="auto" w:sz="4" w:space="0"/>
                    <w:left w:val="single" w:color="auto" w:sz="4" w:space="0"/>
                    <w:bottom w:val="single" w:color="auto" w:sz="4" w:space="0"/>
                    <w:right w:val="single" w:color="auto" w:sz="4" w:space="0"/>
                  </w:tcBorders>
                </w:tcPr>
                <w:p w14:paraId="54D77D8B">
                  <w:pPr>
                    <w:jc w:val="center"/>
                    <w:rPr>
                      <w:color w:val="auto"/>
                      <w:szCs w:val="21"/>
                      <w:rFonts w:eastAsiaTheme="minorEastAsia"/>
                    </w:rPr>
                  </w:pPr>
                  <w:r>
                    <w:rPr>
                      <w:color w:val="auto"/>
                      <w:szCs w:val="21"/>
                      <w:rFonts w:hint="eastAsia" w:eastAsiaTheme="minorEastAsia"/>
                    </w:rPr>
                    <w:t>0.3</w:t>
                  </w:r>
                </w:p>
              </w:tc>
              <w:tc>
                <w:tcPr>
                  <w:tcW w:w="747" w:type="pct"/>
                  <w:vAlign w:val="center"/>
                  <w:tcBorders>
                    <w:top w:val="single" w:color="auto" w:sz="4" w:space="0"/>
                    <w:left w:val="single" w:color="auto" w:sz="4" w:space="0"/>
                    <w:bottom w:val="single" w:color="auto" w:sz="4" w:space="0"/>
                    <w:right w:val="single" w:color="auto" w:sz="4" w:space="0"/>
                  </w:tcBorders>
                </w:tcPr>
                <w:p w14:paraId="6C9D0B85">
                  <w:pPr>
                    <w:jc w:val="center"/>
                    <w:rPr>
                      <w:color w:val="auto"/>
                      <w:szCs w:val="21"/>
                      <w:rFonts w:eastAsiaTheme="minorEastAsia"/>
                    </w:rPr>
                  </w:pPr>
                  <w:r>
                    <w:rPr>
                      <w:color w:val="auto"/>
                      <w:szCs w:val="21"/>
                      <w:rFonts w:hint="eastAsia" w:eastAsiaTheme="minorEastAsia"/>
                    </w:rPr>
                    <w:t>2500</w:t>
                  </w:r>
                </w:p>
              </w:tc>
              <w:tc>
                <w:tcPr>
                  <w:tcW w:w="915" w:type="pct"/>
                  <w:vAlign w:val="center"/>
                  <w:tcBorders>
                    <w:top w:val="single" w:color="auto" w:sz="4" w:space="0"/>
                    <w:left w:val="single" w:color="auto" w:sz="4" w:space="0"/>
                    <w:bottom w:val="single" w:color="auto" w:sz="4" w:space="0"/>
                    <w:right w:val="nil"/>
                  </w:tcBorders>
                </w:tcPr>
                <w:p w14:paraId="71814CC5">
                  <w:pPr>
                    <w:jc w:val="center"/>
                    <w:rPr>
                      <w:color w:val="auto"/>
                      <w:szCs w:val="21"/>
                      <w:rFonts w:eastAsiaTheme="minorEastAsia"/>
                    </w:rPr>
                  </w:pPr>
                  <w:r>
                    <w:rPr>
                      <w:color w:val="auto"/>
                      <w:szCs w:val="21"/>
                      <w:rFonts w:hint="eastAsia" w:eastAsiaTheme="minorEastAsia"/>
                    </w:rPr>
                    <w:t>0.00012</w:t>
                  </w:r>
                </w:p>
              </w:tc>
            </w:tr>
            <w:tr w14:paraId="1CEA9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482" w:hRule="atLeast"/>
                <w:jc w:val="center"/>
              </w:trPr>
              <w:tc>
                <w:tcPr>
                  <w:tcW w:w="417" w:type="pct"/>
                  <w:vAlign w:val="center"/>
                  <w:tcBorders>
                    <w:top w:val="single" w:color="auto" w:sz="4" w:space="0"/>
                    <w:left w:val="nil"/>
                    <w:bottom w:val="single" w:color="auto" w:sz="4" w:space="0"/>
                    <w:right w:val="single" w:color="auto" w:sz="4" w:space="0"/>
                  </w:tcBorders>
                </w:tcPr>
                <w:p w14:paraId="599CCDC3">
                  <w:pPr>
                    <w:jc w:val="center"/>
                    <w:rPr>
                      <w:color w:val="auto"/>
                      <w:szCs w:val="21"/>
                      <w:rFonts w:eastAsiaTheme="minorEastAsia"/>
                    </w:rPr>
                  </w:pPr>
                  <w:r>
                    <w:rPr>
                      <w:color w:val="auto"/>
                      <w:szCs w:val="21"/>
                      <w:rFonts w:hint="eastAsia" w:eastAsiaTheme="minorEastAsia"/>
                    </w:rPr>
                    <w:t>5</w:t>
                  </w:r>
                </w:p>
              </w:tc>
              <w:tc>
                <w:tcPr>
                  <w:tcW w:w="1250" w:type="pct"/>
                  <w:vAlign w:val="center"/>
                  <w:tcBorders>
                    <w:top w:val="single" w:color="auto" w:sz="4" w:space="0"/>
                    <w:left w:val="single" w:color="auto" w:sz="4" w:space="0"/>
                    <w:bottom w:val="single" w:color="auto" w:sz="4" w:space="0"/>
                    <w:right w:val="single" w:color="auto" w:sz="4" w:space="0"/>
                  </w:tcBorders>
                </w:tcPr>
                <w:p w14:paraId="5A508B04">
                  <w:pPr>
                    <w:jc w:val="center"/>
                    <w:rPr>
                      <w:rStyle w:val="73"/>
                      <w:color w:val="auto"/>
                      <w:sz w:val="21"/>
                      <w:szCs w:val="21"/>
                      <w:rFonts w:ascii="Times New Roman" w:hAnsi="Times New Roman" w:hint="default" w:eastAsiaTheme="minorEastAsia"/>
                    </w:rPr>
                  </w:pPr>
                  <w:r>
                    <w:rPr>
                      <w:rStyle w:val="73"/>
                      <w:color w:val="auto"/>
                      <w:sz w:val="21"/>
                      <w:szCs w:val="21"/>
                      <w:rFonts w:ascii="Times New Roman" w:hAnsi="Times New Roman" w:hint="default" w:eastAsiaTheme="minorEastAsia"/>
                    </w:rPr>
                    <w:t>初期雨水池油污</w:t>
                  </w:r>
                </w:p>
              </w:tc>
              <w:tc>
                <w:tcPr>
                  <w:tcW w:w="650" w:type="pct"/>
                  <w:vAlign w:val="center"/>
                  <w:tcBorders>
                    <w:top w:val="single" w:color="auto" w:sz="4" w:space="0"/>
                    <w:left w:val="single" w:color="auto" w:sz="4" w:space="0"/>
                    <w:bottom w:val="single" w:color="auto" w:sz="4" w:space="0"/>
                    <w:right w:val="single" w:color="auto" w:sz="4" w:space="0"/>
                  </w:tcBorders>
                </w:tcPr>
                <w:p w14:paraId="6CA31EDB">
                  <w:pPr>
                    <w:jc w:val="center"/>
                    <w:rPr>
                      <w:color w:val="auto"/>
                      <w:szCs w:val="21"/>
                      <w:rFonts w:eastAsiaTheme="minorEastAsia"/>
                    </w:rPr>
                  </w:pPr>
                  <w:r>
                    <w:rPr>
                      <w:color w:val="auto"/>
                      <w:szCs w:val="21"/>
                      <w:rFonts w:eastAsiaTheme="minorEastAsia"/>
                    </w:rPr>
                    <w:t>--</w:t>
                  </w:r>
                </w:p>
              </w:tc>
              <w:tc>
                <w:tcPr>
                  <w:tcW w:w="1021" w:type="pct"/>
                  <w:vAlign w:val="center"/>
                  <w:tcBorders>
                    <w:top w:val="single" w:color="auto" w:sz="4" w:space="0"/>
                    <w:left w:val="single" w:color="auto" w:sz="4" w:space="0"/>
                    <w:bottom w:val="single" w:color="auto" w:sz="4" w:space="0"/>
                    <w:right w:val="single" w:color="auto" w:sz="4" w:space="0"/>
                  </w:tcBorders>
                </w:tcPr>
                <w:p w14:paraId="49902677">
                  <w:pPr>
                    <w:jc w:val="center"/>
                    <w:rPr>
                      <w:color w:val="auto"/>
                      <w:szCs w:val="21"/>
                      <w:rFonts w:eastAsiaTheme="minorEastAsia"/>
                    </w:rPr>
                  </w:pPr>
                  <w:r>
                    <w:rPr>
                      <w:color w:val="auto"/>
                      <w:szCs w:val="21"/>
                      <w:rFonts w:hint="eastAsia" w:eastAsiaTheme="minorEastAsia"/>
                    </w:rPr>
                    <w:t>0.001</w:t>
                  </w:r>
                </w:p>
              </w:tc>
              <w:tc>
                <w:tcPr>
                  <w:tcW w:w="747" w:type="pct"/>
                  <w:vAlign w:val="center"/>
                  <w:tcBorders>
                    <w:top w:val="single" w:color="auto" w:sz="4" w:space="0"/>
                    <w:left w:val="single" w:color="auto" w:sz="4" w:space="0"/>
                    <w:bottom w:val="single" w:color="auto" w:sz="4" w:space="0"/>
                    <w:right w:val="single" w:color="auto" w:sz="4" w:space="0"/>
                  </w:tcBorders>
                </w:tcPr>
                <w:p w14:paraId="27415EA1">
                  <w:pPr>
                    <w:jc w:val="center"/>
                    <w:rPr>
                      <w:color w:val="auto"/>
                      <w:szCs w:val="21"/>
                      <w:rFonts w:eastAsiaTheme="minorEastAsia"/>
                    </w:rPr>
                  </w:pPr>
                  <w:r>
                    <w:rPr>
                      <w:color w:val="auto"/>
                      <w:szCs w:val="21"/>
                      <w:rFonts w:hint="eastAsia" w:eastAsiaTheme="minorEastAsia"/>
                    </w:rPr>
                    <w:t>2500</w:t>
                  </w:r>
                </w:p>
              </w:tc>
              <w:tc>
                <w:tcPr>
                  <w:tcW w:w="915" w:type="pct"/>
                  <w:vAlign w:val="center"/>
                  <w:tcBorders>
                    <w:top w:val="single" w:color="auto" w:sz="4" w:space="0"/>
                    <w:left w:val="single" w:color="auto" w:sz="4" w:space="0"/>
                    <w:bottom w:val="single" w:color="auto" w:sz="4" w:space="0"/>
                    <w:right w:val="nil"/>
                  </w:tcBorders>
                </w:tcPr>
                <w:p w14:paraId="4460943F">
                  <w:pPr>
                    <w:jc w:val="center"/>
                    <w:rPr>
                      <w:color w:val="auto"/>
                      <w:szCs w:val="21"/>
                      <w:rFonts w:eastAsiaTheme="minorEastAsia"/>
                    </w:rPr>
                  </w:pPr>
                  <w:r>
                    <w:rPr>
                      <w:color w:val="auto"/>
                      <w:szCs w:val="21"/>
                      <w:rFonts w:hint="eastAsia" w:eastAsiaTheme="minorEastAsia"/>
                    </w:rPr>
                    <w:t>0.0000004</w:t>
                  </w:r>
                </w:p>
              </w:tc>
            </w:tr>
            <w:tr w14:paraId="39AE2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type="dxa" w:w="0.000000"/>
                  <w:bottom w:type="dxa" w:w="0.000000"/>
                  <w:left w:type="dxa" w:w="108.000000"/>
                  <w:right w:type="dxa" w:w="108.000000"/>
                </w:tblCellMar>
              </w:tblPrEx>
              <w:trPr>
                <w:trHeight w:val="284" w:hRule="atLeast"/>
                <w:jc w:val="center"/>
              </w:trPr>
              <w:tc>
                <w:tcPr>
                  <w:tcW w:w="4085" w:type="pct"/>
                  <w:gridSpan w:val="5"/>
                  <w:vAlign w:val="center"/>
                  <w:tcBorders>
                    <w:top w:val="single" w:color="auto" w:sz="4" w:space="0"/>
                    <w:left w:val="nil"/>
                    <w:bottom w:val="single" w:color="auto" w:sz="12" w:space="0"/>
                    <w:right w:val="single" w:color="auto" w:sz="4" w:space="0"/>
                  </w:tcBorders>
                </w:tcPr>
                <w:p w14:paraId="230424EB">
                  <w:pPr>
                    <w:jc w:val="center"/>
                    <w:rPr>
                      <w:color w:val="auto"/>
                      <w:szCs w:val="21"/>
                      <w:rFonts w:eastAsiaTheme="minorEastAsia"/>
                    </w:rPr>
                  </w:pPr>
                  <w:r>
                    <w:rPr>
                      <w:color w:val="auto"/>
                      <w:szCs w:val="21"/>
                      <w:rFonts w:eastAsiaTheme="minorEastAsia"/>
                    </w:rPr>
                    <w:t>合计</w:t>
                  </w:r>
                </w:p>
              </w:tc>
              <w:tc>
                <w:tcPr>
                  <w:tcW w:w="915" w:type="pct"/>
                  <w:vAlign w:val="center"/>
                  <w:tcBorders>
                    <w:top w:val="single" w:color="auto" w:sz="4" w:space="0"/>
                    <w:left w:val="single" w:color="auto" w:sz="4" w:space="0"/>
                    <w:bottom w:val="single" w:color="auto" w:sz="12" w:space="0"/>
                    <w:right w:val="nil"/>
                  </w:tcBorders>
                </w:tcPr>
                <w:p w14:paraId="0FE05547">
                  <w:pPr>
                    <w:jc w:val="center"/>
                    <w:rPr>
                      <w:b w:val="1"/>
                      <w:color w:val="auto"/>
                      <w:szCs w:val="21"/>
                      <w:rFonts w:eastAsiaTheme="minorEastAsia"/>
                    </w:rPr>
                  </w:pPr>
                  <w:r>
                    <w:rPr>
                      <w:b w:val="1"/>
                      <w:color w:val="auto"/>
                      <w:szCs w:val="21"/>
                      <w:rFonts w:hint="eastAsia" w:eastAsiaTheme="minorEastAsia"/>
                    </w:rPr>
                    <w:t>0.8885204</w:t>
                  </w:r>
                </w:p>
              </w:tc>
            </w:tr>
          </w:tbl>
          <w:p w14:paraId="0277F76A">
            <w:pPr>
              <w:spacing w:line="360" w:lineRule="auto"/>
              <w:ind w:firstLine="482" w:firstLineChars="200"/>
              <w:rPr>
                <w:b w:val="1"/>
                <w:color w:val="auto"/>
                <w:sz w:val="24"/>
                <w:rFonts w:eastAsiaTheme="minorEastAsia"/>
              </w:rPr>
            </w:pPr>
            <w:r>
              <w:rPr>
                <w:b w:val="1"/>
                <w:color w:val="auto"/>
                <w:sz w:val="24"/>
                <w:rFonts w:eastAsiaTheme="minorEastAsia"/>
              </w:rPr>
              <w:t>（</w:t>
            </w:r>
            <w:r>
              <w:rPr>
                <w:b w:val="1"/>
                <w:color w:val="auto"/>
                <w:sz w:val="24"/>
                <w:rFonts w:hint="eastAsia" w:eastAsiaTheme="minorEastAsia"/>
              </w:rPr>
              <w:t>2</w:t>
            </w:r>
            <w:r>
              <w:rPr>
                <w:b w:val="1"/>
                <w:color w:val="auto"/>
                <w:sz w:val="24"/>
                <w:rFonts w:eastAsiaTheme="minorEastAsia"/>
              </w:rPr>
              <w:t>）</w:t>
            </w:r>
            <w:r>
              <w:rPr>
                <w:b w:val="1"/>
                <w:color w:val="auto"/>
                <w:sz w:val="24"/>
                <w:kern w:val="0"/>
                <w:rFonts w:hint="eastAsia" w:eastAsiaTheme="minorEastAsia"/>
              </w:rPr>
              <w:t>风险源分布情况及影响途径</w:t>
            </w:r>
          </w:p>
          <w:p w14:paraId="55573F52">
            <w:pPr>
              <w:spacing w:line="360" w:lineRule="auto"/>
              <w:ind w:firstLine="460" w:firstLineChars="192"/>
              <w:rPr>
                <w:color w:val="auto"/>
                <w:sz w:val="24"/>
                <w:rFonts w:eastAsiaTheme="minorEastAsia"/>
              </w:rPr>
            </w:pPr>
            <w:r>
              <w:rPr>
                <w:color w:val="auto"/>
                <w:sz w:val="24"/>
                <w:rFonts w:eastAsiaTheme="minorEastAsia"/>
              </w:rPr>
              <w:t>本项目危险物质主要为密封</w:t>
            </w:r>
            <w:r>
              <w:rPr>
                <w:rStyle w:val="76"/>
                <w:color w:val="auto"/>
                <w:rFonts w:ascii="Times New Roman" w:hAnsi="Times New Roman" w:eastAsiaTheme="minorEastAsia"/>
              </w:rPr>
              <w:t>管道内的导热油和储罐内的</w:t>
            </w:r>
            <w:r>
              <w:rPr>
                <w:rStyle w:val="76"/>
                <w:color w:val="auto"/>
                <w:rFonts w:ascii="Times New Roman" w:hAnsi="Times New Roman" w:hint="eastAsia" w:eastAsiaTheme="minorEastAsia"/>
              </w:rPr>
              <w:t>天然气</w:t>
            </w:r>
            <w:r>
              <w:rPr>
                <w:color w:val="auto"/>
                <w:sz w:val="24"/>
                <w:rFonts w:eastAsiaTheme="minorEastAsia"/>
              </w:rPr>
              <w:t>。由于</w:t>
            </w:r>
            <w:r>
              <w:rPr>
                <w:rStyle w:val="76"/>
                <w:color w:val="auto"/>
                <w:rFonts w:ascii="Times New Roman" w:hAnsi="Times New Roman" w:eastAsiaTheme="minorEastAsia"/>
              </w:rPr>
              <w:t>导热油、</w:t>
            </w:r>
            <w:r>
              <w:rPr>
                <w:color w:val="auto"/>
                <w:sz w:val="24"/>
                <w:rFonts w:hint="eastAsia" w:eastAsiaTheme="minorEastAsia"/>
              </w:rPr>
              <w:t>天然气</w:t>
            </w:r>
            <w:r>
              <w:rPr>
                <w:color w:val="auto"/>
                <w:sz w:val="24"/>
                <w:rFonts w:eastAsiaTheme="minorEastAsia"/>
              </w:rPr>
              <w:t>的易燃、易爆性，存在泄漏、爆炸、火灾等风险，主要原因是管线缺陷，焊缝开裂，基础工程不合格，管道腐蚀及违规操作、管理不善、自然灾害等。油品和沥青一旦发生泄漏、爆炸、火灾等风险，将对大气和地下水造成影响。</w:t>
            </w:r>
          </w:p>
          <w:p w14:paraId="2F89270C">
            <w:pPr>
              <w:spacing w:line="360" w:lineRule="auto"/>
              <w:ind w:firstLine="482" w:firstLineChars="200"/>
              <w:rPr>
                <w:b w:val="1"/>
                <w:color w:val="auto"/>
                <w:sz w:val="24"/>
                <w:rFonts w:eastAsiaTheme="minorEastAsia"/>
              </w:rPr>
            </w:pPr>
            <w:r>
              <w:rPr>
                <w:b w:val="1"/>
                <w:color w:val="auto"/>
                <w:sz w:val="24"/>
                <w:rFonts w:eastAsiaTheme="minorEastAsia"/>
              </w:rPr>
              <w:t>（</w:t>
            </w:r>
            <w:r>
              <w:rPr>
                <w:b w:val="1"/>
                <w:color w:val="auto"/>
                <w:sz w:val="24"/>
                <w:rFonts w:hint="eastAsia" w:eastAsiaTheme="minorEastAsia"/>
              </w:rPr>
              <w:t>3</w:t>
            </w:r>
            <w:r>
              <w:rPr>
                <w:b w:val="1"/>
                <w:color w:val="auto"/>
                <w:sz w:val="24"/>
                <w:rFonts w:eastAsiaTheme="minorEastAsia"/>
              </w:rPr>
              <w:t>）风险防范措施</w:t>
            </w:r>
          </w:p>
          <w:p w14:paraId="2665D70F">
            <w:pPr>
              <w:contextualSpacing/>
              <w:spacing w:line="360" w:lineRule="auto"/>
              <w:ind w:firstLine="480" w:firstLineChars="200"/>
              <w:rPr>
                <w:color w:val="auto"/>
                <w:sz w:val="24"/>
                <w:szCs w:val="20"/>
                <w:rFonts w:eastAsiaTheme="minorEastAsia"/>
              </w:rPr>
            </w:pPr>
            <w:r>
              <w:rPr>
                <w:color w:val="auto"/>
                <w:sz w:val="24"/>
                <w:szCs w:val="20"/>
                <w:rFonts w:eastAsiaTheme="minorEastAsia"/>
              </w:rPr>
              <w:t>1、风险防范措施</w:t>
            </w:r>
          </w:p>
          <w:p w14:paraId="48CBD6A9">
            <w:pPr>
              <w:contextualSpacing/>
              <w:spacing w:line="360" w:lineRule="auto"/>
              <w:ind w:firstLine="480" w:firstLineChars="200"/>
              <w:rPr>
                <w:color w:val="auto"/>
                <w:sz w:val="24"/>
                <w:szCs w:val="20"/>
                <w:rFonts w:eastAsiaTheme="minorEastAsia"/>
              </w:rPr>
            </w:pPr>
            <w:r>
              <w:rPr>
                <w:color w:val="auto"/>
                <w:sz w:val="24"/>
                <w:szCs w:val="20"/>
                <w:rFonts w:eastAsiaTheme="minorEastAsia"/>
              </w:rPr>
              <w:t>①企业应</w:t>
            </w:r>
            <w:r>
              <w:rPr>
                <w:color w:val="auto"/>
                <w:sz w:val="24"/>
                <w:szCs w:val="20"/>
                <w:rFonts w:hint="eastAsia" w:eastAsiaTheme="minorEastAsia"/>
              </w:rPr>
              <w:t>建立健全环境风险防控体系，制定环境风险应急预案，成立应急组织机构，建设突发事件应急物资储备库，并与当地环境风险应急预案联动</w:t>
            </w:r>
            <w:r>
              <w:rPr>
                <w:color w:val="auto"/>
                <w:sz w:val="24"/>
                <w:szCs w:val="20"/>
                <w:rFonts w:eastAsiaTheme="minorEastAsia"/>
              </w:rPr>
              <w:t>，加强危险源的的普査、管理，引入安全检査表，强化系统协调运作体系，加强危险源的的普査、管理，引入安全检査表，强化系统协调运作，提髙事故预防能力，确保安全生产。</w:t>
            </w:r>
          </w:p>
          <w:p w14:paraId="2AF6278F">
            <w:pPr>
              <w:contextualSpacing/>
              <w:spacing w:line="360" w:lineRule="auto"/>
              <w:ind w:firstLine="480" w:firstLineChars="200"/>
              <w:rPr>
                <w:color w:val="auto"/>
                <w:sz w:val="24"/>
                <w:szCs w:val="20"/>
                <w:rFonts w:eastAsiaTheme="minorEastAsia"/>
              </w:rPr>
            </w:pPr>
            <w:r>
              <w:rPr>
                <w:color w:val="auto"/>
                <w:sz w:val="24"/>
                <w:szCs w:val="20"/>
                <w:rFonts w:eastAsiaTheme="minorEastAsia"/>
              </w:rPr>
              <w:t>②总图布置进行功能分区，分区内部和相互之间保持一定通道和间距；贮存和生产设施的布置应保证生产人员安全操作及疏散方便；厂区围墙两侧建筑物之间应满足消防主管部门规定的防火间距要求；建、构筑物之间的防火间距应符合有关规定；电力线路不应跨越装置区。</w:t>
            </w:r>
          </w:p>
          <w:p w14:paraId="3C8B788D">
            <w:pPr>
              <w:contextualSpacing/>
              <w:spacing w:line="360" w:lineRule="auto"/>
              <w:ind w:firstLine="480" w:firstLineChars="200"/>
              <w:rPr>
                <w:color w:val="auto"/>
                <w:sz w:val="24"/>
                <w:szCs w:val="20"/>
                <w:rFonts w:eastAsiaTheme="minorEastAsia"/>
              </w:rPr>
            </w:pPr>
            <w:r>
              <w:rPr>
                <w:color w:val="auto"/>
                <w:sz w:val="24"/>
                <w:szCs w:val="20"/>
                <w:rFonts w:eastAsiaTheme="minorEastAsia"/>
              </w:rPr>
              <w:t>③运行过程中对导热油密闭管路进行定期检查，导热油管路设置紧急切断转换电动阀门，一旦发生泄漏后及时紧急关闭，以减少油品泄漏量。</w:t>
            </w:r>
          </w:p>
          <w:p w14:paraId="1AC770EE">
            <w:pPr>
              <w:contextualSpacing/>
              <w:spacing w:line="360" w:lineRule="auto"/>
              <w:ind w:firstLine="480" w:firstLineChars="200"/>
              <w:rPr>
                <w:color w:val="auto"/>
                <w:sz w:val="24"/>
                <w:szCs w:val="20"/>
                <w:rFonts w:eastAsiaTheme="minorEastAsia"/>
              </w:rPr>
            </w:pPr>
            <w:r>
              <w:rPr>
                <w:color w:val="auto"/>
                <w:sz w:val="24"/>
                <w:szCs w:val="20"/>
                <w:rFonts w:eastAsiaTheme="minorEastAsia"/>
              </w:rPr>
              <w:fldChar w:fldCharType="begin"/>
            </w:r>
            <w:r>
              <w:rPr>
                <w:color w:val="auto"/>
                <w:sz w:val="24"/>
                <w:szCs w:val="20"/>
                <w:rFonts w:eastAsiaTheme="minorEastAsia"/>
              </w:rPr>
              <w:instrText xml:space="preserve"> = 4 \* GB3 </w:instrText>
            </w:r>
            <w:r>
              <w:rPr>
                <w:color w:val="auto"/>
                <w:sz w:val="24"/>
                <w:szCs w:val="20"/>
                <w:rFonts w:eastAsiaTheme="minorEastAsia"/>
              </w:rPr>
              <w:fldChar w:fldCharType="separate"/>
            </w:r>
            <w:r>
              <w:rPr>
                <w:color w:val="auto"/>
                <w:sz w:val="24"/>
                <w:szCs w:val="20"/>
                <w:rFonts w:eastAsiaTheme="minorEastAsia"/>
              </w:rPr>
              <w:t>④</w:t>
            </w:r>
            <w:r>
              <w:rPr>
                <w:color w:val="auto"/>
                <w:sz w:val="24"/>
                <w:szCs w:val="20"/>
                <w:rFonts w:eastAsiaTheme="minorEastAsia"/>
              </w:rPr>
              <w:fldChar w:fldCharType="end"/>
            </w:r>
            <w:r>
              <w:rPr>
                <w:color w:val="auto"/>
                <w:sz w:val="24"/>
                <w:szCs w:val="20"/>
                <w:rFonts w:eastAsiaTheme="minorEastAsia"/>
              </w:rPr>
              <w:t>组织周期性巡回检查，定期进行设备检修和阀门检测，及时发现跑冒滴漏或其他异常现象并及时检修，防患未然。</w:t>
            </w:r>
          </w:p>
          <w:p w14:paraId="5FEBE8A7">
            <w:pPr>
              <w:contextualSpacing/>
              <w:spacing w:line="360" w:lineRule="auto"/>
              <w:ind w:firstLine="480" w:firstLineChars="200"/>
              <w:rPr>
                <w:color w:val="auto"/>
                <w:sz w:val="24"/>
                <w:szCs w:val="20"/>
                <w:rFonts w:eastAsiaTheme="minorEastAsia"/>
              </w:rPr>
            </w:pPr>
            <w:r>
              <w:rPr>
                <w:color w:val="auto"/>
                <w:sz w:val="24"/>
                <w:szCs w:val="20"/>
                <w:rFonts w:eastAsiaTheme="minorEastAsia"/>
              </w:rPr>
              <w:fldChar w:fldCharType="begin"/>
            </w:r>
            <w:r>
              <w:rPr>
                <w:color w:val="auto"/>
                <w:sz w:val="24"/>
                <w:szCs w:val="20"/>
                <w:rFonts w:eastAsiaTheme="minorEastAsia"/>
              </w:rPr>
              <w:instrText xml:space="preserve"> = 5 \* GB3 </w:instrText>
            </w:r>
            <w:r>
              <w:rPr>
                <w:color w:val="auto"/>
                <w:sz w:val="24"/>
                <w:szCs w:val="20"/>
                <w:rFonts w:eastAsiaTheme="minorEastAsia"/>
              </w:rPr>
              <w:fldChar w:fldCharType="separate"/>
            </w:r>
            <w:r>
              <w:rPr>
                <w:color w:val="auto"/>
                <w:sz w:val="24"/>
                <w:szCs w:val="20"/>
                <w:rFonts w:eastAsiaTheme="minorEastAsia"/>
              </w:rPr>
              <w:t>⑤</w:t>
            </w:r>
            <w:r>
              <w:rPr>
                <w:color w:val="auto"/>
                <w:sz w:val="24"/>
                <w:szCs w:val="20"/>
                <w:rFonts w:eastAsiaTheme="minorEastAsia"/>
              </w:rPr>
              <w:fldChar w:fldCharType="end"/>
            </w:r>
            <w:r>
              <w:rPr>
                <w:color w:val="auto"/>
                <w:sz w:val="24"/>
                <w:szCs w:val="20"/>
                <w:rFonts w:eastAsiaTheme="minorEastAsia"/>
              </w:rPr>
              <w:t>当发生火灾等恶性事故时，立即切断电源，迅速转移人员，减少物资损失和人员伤亡，同时拨打火灾报警电话。组织业余消防队员利用一切可能的消防器材，全力灭火抢险，抢险灭火人员要戴正压式空气呼吸器，穿防火服，从上风向接近火源。</w:t>
            </w:r>
          </w:p>
          <w:p w14:paraId="339A8367">
            <w:pPr>
              <w:contextualSpacing/>
              <w:spacing w:line="360" w:lineRule="auto"/>
              <w:ind w:firstLine="480" w:firstLineChars="200"/>
              <w:rPr>
                <w:color w:val="auto"/>
                <w:sz w:val="24"/>
                <w:szCs w:val="20"/>
                <w:rFonts w:eastAsiaTheme="minorEastAsia"/>
              </w:rPr>
            </w:pPr>
            <w:r>
              <w:rPr>
                <w:color w:val="auto"/>
                <w:sz w:val="24"/>
                <w:szCs w:val="20"/>
                <w:rFonts w:eastAsiaTheme="minorEastAsia"/>
              </w:rPr>
              <w:t xml:space="preserve"> </w:t>
            </w:r>
            <w:r>
              <w:rPr>
                <w:color w:val="auto"/>
                <w:sz w:val="24"/>
                <w:szCs w:val="20"/>
                <w:rFonts w:eastAsiaTheme="minorEastAsia"/>
              </w:rPr>
              <w:fldChar w:fldCharType="begin"/>
            </w:r>
            <w:r>
              <w:rPr>
                <w:color w:val="auto"/>
                <w:sz w:val="24"/>
                <w:szCs w:val="20"/>
                <w:rFonts w:eastAsiaTheme="minorEastAsia"/>
              </w:rPr>
              <w:instrText xml:space="preserve"> = 6 \* GB3 </w:instrText>
            </w:r>
            <w:r>
              <w:rPr>
                <w:color w:val="auto"/>
                <w:sz w:val="24"/>
                <w:szCs w:val="20"/>
                <w:rFonts w:eastAsiaTheme="minorEastAsia"/>
              </w:rPr>
              <w:fldChar w:fldCharType="separate"/>
            </w:r>
            <w:r>
              <w:rPr>
                <w:color w:val="auto"/>
                <w:sz w:val="24"/>
                <w:szCs w:val="20"/>
                <w:rFonts w:eastAsiaTheme="minorEastAsia"/>
              </w:rPr>
              <w:t>⑥</w:t>
            </w:r>
            <w:r>
              <w:rPr>
                <w:color w:val="auto"/>
                <w:sz w:val="24"/>
                <w:szCs w:val="20"/>
                <w:rFonts w:eastAsiaTheme="minorEastAsia"/>
              </w:rPr>
              <w:fldChar w:fldCharType="end"/>
            </w:r>
            <w:r>
              <w:rPr>
                <w:color w:val="auto"/>
                <w:sz w:val="24"/>
                <w:kern w:val="0"/>
              </w:rPr>
              <w:t>危险废物</w:t>
            </w:r>
            <w:r>
              <w:rPr>
                <w:color w:val="auto"/>
                <w:sz w:val="24"/>
                <w:kern w:val="0"/>
                <w:rFonts w:hint="eastAsia"/>
              </w:rPr>
              <w:t>贮存</w:t>
            </w:r>
            <w:r>
              <w:rPr>
                <w:color w:val="auto"/>
                <w:sz w:val="24"/>
                <w:lang w:val="en-US" w:eastAsia="zh-CN"/>
                <w:kern w:val="0"/>
                <w:rFonts w:hint="eastAsia"/>
              </w:rPr>
              <w:t>点</w:t>
            </w:r>
            <w:r>
              <w:rPr>
                <w:color w:val="auto"/>
                <w:sz w:val="24"/>
                <w:kern w:val="0"/>
              </w:rPr>
              <w:t>为重点防渗区，用于存放厂区产生的危险废物，地面防渗，危废</w:t>
            </w:r>
            <w:r>
              <w:rPr>
                <w:color w:val="auto"/>
                <w:sz w:val="24"/>
                <w:kern w:val="0"/>
                <w:rFonts w:hint="eastAsia"/>
              </w:rPr>
              <w:t>贮</w:t>
            </w:r>
            <w:r>
              <w:rPr>
                <w:color w:val="auto"/>
                <w:sz w:val="24"/>
                <w:kern w:val="0"/>
              </w:rPr>
              <w:t>存</w:t>
            </w:r>
            <w:r>
              <w:rPr>
                <w:color w:val="auto"/>
                <w:sz w:val="24"/>
                <w:lang w:val="en-US" w:eastAsia="zh-CN"/>
                <w:kern w:val="0"/>
                <w:rFonts w:hint="eastAsia"/>
              </w:rPr>
              <w:t>点</w:t>
            </w:r>
            <w:r>
              <w:rPr>
                <w:color w:val="auto"/>
                <w:sz w:val="24"/>
                <w:kern w:val="0"/>
              </w:rPr>
              <w:t>防渗层为至少1米厚</w:t>
            </w:r>
            <w:r>
              <w:rPr>
                <w:color w:val="auto"/>
                <w:sz w:val="24"/>
                <w:kern w:val="0"/>
                <w:rFonts w:hint="eastAsia"/>
              </w:rPr>
              <w:t>黏土</w:t>
            </w:r>
            <w:r>
              <w:rPr>
                <w:color w:val="auto"/>
                <w:sz w:val="24"/>
                <w:kern w:val="0"/>
              </w:rPr>
              <w:t>层（渗透系数≤10</w:t>
            </w:r>
            <w:r>
              <w:rPr>
                <w:vertAlign w:val="superscript"/>
                <w:color w:val="auto"/>
                <w:sz w:val="24"/>
                <w:kern w:val="0"/>
              </w:rPr>
              <w:t>-7</w:t>
            </w:r>
            <w:r>
              <w:rPr>
                <w:color w:val="auto"/>
                <w:sz w:val="24"/>
                <w:kern w:val="0"/>
              </w:rPr>
              <w:t>cm/s），或2mm高密度聚乙烯，或至少2mm厚</w:t>
            </w:r>
            <w:r>
              <w:rPr>
                <w:color w:val="auto"/>
                <w:sz w:val="24"/>
                <w:kern w:val="0"/>
                <w:rFonts w:hint="eastAsia"/>
              </w:rPr>
              <w:t>的其他</w:t>
            </w:r>
            <w:r>
              <w:rPr>
                <w:color w:val="auto"/>
                <w:sz w:val="24"/>
                <w:kern w:val="0"/>
              </w:rPr>
              <w:t>人工材料，渗透系数≤1×10</w:t>
            </w:r>
            <w:r>
              <w:rPr>
                <w:vertAlign w:val="superscript"/>
                <w:color w:val="auto"/>
                <w:sz w:val="24"/>
                <w:kern w:val="0"/>
              </w:rPr>
              <w:t>-10</w:t>
            </w:r>
            <w:r>
              <w:rPr>
                <w:color w:val="auto"/>
                <w:sz w:val="24"/>
                <w:kern w:val="0"/>
              </w:rPr>
              <w:t>cm/s，设置围堰，张贴危废标识，满足《危险废物贮存污染控制标准》（GB18597-2023）的要求</w:t>
            </w:r>
            <w:r>
              <w:rPr>
                <w:color w:val="auto"/>
                <w:sz w:val="24"/>
                <w:szCs w:val="20"/>
                <w:rFonts w:eastAsiaTheme="minorEastAsia"/>
              </w:rPr>
              <w:t>。</w:t>
            </w:r>
          </w:p>
          <w:p w14:paraId="726923F4">
            <w:pPr>
              <w:contextualSpacing/>
              <w:spacing w:line="360" w:lineRule="auto"/>
              <w:ind w:firstLine="480" w:firstLineChars="200"/>
              <w:rPr>
                <w:color w:val="auto"/>
                <w:sz w:val="24"/>
                <w:szCs w:val="20"/>
                <w:rFonts w:eastAsiaTheme="minorEastAsia"/>
              </w:rPr>
            </w:pPr>
            <w:r>
              <w:rPr>
                <w:color w:val="auto"/>
                <w:sz w:val="24"/>
                <w:szCs w:val="20"/>
                <w:rFonts w:eastAsiaTheme="minorEastAsia"/>
              </w:rPr>
              <w:t>在严格落实应急措施后，可将风险发生的概率和影响后果降到最低限度。一旦发生事故，及时采取应急措施，可将对大气和地下水的影响降到最低限度，其风险水平可以被接受。</w:t>
            </w:r>
          </w:p>
          <w:p w14:paraId="4AB6D77C">
            <w:pPr>
              <w:jc w:val="left"/>
              <w:contextualSpacing/>
              <w:spacing w:line="360" w:lineRule="auto"/>
              <w:ind w:firstLine="472" w:firstLineChars="196"/>
              <w:rPr>
                <w:color w:val="auto"/>
                <w:sz w:val="24"/>
                <w:kern w:val="0"/>
              </w:rPr>
            </w:pPr>
            <w:r>
              <w:rPr>
                <w:b w:val="1"/>
                <w:color w:val="auto"/>
                <w:sz w:val="24"/>
                <w:rFonts w:hAnsiTheme="minorEastAsia" w:eastAsiaTheme="minorEastAsia"/>
              </w:rPr>
              <w:t>（六）地下水、土壤环境分析</w:t>
            </w:r>
          </w:p>
          <w:p w14:paraId="34E03BF1">
            <w:pPr>
              <w:jc w:val="left"/>
              <w:contextualSpacing/>
              <w:spacing w:line="360" w:lineRule="auto"/>
              <w:ind w:firstLine="480" w:firstLineChars="200"/>
              <w:rPr>
                <w:color w:val="auto"/>
                <w:sz w:val="24"/>
                <w:kern w:val="0"/>
              </w:rPr>
            </w:pPr>
            <w:r>
              <w:rPr>
                <w:color w:val="auto"/>
                <w:sz w:val="24"/>
                <w:kern w:val="0"/>
              </w:rPr>
              <w:t>本项目无</w:t>
            </w:r>
            <w:r>
              <w:rPr>
                <w:color w:val="auto"/>
                <w:sz w:val="24"/>
              </w:rPr>
              <w:t>生产废水产生</w:t>
            </w:r>
            <w:r>
              <w:rPr>
                <w:color w:val="auto"/>
                <w:sz w:val="24"/>
                <w:kern w:val="0"/>
              </w:rPr>
              <w:t>，</w:t>
            </w:r>
            <w:r>
              <w:rPr>
                <w:color w:val="auto"/>
                <w:sz w:val="24"/>
              </w:rPr>
              <w:t>生活污水排入防渗旱厕，定期清掏，外运堆肥，不外排</w:t>
            </w:r>
            <w:r>
              <w:rPr>
                <w:color w:val="auto"/>
                <w:sz w:val="24"/>
                <w:kern w:val="0"/>
              </w:rPr>
              <w:t>；</w:t>
            </w:r>
            <w:r>
              <w:rPr>
                <w:color w:val="auto"/>
                <w:sz w:val="24"/>
                <w:szCs w:val="20"/>
                <w:rFonts w:eastAsiaTheme="minorEastAsia"/>
              </w:rPr>
              <w:t>本项目</w:t>
            </w:r>
            <w:r>
              <w:rPr>
                <w:color w:val="auto"/>
                <w:sz w:val="24"/>
                <w:kern w:val="0"/>
              </w:rPr>
              <w:t>沥青储罐进行基础防渗。沥青储罐、</w:t>
            </w:r>
            <w:r>
              <w:rPr>
                <w:color w:val="auto"/>
                <w:sz w:val="24"/>
                <w:szCs w:val="20"/>
                <w:rFonts w:eastAsiaTheme="minorEastAsia"/>
              </w:rPr>
              <w:t>危废</w:t>
            </w:r>
            <w:r>
              <w:rPr>
                <w:color w:val="auto"/>
                <w:sz w:val="24"/>
                <w:szCs w:val="20"/>
                <w:rFonts w:hint="eastAsia" w:eastAsiaTheme="minorEastAsia"/>
              </w:rPr>
              <w:t>贮存</w:t>
            </w:r>
            <w:r>
              <w:rPr>
                <w:color w:val="auto"/>
                <w:sz w:val="24"/>
                <w:lang w:val="en-US" w:eastAsia="zh-CN"/>
                <w:kern w:val="0"/>
                <w:rFonts w:hint="eastAsia"/>
              </w:rPr>
              <w:t>点</w:t>
            </w:r>
            <w:r>
              <w:rPr>
                <w:color w:val="auto"/>
                <w:sz w:val="24"/>
                <w:szCs w:val="20"/>
                <w:rFonts w:eastAsiaTheme="minorEastAsia"/>
              </w:rPr>
              <w:t>、初期雨水池防渗层为至少1米厚粘土层（渗透系数≤10</w:t>
            </w:r>
            <w:r>
              <w:rPr>
                <w:vertAlign w:val="superscript"/>
                <w:color w:val="auto"/>
                <w:sz w:val="24"/>
                <w:szCs w:val="20"/>
                <w:rFonts w:eastAsiaTheme="minorEastAsia"/>
              </w:rPr>
              <w:t>-7</w:t>
            </w:r>
            <w:r>
              <w:rPr>
                <w:color w:val="auto"/>
                <w:sz w:val="24"/>
                <w:bCs/>
                <w:szCs w:val="20"/>
                <w:rFonts w:eastAsiaTheme="minorEastAsia"/>
              </w:rPr>
              <w:t xml:space="preserve"> cm/s</w:t>
            </w:r>
            <w:r>
              <w:rPr>
                <w:color w:val="auto"/>
                <w:sz w:val="24"/>
                <w:szCs w:val="20"/>
                <w:rFonts w:eastAsiaTheme="minorEastAsia"/>
              </w:rPr>
              <w:t>），或2mm高密度聚乙烯，或至少2mm厚的其它人工材料，渗透系数≤1×10</w:t>
            </w:r>
            <w:r>
              <w:rPr>
                <w:vertAlign w:val="superscript"/>
                <w:color w:val="auto"/>
                <w:sz w:val="24"/>
                <w:szCs w:val="20"/>
                <w:rFonts w:eastAsiaTheme="minorEastAsia"/>
              </w:rPr>
              <w:t>-10</w:t>
            </w:r>
            <w:r>
              <w:rPr>
                <w:color w:val="auto"/>
                <w:sz w:val="24"/>
                <w:szCs w:val="20"/>
                <w:rFonts w:eastAsiaTheme="minorEastAsia"/>
              </w:rPr>
              <w:t>cm/s，</w:t>
            </w:r>
            <w:r>
              <w:rPr>
                <w:color w:val="auto"/>
                <w:sz w:val="24"/>
                <w:kern w:val="0"/>
                <w:rFonts w:hint="eastAsia"/>
              </w:rPr>
              <w:t>废导热油储存区采取围堰措施，围堰地面及墙脚防渗，渗透系数</w:t>
            </w:r>
            <w:r>
              <w:rPr>
                <w:color w:val="auto"/>
                <w:sz w:val="24"/>
                <w:kern w:val="0"/>
              </w:rPr>
              <w:t>≤</w:t>
            </w:r>
            <w:r>
              <w:rPr>
                <w:color w:val="auto"/>
                <w:sz w:val="24"/>
                <w:kern w:val="0"/>
                <w:rFonts w:hint="eastAsia"/>
              </w:rPr>
              <w:t>10</w:t>
            </w:r>
            <w:r>
              <w:rPr>
                <w:vertAlign w:val="superscript"/>
                <w:color w:val="auto"/>
                <w:sz w:val="24"/>
                <w:kern w:val="0"/>
                <w:rFonts w:hint="eastAsia"/>
              </w:rPr>
              <w:t>-7</w:t>
            </w:r>
            <w:r>
              <w:rPr>
                <w:color w:val="auto"/>
                <w:sz w:val="24"/>
                <w:kern w:val="0"/>
                <w:rFonts w:hint="eastAsia"/>
              </w:rPr>
              <w:t>cm/s。</w:t>
            </w:r>
            <w:r>
              <w:rPr>
                <w:color w:val="auto"/>
                <w:sz w:val="24"/>
                <w:kern w:val="0"/>
              </w:rPr>
              <w:t>本项目天然气、沥青储罐、管道均为耐腐蚀均材质，天然气储罐周围设置50cm高围堰，围堰区域范围按储罐最大外形向外延伸0.8m，围堰内有效容积为240m³，围堰地面及墙脚防渗，渗透系数≤10</w:t>
            </w:r>
            <w:r>
              <w:rPr>
                <w:vertAlign w:val="superscript"/>
                <w:color w:val="auto"/>
                <w:sz w:val="24"/>
                <w:kern w:val="0"/>
              </w:rPr>
              <w:t>-7</w:t>
            </w:r>
            <w:r>
              <w:rPr>
                <w:color w:val="auto"/>
                <w:sz w:val="24"/>
                <w:kern w:val="0"/>
              </w:rPr>
              <w:t>cm/s。厂区其他地面简单防渗，地面进行硬化处理，不会对地下水及厂区内土壤产生影响</w:t>
            </w:r>
            <w:r>
              <w:rPr>
                <w:color w:val="auto"/>
                <w:sz w:val="24"/>
                <w:szCs w:val="20"/>
                <w:rFonts w:eastAsiaTheme="minorEastAsia"/>
              </w:rPr>
              <w:t>。</w:t>
            </w:r>
          </w:p>
          <w:p w14:paraId="1DED5F7C">
            <w:pPr>
              <w:contextualSpacing/>
              <w:spacing w:line="360" w:lineRule="auto"/>
              <w:ind w:firstLine="480" w:firstLineChars="200"/>
              <w:rPr>
                <w:color w:val="auto"/>
                <w:sz w:val="24"/>
                <w:rFonts w:eastAsiaTheme="minorEastAsia"/>
              </w:rPr>
            </w:pPr>
            <w:r>
              <w:rPr>
                <w:color w:val="auto"/>
                <w:sz w:val="24"/>
                <w:szCs w:val="20"/>
                <w:rFonts w:eastAsiaTheme="minorEastAsia"/>
              </w:rPr>
              <w:t>根据项目特点，本项目造成厂区外土壤污染的途径主要有：沥青烟气中苯并[a]芘随大气沉降渗入土壤。</w:t>
            </w:r>
          </w:p>
          <w:p w14:paraId="3BDAE25E">
            <w:pPr>
              <w:autoSpaceDE w:val="0"/>
              <w:autoSpaceDN w:val="0"/>
              <w:contextualSpacing/>
              <w:spacing w:line="360" w:lineRule="auto"/>
              <w:ind w:firstLine="480" w:firstLineChars="200"/>
              <w:rPr>
                <w:color w:val="auto"/>
                <w:sz w:val="24"/>
                <w:kern w:val="0"/>
                <w:rFonts w:hAnsi="宋体"/>
              </w:rPr>
            </w:pPr>
            <w:r>
              <w:rPr>
                <w:color w:val="auto"/>
                <w:sz w:val="24"/>
                <w:kern w:val="0"/>
                <w:rFonts w:hAnsi="宋体"/>
              </w:rPr>
              <w:t>根据《排污单位自行监测技术指南</w:t>
            </w:r>
            <w:r>
              <w:rPr>
                <w:color w:val="auto"/>
                <w:sz w:val="24"/>
                <w:kern w:val="0"/>
              </w:rPr>
              <w:t xml:space="preserve"> </w:t>
            </w:r>
            <w:r>
              <w:rPr>
                <w:color w:val="auto"/>
                <w:sz w:val="24"/>
                <w:kern w:val="0"/>
                <w:rFonts w:hAnsi="宋体"/>
              </w:rPr>
              <w:t>总则》（</w:t>
            </w:r>
            <w:r>
              <w:rPr>
                <w:color w:val="auto"/>
                <w:sz w:val="24"/>
                <w:kern w:val="0"/>
              </w:rPr>
              <w:t>HJ 819-2017</w:t>
            </w:r>
            <w:r>
              <w:rPr>
                <w:color w:val="auto"/>
                <w:sz w:val="24"/>
                <w:kern w:val="0"/>
                <w:rFonts w:hAnsi="宋体"/>
              </w:rPr>
              <w:t>）的规定，监测指标及监测频次如下：</w:t>
            </w:r>
          </w:p>
          <w:p w14:paraId="36F0EB47">
            <w:pPr>
              <w:contextualSpacing/>
              <w:rPr>
                <w:b w:val="1"/>
                <w:color w:val="auto"/>
                <w:sz w:val="24"/>
                <w:bCs/>
                <w:rFonts w:hAnsi="宋体"/>
              </w:rPr>
            </w:pPr>
          </w:p>
          <w:p w14:paraId="2B312B37">
            <w:pPr>
              <w:jc w:val="center"/>
              <w:contextualSpacing/>
              <w:rPr>
                <w:b w:val="1"/>
                <w:color w:val="auto"/>
                <w:sz w:val="24"/>
                <w:bCs/>
                <w:rFonts w:hAnsi="宋体"/>
              </w:rPr>
            </w:pPr>
            <w:r>
              <w:rPr>
                <w:b w:val="1"/>
                <w:color w:val="auto"/>
                <w:sz w:val="24"/>
                <w:bCs/>
                <w:rFonts w:hAnsi="宋体"/>
              </w:rPr>
              <w:t>表</w:t>
            </w:r>
            <w:r>
              <w:rPr>
                <w:b w:val="1"/>
                <w:color w:val="auto"/>
                <w:sz w:val="24"/>
                <w:bCs/>
              </w:rPr>
              <w:t>4-</w:t>
            </w:r>
            <w:r>
              <w:rPr>
                <w:b w:val="1"/>
                <w:color w:val="auto"/>
                <w:sz w:val="24"/>
                <w:lang w:val="en-US" w:eastAsia="zh-CN"/>
                <w:bCs/>
                <w:rFonts w:hint="eastAsia"/>
              </w:rPr>
              <w:t>14</w:t>
            </w:r>
            <w:r>
              <w:rPr>
                <w:b w:val="1"/>
                <w:color w:val="auto"/>
                <w:sz w:val="24"/>
                <w:bCs/>
              </w:rPr>
              <w:t xml:space="preserve"> </w:t>
            </w:r>
            <w:r>
              <w:rPr>
                <w:b w:val="1"/>
                <w:color w:val="auto"/>
                <w:sz w:val="24"/>
                <w:bCs/>
                <w:rFonts w:hAnsi="宋体"/>
              </w:rPr>
              <w:t>监测指标及监测频次</w:t>
            </w:r>
          </w:p>
          <w:tbl>
            <w:tblPr>
              <w:tblStyle w:val="27"/>
              <w:tblW w:w="8151" w:type="dxa"/>
              <w:jc w:val="center"/>
              <w:tblLayout w:type="fixed"/>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
            <w:tblGrid>
              <w:gridCol w:w="1837.000000"/>
              <w:gridCol w:w="3202.000000"/>
              <w:gridCol w:w="1713.000000"/>
              <w:gridCol w:w="1399.000000"/>
            </w:tblGrid>
            <w:tr w14:paraId="3FD9CF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326" w:hRule="atLeast"/>
                <w:jc w:val="center"/>
              </w:trPr>
              <w:tc>
                <w:tcPr>
                  <w:tcW w:w="1837" w:type="dxa"/>
                  <w:vAlign w:val="center"/>
                </w:tcPr>
                <w:p w14:paraId="71113322">
                  <w:pPr>
                    <w:jc w:val="center"/>
                    <w:rPr>
                      <w:color w:val="auto"/>
                      <w:szCs w:val="21"/>
                    </w:rPr>
                  </w:pPr>
                  <w:r>
                    <w:rPr>
                      <w:color w:val="auto"/>
                      <w:szCs w:val="21"/>
                      <w:rFonts w:hAnsi="宋体"/>
                    </w:rPr>
                    <w:t>要素</w:t>
                  </w:r>
                </w:p>
              </w:tc>
              <w:tc>
                <w:tcPr>
                  <w:tcW w:w="3202" w:type="dxa"/>
                  <w:vAlign w:val="center"/>
                </w:tcPr>
                <w:p w14:paraId="5DA2C258">
                  <w:pPr>
                    <w:jc w:val="center"/>
                    <w:rPr>
                      <w:color w:val="auto"/>
                      <w:szCs w:val="21"/>
                    </w:rPr>
                  </w:pPr>
                  <w:r>
                    <w:rPr>
                      <w:color w:val="auto"/>
                      <w:szCs w:val="21"/>
                      <w:rFonts w:hAnsi="宋体"/>
                    </w:rPr>
                    <w:t>监测因子</w:t>
                  </w:r>
                </w:p>
              </w:tc>
              <w:tc>
                <w:tcPr>
                  <w:tcW w:w="1713" w:type="dxa"/>
                  <w:vAlign w:val="center"/>
                </w:tcPr>
                <w:p w14:paraId="2D666D37">
                  <w:pPr>
                    <w:jc w:val="center"/>
                    <w:rPr>
                      <w:color w:val="auto"/>
                      <w:szCs w:val="21"/>
                    </w:rPr>
                  </w:pPr>
                  <w:r>
                    <w:rPr>
                      <w:color w:val="auto"/>
                      <w:szCs w:val="21"/>
                      <w:rFonts w:hAnsi="宋体"/>
                    </w:rPr>
                    <w:t>监测点位</w:t>
                  </w:r>
                </w:p>
              </w:tc>
              <w:tc>
                <w:tcPr>
                  <w:tcW w:w="1399" w:type="dxa"/>
                  <w:vAlign w:val="center"/>
                </w:tcPr>
                <w:p w14:paraId="433E7F1A">
                  <w:pPr>
                    <w:jc w:val="center"/>
                    <w:rPr>
                      <w:color w:val="auto"/>
                      <w:szCs w:val="21"/>
                    </w:rPr>
                  </w:pPr>
                  <w:r>
                    <w:rPr>
                      <w:color w:val="auto"/>
                      <w:szCs w:val="21"/>
                      <w:rFonts w:hAnsi="宋体"/>
                    </w:rPr>
                    <w:t>监测频次</w:t>
                  </w:r>
                </w:p>
              </w:tc>
            </w:tr>
            <w:tr w14:paraId="23EA3D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type="dxa" w:w="0.000000"/>
                  <w:bottom w:type="dxa" w:w="0.000000"/>
                  <w:left w:type="dxa" w:w="108.000000"/>
                  <w:right w:type="dxa" w:w="108.000000"/>
                </w:tblCellMar>
              </w:tblPrEx>
              <w:trPr>
                <w:trHeight w:val="387" w:hRule="atLeast"/>
                <w:jc w:val="center"/>
              </w:trPr>
              <w:tc>
                <w:tcPr>
                  <w:tcW w:w="1837" w:type="dxa"/>
                  <w:vAlign w:val="center"/>
                </w:tcPr>
                <w:p w14:paraId="3F136303">
                  <w:pPr>
                    <w:jc w:val="center"/>
                    <w:rPr>
                      <w:color w:val="auto"/>
                      <w:szCs w:val="21"/>
                    </w:rPr>
                  </w:pPr>
                  <w:r>
                    <w:rPr>
                      <w:color w:val="auto"/>
                      <w:szCs w:val="21"/>
                      <w:rFonts w:hAnsi="宋体" w:hint="eastAsia"/>
                    </w:rPr>
                    <w:t>土壤</w:t>
                  </w:r>
                </w:p>
              </w:tc>
              <w:tc>
                <w:tcPr>
                  <w:tcW w:w="3202" w:type="dxa"/>
                  <w:vAlign w:val="center"/>
                </w:tcPr>
                <w:p w14:paraId="29C01FF2">
                  <w:pPr>
                    <w:jc w:val="center"/>
                    <w:rPr>
                      <w:color w:val="auto"/>
                      <w:szCs w:val="21"/>
                    </w:rPr>
                  </w:pPr>
                  <w:r>
                    <w:rPr>
                      <w:color w:val="auto"/>
                      <w:szCs w:val="21"/>
                    </w:rPr>
                    <w:t>苯并[a]芘</w:t>
                  </w:r>
                </w:p>
              </w:tc>
              <w:tc>
                <w:tcPr>
                  <w:tcW w:w="1713" w:type="dxa"/>
                  <w:vAlign w:val="center"/>
                </w:tcPr>
                <w:p w14:paraId="47B40FCC">
                  <w:pPr>
                    <w:jc w:val="center"/>
                    <w:rPr>
                      <w:color w:val="auto"/>
                      <w:szCs w:val="21"/>
                    </w:rPr>
                  </w:pPr>
                  <w:r>
                    <w:rPr>
                      <w:color w:val="auto"/>
                      <w:szCs w:val="21"/>
                      <w:rFonts w:hAnsi="宋体" w:hint="eastAsia"/>
                    </w:rPr>
                    <w:t>监测点</w:t>
                  </w:r>
                </w:p>
              </w:tc>
              <w:tc>
                <w:tcPr>
                  <w:tcW w:w="1399" w:type="dxa"/>
                  <w:vAlign w:val="center"/>
                </w:tcPr>
                <w:p w14:paraId="38494838">
                  <w:pPr>
                    <w:jc w:val="center"/>
                    <w:rPr>
                      <w:color w:val="auto"/>
                      <w:szCs w:val="21"/>
                    </w:rPr>
                  </w:pPr>
                  <w:r>
                    <w:rPr>
                      <w:color w:val="auto"/>
                      <w:szCs w:val="21"/>
                    </w:rPr>
                    <w:t>1</w:t>
                  </w:r>
                  <w:r>
                    <w:rPr>
                      <w:color w:val="auto"/>
                      <w:szCs w:val="21"/>
                      <w:rFonts w:hAnsi="宋体"/>
                    </w:rPr>
                    <w:t>次</w:t>
                  </w:r>
                  <w:r>
                    <w:rPr>
                      <w:color w:val="auto"/>
                      <w:szCs w:val="21"/>
                    </w:rPr>
                    <w:t>/</w:t>
                  </w:r>
                  <w:r>
                    <w:rPr>
                      <w:color w:val="auto"/>
                      <w:szCs w:val="21"/>
                      <w:rFonts w:hAnsi="宋体"/>
                    </w:rPr>
                    <w:t>年</w:t>
                  </w:r>
                </w:p>
              </w:tc>
            </w:tr>
          </w:tbl>
          <w:p w14:paraId="5F08F50B">
            <w:pPr>
              <w:jc w:val="center"/>
              <w:contextualSpacing/>
              <w:spacing w:line="360" w:lineRule="auto"/>
              <w:rPr>
                <w:b w:val="1"/>
                <w:color w:val="auto"/>
              </w:rPr>
            </w:pPr>
            <w:r>
              <w:rPr>
                <w:b w:val="1"/>
                <w:color w:val="auto"/>
              </w:rPr>
              <w:drawing>
                <wp:anchor distT="0" distB="0" distL="114300" distR="114300" simplePos="0" relativeHeight="251664384" behindDoc="0" locked="0" layoutInCell="1" allowOverlap="1">
                  <wp:simplePos x="0" y="0"/>
                  <wp:positionH relativeFrom="column">
                    <wp:posOffset>7711440</wp:posOffset>
                  </wp:positionH>
                  <wp:positionV relativeFrom="paragraph">
                    <wp:posOffset>-3347085</wp:posOffset>
                  </wp:positionV>
                  <wp:extent cx="732790" cy="751840"/>
                  <wp:effectExtent l="19050" t="0" r="0" b="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19" cstate="print"/>
                          <a:srcRect/>
                          <a:stretch>
                            <a:fillRect/>
                          </a:stretch>
                        </pic:blipFill>
                        <pic:spPr>
                          <a:xfrm>
                            <a:off x="0" y="0"/>
                            <a:ext cx="729095" cy="748145"/>
                          </a:xfrm>
                          <a:prstGeom prst="rect">
                            <a:avLst/>
                          </a:prstGeom>
                          <a:noFill/>
                          <a:ln w="9525">
                            <a:noFill/>
                            <a:miter lim="800000"/>
                          </a:ln>
                        </pic:spPr>
                      </pic:pic>
                    </a:graphicData>
                  </a:graphic>
                </wp:anchor>
              </w:drawing>
            </w:r>
            <w:r>
              <w:rPr>
                <w:b w:val="1"/>
                <w:color w:val="auto"/>
              </w:rPr>
              <w:drawing>
                <wp:anchor distT="0" distB="0" distL="114300" distR="114300" simplePos="0" relativeHeight="251662336" behindDoc="0" locked="0" layoutInCell="1" allowOverlap="1">
                  <wp:simplePos x="0" y="0"/>
                  <wp:positionH relativeFrom="column">
                    <wp:posOffset>7711440</wp:posOffset>
                  </wp:positionH>
                  <wp:positionV relativeFrom="paragraph">
                    <wp:posOffset>-3347085</wp:posOffset>
                  </wp:positionV>
                  <wp:extent cx="732790" cy="751840"/>
                  <wp:effectExtent l="19050" t="0" r="0" b="0"/>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pic:nvPicPr>
                        <pic:blipFill>
                          <a:blip r:embed="rId19" cstate="print"/>
                          <a:srcRect/>
                          <a:stretch>
                            <a:fillRect/>
                          </a:stretch>
                        </pic:blipFill>
                        <pic:spPr>
                          <a:xfrm>
                            <a:off x="0" y="0"/>
                            <a:ext cx="729095" cy="748145"/>
                          </a:xfrm>
                          <a:prstGeom prst="rect">
                            <a:avLst/>
                          </a:prstGeom>
                          <a:noFill/>
                          <a:ln w="9525">
                            <a:noFill/>
                            <a:miter lim="800000"/>
                          </a:ln>
                        </pic:spPr>
                      </pic:pic>
                    </a:graphicData>
                  </a:graphic>
                </wp:anchor>
              </w:drawing>
            </w:r>
            <w:r>
              <w:rPr>
                <w:b w:val="1"/>
                <w:color w:val="auto"/>
              </w:rPr>
              <w:drawing>
                <wp:anchor distT="0" distB="0" distL="114300" distR="114300" simplePos="0" relativeHeight="251663360" behindDoc="0" locked="0" layoutInCell="1" allowOverlap="1">
                  <wp:simplePos x="0" y="0"/>
                  <wp:positionH relativeFrom="column">
                    <wp:posOffset>7711440</wp:posOffset>
                  </wp:positionH>
                  <wp:positionV relativeFrom="paragraph">
                    <wp:posOffset>-3347085</wp:posOffset>
                  </wp:positionV>
                  <wp:extent cx="732790" cy="751840"/>
                  <wp:effectExtent l="19050" t="0" r="0" b="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19" cstate="print"/>
                          <a:srcRect/>
                          <a:stretch>
                            <a:fillRect/>
                          </a:stretch>
                        </pic:blipFill>
                        <pic:spPr>
                          <a:xfrm>
                            <a:off x="0" y="0"/>
                            <a:ext cx="729095" cy="748145"/>
                          </a:xfrm>
                          <a:prstGeom prst="rect">
                            <a:avLst/>
                          </a:prstGeom>
                          <a:noFill/>
                          <a:ln w="9525">
                            <a:noFill/>
                            <a:miter lim="800000"/>
                          </a:ln>
                        </pic:spPr>
                      </pic:pic>
                    </a:graphicData>
                  </a:graphic>
                </wp:anchor>
              </w:drawing>
            </w:r>
          </w:p>
        </w:tc>
      </w:tr>
    </w:tbl>
    <w:p w14:paraId="2B259BDE">
      <w:pPr>
        <w:adjustRightInd w:val="0"/>
        <w:snapToGrid w:val="0"/>
        <w:spacing w:line="360" w:lineRule="auto"/>
        <w:rPr>
          <w:b w:val="1"/>
          <w:color w:val="auto"/>
          <w:sz w:val="28"/>
          <w:kern w:val="0"/>
          <w:szCs w:val="28"/>
        </w:rPr>
        <w:sectPr>
          <w:docGrid w:type="default" w:linePitch="312" w:charSpace="0"/>
          <w:pgSz w:w="11907" w:h="16840"/>
          <w:pgMar w:top="1701" w:right="1531" w:bottom="2127" w:left="1531" w:header="851" w:footer="851"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720" w:num="1"/>
        </w:sectPr>
      </w:pPr>
    </w:p>
    <w:p w14:paraId="78242191">
      <w:pPr>
        <w:pStyle w:val="22"/>
        <w:jc w:val="center"/>
        <w:outlineLvl w:val="0"/>
        <w:rPr>
          <w:color w:val="auto"/>
          <w:sz w:val="30"/>
          <w:szCs w:val="30"/>
          <w:rFonts w:ascii="Times New Roman" w:hAnsi="Times New Roman" w:eastAsia="黑体"/>
        </w:rPr>
      </w:pPr>
      <w:bookmarkStart w:id="18" w:name="_Toc68775756"/>
      <w:r>
        <w:rPr>
          <w:color w:val="auto"/>
          <w:sz w:val="30"/>
          <w:szCs w:val="30"/>
          <w:rFonts w:ascii="Times New Roman" w:hAnsi="Times New Roman" w:eastAsia="黑体"/>
        </w:rPr>
        <w:t>五、</w:t>
      </w:r>
      <w:bookmarkStart w:id="19" w:name="_Hlk54167917"/>
      <w:r>
        <w:rPr>
          <w:color w:val="auto"/>
          <w:sz w:val="30"/>
          <w:szCs w:val="30"/>
          <w:rFonts w:ascii="Times New Roman" w:hAnsi="Times New Roman" w:eastAsia="黑体"/>
        </w:rPr>
        <w:t>环境保护措施监督检查清单</w:t>
      </w:r>
      <w:bookmarkEnd w:id="18"/>
      <w:bookmarkEnd w:id="19"/>
    </w:p>
    <w:tbl>
      <w:tblPr>
        <w:tblStyle w:val="27"/>
        <w:tblW w:w="0" w:type="auto"/>
        <w:jc w:val="center"/>
        <w:tblLayout w:type="fixed"/>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
      <w:tblGrid>
        <w:gridCol w:w="994.000000"/>
        <w:gridCol w:w="1560.000000"/>
        <w:gridCol w:w="1460.000000"/>
        <w:gridCol w:w="3260.000000"/>
        <w:gridCol w:w="2509.000000"/>
      </w:tblGrid>
      <w:tr w14:paraId="66104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5" w:hRule="atLeast"/>
          <w:jc w:val="center"/>
        </w:trPr>
        <w:tc>
          <w:tcPr>
            <w:tcW w:w="994" w:type="dxa"/>
            <w:tcBorders>
              <w:tl2br w:val="single" w:color="auto" w:sz="4" w:space="0"/>
            </w:tcBorders>
          </w:tcPr>
          <w:p w14:paraId="786FE4B6">
            <w:pPr>
              <w:adjustRightInd w:val="0"/>
              <w:snapToGrid w:val="0"/>
              <w:ind w:firstLine="240" w:firstLineChars="100"/>
              <w:rPr>
                <w:color w:val="auto"/>
                <w:sz w:val="24"/>
              </w:rPr>
            </w:pPr>
            <w:r>
              <w:rPr>
                <w:color w:val="auto"/>
                <w:sz w:val="24"/>
              </w:rPr>
              <w:t>内容</w:t>
            </w:r>
          </w:p>
          <w:p w14:paraId="08FFEA6F">
            <w:pPr>
              <w:adjustRightInd w:val="0"/>
              <w:snapToGrid w:val="0"/>
              <w:rPr>
                <w:color w:val="auto"/>
                <w:sz w:val="24"/>
              </w:rPr>
            </w:pPr>
          </w:p>
          <w:p w14:paraId="5CBBE13F">
            <w:pPr>
              <w:adjustRightInd w:val="0"/>
              <w:snapToGrid w:val="0"/>
              <w:rPr>
                <w:color w:val="auto"/>
                <w:sz w:val="24"/>
              </w:rPr>
            </w:pPr>
            <w:r>
              <w:rPr>
                <w:color w:val="auto"/>
                <w:sz w:val="24"/>
              </w:rPr>
              <w:t>要素</w:t>
            </w:r>
          </w:p>
        </w:tc>
        <w:tc>
          <w:tcPr>
            <w:tcW w:w="1560" w:type="dxa"/>
            <w:vAlign w:val="center"/>
          </w:tcPr>
          <w:p w14:paraId="463B1297">
            <w:pPr>
              <w:adjustRightInd w:val="0"/>
              <w:snapToGrid w:val="0"/>
              <w:jc w:val="center"/>
              <w:rPr>
                <w:color w:val="auto"/>
                <w:sz w:val="24"/>
              </w:rPr>
            </w:pPr>
            <w:r>
              <w:rPr>
                <w:color w:val="auto"/>
                <w:sz w:val="24"/>
              </w:rPr>
              <w:t>排放口(编号、名称)/污染源</w:t>
            </w:r>
          </w:p>
        </w:tc>
        <w:tc>
          <w:tcPr>
            <w:tcW w:w="1460" w:type="dxa"/>
            <w:vAlign w:val="center"/>
          </w:tcPr>
          <w:p w14:paraId="354FBE6B">
            <w:pPr>
              <w:adjustRightInd w:val="0"/>
              <w:snapToGrid w:val="0"/>
              <w:jc w:val="center"/>
              <w:rPr>
                <w:color w:val="auto"/>
                <w:sz w:val="24"/>
              </w:rPr>
            </w:pPr>
            <w:r>
              <w:rPr>
                <w:color w:val="auto"/>
                <w:sz w:val="24"/>
              </w:rPr>
              <w:t>污染物项目</w:t>
            </w:r>
          </w:p>
        </w:tc>
        <w:tc>
          <w:tcPr>
            <w:tcW w:w="3260" w:type="dxa"/>
            <w:vAlign w:val="center"/>
          </w:tcPr>
          <w:p w14:paraId="294557A2">
            <w:pPr>
              <w:adjustRightInd w:val="0"/>
              <w:snapToGrid w:val="0"/>
              <w:jc w:val="center"/>
              <w:rPr>
                <w:color w:val="auto"/>
                <w:sz w:val="24"/>
              </w:rPr>
            </w:pPr>
            <w:r>
              <w:rPr>
                <w:color w:val="auto"/>
                <w:sz w:val="24"/>
              </w:rPr>
              <w:t>环境保护措施</w:t>
            </w:r>
          </w:p>
        </w:tc>
        <w:tc>
          <w:tcPr>
            <w:tcW w:w="2509" w:type="dxa"/>
            <w:vAlign w:val="center"/>
          </w:tcPr>
          <w:p w14:paraId="072241F9">
            <w:pPr>
              <w:adjustRightInd w:val="0"/>
              <w:snapToGrid w:val="0"/>
              <w:jc w:val="center"/>
              <w:rPr>
                <w:color w:val="auto"/>
                <w:sz w:val="24"/>
              </w:rPr>
            </w:pPr>
            <w:r>
              <w:rPr>
                <w:color w:val="auto"/>
                <w:sz w:val="24"/>
              </w:rPr>
              <w:t>执行标准</w:t>
            </w:r>
          </w:p>
        </w:tc>
      </w:tr>
      <w:tr w14:paraId="031C1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5" w:hRule="atLeast"/>
          <w:jc w:val="center"/>
        </w:trPr>
        <w:tc>
          <w:tcPr>
            <w:tcW w:w="994" w:type="dxa"/>
            <w:vMerge w:val="restart"/>
            <w:vAlign w:val="center"/>
          </w:tcPr>
          <w:p w14:paraId="481749CB">
            <w:pPr>
              <w:adjustRightInd w:val="0"/>
              <w:snapToGrid w:val="0"/>
              <w:jc w:val="center"/>
              <w:rPr>
                <w:color w:val="auto"/>
                <w:sz w:val="24"/>
              </w:rPr>
            </w:pPr>
            <w:r>
              <w:rPr>
                <w:color w:val="auto"/>
                <w:sz w:val="24"/>
              </w:rPr>
              <w:t>大气环境</w:t>
            </w:r>
          </w:p>
        </w:tc>
        <w:tc>
          <w:tcPr>
            <w:tcW w:w="1560" w:type="dxa"/>
            <w:vAlign w:val="center"/>
            <w:tcBorders>
              <w:bottom w:val="single" w:color="auto" w:sz="4" w:space="0"/>
            </w:tcBorders>
          </w:tcPr>
          <w:p w14:paraId="125F4795">
            <w:pPr>
              <w:jc w:val="center"/>
              <w:contextualSpacing/>
              <w:spacing w:line="0" w:lineRule="atLeast"/>
              <w:rPr>
                <w:color w:val="auto"/>
                <w:sz w:val="24"/>
              </w:rPr>
            </w:pPr>
            <w:r>
              <w:rPr>
                <w:color w:val="auto"/>
                <w:sz w:val="24"/>
                <w:rFonts w:hint="eastAsia"/>
              </w:rPr>
              <w:t>除尘</w:t>
            </w:r>
            <w:r>
              <w:rPr>
                <w:color w:val="auto"/>
                <w:sz w:val="24"/>
              </w:rPr>
              <w:t>系统</w:t>
            </w:r>
            <w:r>
              <w:rPr>
                <w:color w:val="auto"/>
                <w:sz w:val="24"/>
                <w:rFonts w:hint="eastAsia"/>
              </w:rPr>
              <w:t>排气筒</w:t>
            </w:r>
            <w:r>
              <w:rPr>
                <w:color w:val="auto"/>
                <w:sz w:val="24"/>
              </w:rPr>
              <w:t>（</w:t>
            </w:r>
            <w:r>
              <w:rPr>
                <w:color w:val="auto"/>
                <w:sz w:val="24"/>
                <w:rFonts w:hint="eastAsia"/>
              </w:rPr>
              <w:t>DA001</w:t>
            </w:r>
            <w:r>
              <w:rPr>
                <w:color w:val="auto"/>
                <w:sz w:val="24"/>
              </w:rPr>
              <w:t>）</w:t>
            </w:r>
          </w:p>
        </w:tc>
        <w:tc>
          <w:tcPr>
            <w:tcW w:w="1460" w:type="dxa"/>
            <w:vAlign w:val="center"/>
            <w:tcBorders>
              <w:bottom w:val="single" w:color="auto" w:sz="4" w:space="0"/>
            </w:tcBorders>
          </w:tcPr>
          <w:p w14:paraId="490D4688">
            <w:pPr>
              <w:jc w:val="center"/>
              <w:contextualSpacing/>
              <w:rPr>
                <w:color w:val="auto"/>
                <w:sz w:val="24"/>
              </w:rPr>
            </w:pPr>
            <w:r>
              <w:rPr>
                <w:color w:val="auto"/>
                <w:sz w:val="24"/>
                <w:rFonts w:hAnsi="宋体"/>
              </w:rPr>
              <w:t>颗粒物、</w:t>
            </w:r>
            <w:r>
              <w:rPr>
                <w:color w:val="auto"/>
                <w:sz w:val="24"/>
              </w:rPr>
              <w:t>SO</w:t>
            </w:r>
            <w:r>
              <w:rPr>
                <w:vertAlign w:val="subscript"/>
                <w:color w:val="auto"/>
                <w:sz w:val="24"/>
              </w:rPr>
              <w:t>2</w:t>
            </w:r>
            <w:r>
              <w:rPr>
                <w:color w:val="auto"/>
                <w:sz w:val="24"/>
                <w:rFonts w:hAnsi="宋体"/>
              </w:rPr>
              <w:t>、</w:t>
            </w:r>
            <w:r>
              <w:rPr>
                <w:color w:val="auto"/>
                <w:sz w:val="24"/>
              </w:rPr>
              <w:t>NO</w:t>
            </w:r>
            <w:r>
              <w:rPr>
                <w:vertAlign w:val="subscript"/>
                <w:color w:val="auto"/>
                <w:sz w:val="24"/>
              </w:rPr>
              <w:t>X</w:t>
            </w:r>
          </w:p>
        </w:tc>
        <w:tc>
          <w:tcPr>
            <w:tcW w:w="3260" w:type="dxa"/>
            <w:vAlign w:val="center"/>
          </w:tcPr>
          <w:p w14:paraId="506CBCD7">
            <w:pPr>
              <w:jc w:val="center"/>
              <w:contextualSpacing/>
              <w:rPr>
                <w:color w:val="auto"/>
                <w:spacing w:val="-6"/>
                <w:sz w:val="24"/>
              </w:rPr>
            </w:pPr>
            <w:r>
              <w:rPr>
                <w:color w:val="auto"/>
                <w:sz w:val="24"/>
                <w:rFonts w:hAnsi="宋体" w:hint="eastAsia"/>
              </w:rPr>
              <w:t>碎石筛分、烘干废气、热料仓落料废气、矿粉筒仓装卸废气、冷料仓上料废气、28MW燃天然气燃烧器烟气经除尘系统（重力+布袋）处理后，由15m高除尘系统排气筒（DA001）排放，除尘效率为99%</w:t>
            </w:r>
          </w:p>
        </w:tc>
        <w:tc>
          <w:tcPr>
            <w:tcW w:w="2509" w:type="dxa"/>
            <w:vAlign w:val="center"/>
          </w:tcPr>
          <w:p w14:paraId="56870E5A">
            <w:pPr>
              <w:adjustRightInd w:val="0"/>
              <w:snapToGrid w:val="0"/>
              <w:jc w:val="center"/>
              <w:rPr>
                <w:color w:val="auto"/>
                <w:sz w:val="24"/>
              </w:rPr>
            </w:pPr>
            <w:r>
              <w:rPr>
                <w:color w:val="auto"/>
                <w:sz w:val="24"/>
                <w:bCs/>
              </w:rPr>
              <w:t>《大气污染物综合排放标准》（GB16297-1996）表2中二级排放标准</w:t>
            </w:r>
          </w:p>
        </w:tc>
      </w:tr>
      <w:tr w14:paraId="28875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5" w:hRule="atLeast"/>
          <w:jc w:val="center"/>
        </w:trPr>
        <w:tc>
          <w:tcPr>
            <w:tcW w:w="994" w:type="dxa"/>
            <w:vMerge w:val="continue"/>
            <w:vAlign w:val="center"/>
          </w:tcPr>
          <w:p w14:paraId="6C05C798">
            <w:pPr>
              <w:adjustRightInd w:val="0"/>
              <w:snapToGrid w:val="0"/>
              <w:jc w:val="center"/>
              <w:rPr>
                <w:color w:val="auto"/>
                <w:sz w:val="24"/>
              </w:rPr>
            </w:pPr>
          </w:p>
        </w:tc>
        <w:tc>
          <w:tcPr>
            <w:tcW w:w="1560" w:type="dxa"/>
            <w:vAlign w:val="center"/>
            <w:tcBorders>
              <w:bottom w:val="single" w:color="auto" w:sz="4" w:space="0"/>
            </w:tcBorders>
          </w:tcPr>
          <w:p w14:paraId="45A1300D">
            <w:pPr>
              <w:jc w:val="center"/>
              <w:contextualSpacing/>
              <w:spacing w:line="0" w:lineRule="atLeast"/>
              <w:rPr>
                <w:color w:val="auto"/>
                <w:sz w:val="24"/>
              </w:rPr>
            </w:pPr>
            <w:r>
              <w:rPr>
                <w:color w:val="auto"/>
                <w:sz w:val="24"/>
                <w:rFonts w:hAnsi="宋体"/>
              </w:rPr>
              <w:t>导热油炉烟囱</w:t>
            </w:r>
            <w:r>
              <w:rPr>
                <w:color w:val="auto"/>
                <w:sz w:val="24"/>
              </w:rPr>
              <w:t>（</w:t>
            </w:r>
            <w:r>
              <w:rPr>
                <w:color w:val="auto"/>
                <w:sz w:val="24"/>
                <w:rFonts w:hint="eastAsia"/>
              </w:rPr>
              <w:t>DA002</w:t>
            </w:r>
            <w:r>
              <w:rPr>
                <w:color w:val="auto"/>
                <w:sz w:val="24"/>
              </w:rPr>
              <w:t>）</w:t>
            </w:r>
          </w:p>
        </w:tc>
        <w:tc>
          <w:tcPr>
            <w:tcW w:w="1460" w:type="dxa"/>
            <w:vAlign w:val="center"/>
            <w:tcBorders>
              <w:bottom w:val="single" w:color="auto" w:sz="4" w:space="0"/>
            </w:tcBorders>
          </w:tcPr>
          <w:p w14:paraId="108D8E06">
            <w:pPr>
              <w:jc w:val="center"/>
              <w:contextualSpacing/>
              <w:rPr>
                <w:color w:val="auto"/>
                <w:sz w:val="24"/>
              </w:rPr>
            </w:pPr>
            <w:r>
              <w:rPr>
                <w:color w:val="auto"/>
                <w:sz w:val="24"/>
                <w:rFonts w:hAnsi="宋体"/>
              </w:rPr>
              <w:t>颗粒物、</w:t>
            </w:r>
            <w:r>
              <w:rPr>
                <w:color w:val="auto"/>
                <w:sz w:val="24"/>
              </w:rPr>
              <w:t>SO</w:t>
            </w:r>
            <w:r>
              <w:rPr>
                <w:vertAlign w:val="subscript"/>
                <w:color w:val="auto"/>
                <w:sz w:val="24"/>
              </w:rPr>
              <w:t>2</w:t>
            </w:r>
            <w:r>
              <w:rPr>
                <w:color w:val="auto"/>
                <w:sz w:val="24"/>
                <w:rFonts w:hAnsi="宋体"/>
              </w:rPr>
              <w:t>、</w:t>
            </w:r>
            <w:r>
              <w:rPr>
                <w:color w:val="auto"/>
                <w:sz w:val="24"/>
              </w:rPr>
              <w:t>NO</w:t>
            </w:r>
            <w:r>
              <w:rPr>
                <w:vertAlign w:val="subscript"/>
                <w:color w:val="auto"/>
                <w:sz w:val="24"/>
              </w:rPr>
              <w:t>X</w:t>
            </w:r>
            <w:r>
              <w:rPr>
                <w:color w:val="auto"/>
                <w:sz w:val="24"/>
              </w:rPr>
              <w:t>、烟气黑度</w:t>
            </w:r>
          </w:p>
        </w:tc>
        <w:tc>
          <w:tcPr>
            <w:tcW w:w="3260" w:type="dxa"/>
            <w:vAlign w:val="center"/>
          </w:tcPr>
          <w:p w14:paraId="1151AF7F">
            <w:pPr>
              <w:jc w:val="center"/>
              <w:contextualSpacing/>
              <w:rPr>
                <w:color w:val="auto"/>
                <w:spacing w:val="-6"/>
                <w:sz w:val="24"/>
              </w:rPr>
            </w:pPr>
            <w:r>
              <w:rPr>
                <w:color w:val="auto"/>
                <w:sz w:val="24"/>
                <w:rFonts w:hAnsi="宋体"/>
              </w:rPr>
              <w:t>导热油炉烟气</w:t>
            </w:r>
            <w:r>
              <w:rPr>
                <w:color w:val="auto"/>
                <w:sz w:val="24"/>
                <w:rFonts w:hAnsi="宋体" w:hint="eastAsia"/>
              </w:rPr>
              <w:t>经低氮燃烧处理后（除氮效率30%），由1根12m高排气筒（DA002）排放</w:t>
            </w:r>
          </w:p>
        </w:tc>
        <w:tc>
          <w:tcPr>
            <w:tcW w:w="2509" w:type="dxa"/>
            <w:vAlign w:val="center"/>
          </w:tcPr>
          <w:p w14:paraId="4AFBC3B6">
            <w:pPr>
              <w:adjustRightInd w:val="0"/>
              <w:snapToGrid w:val="0"/>
              <w:jc w:val="center"/>
              <w:rPr>
                <w:color w:val="auto"/>
                <w:sz w:val="24"/>
                <w:bCs/>
              </w:rPr>
            </w:pPr>
            <w:r>
              <w:rPr>
                <w:color w:val="auto"/>
                <w:sz w:val="24"/>
                <w:bCs/>
              </w:rPr>
              <w:t>《锅炉大气污染物排放标准》（GB13271-2014）表2燃</w:t>
            </w:r>
            <w:r>
              <w:rPr>
                <w:color w:val="auto"/>
                <w:sz w:val="24"/>
                <w:bCs/>
                <w:rFonts w:hint="eastAsia"/>
              </w:rPr>
              <w:t>油</w:t>
            </w:r>
            <w:r>
              <w:rPr>
                <w:color w:val="auto"/>
                <w:sz w:val="24"/>
                <w:bCs/>
              </w:rPr>
              <w:t>锅炉标准</w:t>
            </w:r>
          </w:p>
        </w:tc>
      </w:tr>
      <w:tr w14:paraId="6F2AD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2935" w:hRule="atLeast"/>
          <w:jc w:val="center"/>
        </w:trPr>
        <w:tc>
          <w:tcPr>
            <w:tcW w:w="994" w:type="dxa"/>
            <w:vMerge w:val="continue"/>
            <w:vAlign w:val="center"/>
          </w:tcPr>
          <w:p w14:paraId="53D123D2">
            <w:pPr>
              <w:adjustRightInd w:val="0"/>
              <w:snapToGrid w:val="0"/>
              <w:jc w:val="center"/>
              <w:rPr>
                <w:color w:val="auto"/>
                <w:sz w:val="24"/>
              </w:rPr>
            </w:pPr>
          </w:p>
        </w:tc>
        <w:tc>
          <w:tcPr>
            <w:tcW w:w="1560" w:type="dxa"/>
            <w:vAlign w:val="center"/>
          </w:tcPr>
          <w:p w14:paraId="27F05989">
            <w:pPr>
              <w:jc w:val="center"/>
              <w:contextualSpacing/>
              <w:spacing w:line="0" w:lineRule="atLeast"/>
              <w:rPr>
                <w:color w:val="auto"/>
                <w:sz w:val="24"/>
                <w:rFonts w:hAnsi="宋体"/>
              </w:rPr>
            </w:pPr>
            <w:r>
              <w:rPr>
                <w:color w:val="auto"/>
                <w:sz w:val="24"/>
                <w:rFonts w:hAnsi="宋体"/>
              </w:rPr>
              <w:t>沥青搅拌排气筒（</w:t>
            </w:r>
            <w:r>
              <w:rPr>
                <w:color w:val="auto"/>
                <w:sz w:val="24"/>
                <w:rFonts w:hAnsi="宋体" w:hint="eastAsia"/>
              </w:rPr>
              <w:t>DA003</w:t>
            </w:r>
            <w:r>
              <w:rPr>
                <w:color w:val="auto"/>
                <w:sz w:val="24"/>
                <w:rFonts w:hAnsi="宋体"/>
              </w:rPr>
              <w:t>）</w:t>
            </w:r>
          </w:p>
        </w:tc>
        <w:tc>
          <w:tcPr>
            <w:tcW w:w="1460" w:type="dxa"/>
            <w:vAlign w:val="center"/>
          </w:tcPr>
          <w:p w14:paraId="1F6C00C8">
            <w:pPr>
              <w:pStyle w:val="66"/>
              <w:adjustRightInd w:val="0"/>
              <w:snapToGrid w:val="0"/>
              <w:spacing w:line="0" w:lineRule="atLeast"/>
              <w:rPr>
                <w:color w:val="auto"/>
                <w:rFonts w:ascii="Times New Roman" w:hAnsi="Times New Roman" w:eastAsia="宋体"/>
              </w:rPr>
            </w:pPr>
            <w:r>
              <w:rPr>
                <w:color w:val="auto"/>
                <w:rFonts w:ascii="Times New Roman" w:hAnsi="Times New Roman" w:eastAsia="宋体"/>
              </w:rPr>
              <w:t>苯并[a]芘、沥青烟、非甲烷总烃</w:t>
            </w:r>
          </w:p>
        </w:tc>
        <w:tc>
          <w:tcPr>
            <w:tcW w:w="3260" w:type="dxa"/>
            <w:vAlign w:val="center"/>
          </w:tcPr>
          <w:p w14:paraId="61ECA9C1">
            <w:pPr>
              <w:jc w:val="center"/>
              <w:contextualSpacing/>
              <w:rPr>
                <w:color w:val="auto"/>
                <w:spacing w:val="-6"/>
                <w:sz w:val="24"/>
              </w:rPr>
            </w:pPr>
            <w:r>
              <w:rPr>
                <w:color w:val="auto"/>
                <w:spacing w:val="-6"/>
                <w:sz w:val="24"/>
                <w:bCs/>
                <w:rFonts w:hAnsi="宋体" w:hint="eastAsia"/>
              </w:rPr>
              <w:t>沥青在密闭储罐中储存过程中产生的烟气以及出料产生的烟气通过负压收集系统集中收集（收集效率95%，环保设施的最大总风量为40000m</w:t>
            </w:r>
            <w:r>
              <w:rPr>
                <w:vertAlign w:val="superscript"/>
                <w:color w:val="auto"/>
                <w:spacing w:val="-6"/>
                <w:sz w:val="24"/>
                <w:bCs/>
                <w:rFonts w:hAnsi="宋体" w:hint="eastAsia"/>
              </w:rPr>
              <w:t>3</w:t>
            </w:r>
            <w:r>
              <w:rPr>
                <w:color w:val="auto"/>
                <w:spacing w:val="-6"/>
                <w:sz w:val="24"/>
                <w:bCs/>
                <w:rFonts w:hAnsi="宋体" w:hint="eastAsia"/>
              </w:rPr>
              <w:t>/h），经气浮旋流塔+三维一体化废气处理设备（由电离子+光催化+高碘值碳吸附组成）（处理效率95%）处理后，经15m高沥青搅拌排气筒（DA003）排放</w:t>
            </w:r>
          </w:p>
        </w:tc>
        <w:tc>
          <w:tcPr>
            <w:tcW w:w="2509" w:type="dxa"/>
            <w:vAlign w:val="center"/>
          </w:tcPr>
          <w:p w14:paraId="6A04598A">
            <w:pPr>
              <w:adjustRightInd w:val="0"/>
              <w:snapToGrid w:val="0"/>
              <w:jc w:val="center"/>
              <w:rPr>
                <w:color w:val="auto"/>
                <w:sz w:val="24"/>
                <w:bCs/>
              </w:rPr>
            </w:pPr>
            <w:r>
              <w:rPr>
                <w:color w:val="auto"/>
                <w:sz w:val="24"/>
                <w:bCs/>
              </w:rPr>
              <w:t>《大气污染物综合排放标准》（GB16297-1996）表2中二级排放标准</w:t>
            </w:r>
          </w:p>
        </w:tc>
      </w:tr>
      <w:tr w14:paraId="6EDCC247">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2011" w:hRule="atLeast"/>
          <w:jc w:val="center"/>
        </w:trPr>
        <w:tc>
          <w:tcPr>
            <w:tcW w:w="994" w:type="dxa"/>
            <w:vMerge w:val="continue"/>
            <w:vAlign w:val="center"/>
          </w:tcPr>
          <w:p w14:paraId="005D2D60">
            <w:pPr>
              <w:adjustRightInd w:val="0"/>
              <w:snapToGrid w:val="0"/>
              <w:jc w:val="center"/>
              <w:rPr>
                <w:color w:val="auto"/>
                <w:sz w:val="24"/>
              </w:rPr>
            </w:pPr>
          </w:p>
        </w:tc>
        <w:tc>
          <w:tcPr>
            <w:tcW w:w="1560" w:type="dxa"/>
            <w:vMerge w:val="restart"/>
            <w:vAlign w:val="center"/>
          </w:tcPr>
          <w:p w14:paraId="7F81EBDE">
            <w:pPr>
              <w:adjustRightInd w:val="0"/>
              <w:snapToGrid w:val="0"/>
              <w:jc w:val="center"/>
              <w:rPr>
                <w:color w:val="auto"/>
                <w:sz w:val="24"/>
              </w:rPr>
            </w:pPr>
            <w:r>
              <w:rPr>
                <w:color w:val="auto"/>
                <w:sz w:val="24"/>
              </w:rPr>
              <w:t>无组织</w:t>
            </w:r>
          </w:p>
        </w:tc>
        <w:tc>
          <w:tcPr>
            <w:tcW w:w="1460" w:type="dxa"/>
            <w:vAlign w:val="center"/>
          </w:tcPr>
          <w:p w14:paraId="0ADD0E99">
            <w:pPr>
              <w:pStyle w:val="66"/>
              <w:adjustRightInd w:val="0"/>
              <w:snapToGrid w:val="0"/>
              <w:spacing w:line="0" w:lineRule="atLeast"/>
              <w:rPr>
                <w:color w:val="auto"/>
                <w:rFonts w:ascii="Times New Roman" w:hAnsi="Times New Roman" w:eastAsia="宋体"/>
              </w:rPr>
            </w:pPr>
            <w:r>
              <w:rPr>
                <w:color w:val="auto"/>
                <w:rFonts w:ascii="Times New Roman" w:hAnsi="Times New Roman" w:eastAsia="宋体"/>
              </w:rPr>
              <w:t>颗粒物、苯并[a]芘、沥青烟</w:t>
            </w:r>
          </w:p>
        </w:tc>
        <w:tc>
          <w:tcPr>
            <w:tcW w:w="3260" w:type="dxa"/>
            <w:vAlign w:val="center"/>
          </w:tcPr>
          <w:p w14:paraId="68E56580">
            <w:pPr>
              <w:jc w:val="center"/>
              <w:contextualSpacing/>
              <w:rPr>
                <w:color w:val="auto"/>
                <w:spacing w:val="-6"/>
                <w:sz w:val="24"/>
              </w:rPr>
            </w:pPr>
            <w:r>
              <w:rPr>
                <w:color w:val="auto"/>
                <w:spacing w:val="-6"/>
                <w:sz w:val="24"/>
                <w:bCs/>
              </w:rPr>
              <w:t>厂区设置防风抑尘网</w:t>
            </w:r>
            <w:r>
              <w:rPr>
                <w:color w:val="auto"/>
                <w:sz w:val="24"/>
                <w:bCs/>
                <w:rFonts w:hint="eastAsia" w:eastAsiaTheme="minorEastAsia"/>
              </w:rPr>
              <w:t>，</w:t>
            </w:r>
            <w:r>
              <w:rPr>
                <w:color w:val="auto"/>
                <w:sz w:val="24"/>
                <w:bCs/>
                <w:rFonts w:eastAsiaTheme="minorEastAsia"/>
              </w:rPr>
              <w:t>堆场</w:t>
            </w:r>
            <w:r>
              <w:rPr>
                <w:color w:val="auto"/>
                <w:sz w:val="24"/>
                <w:bCs/>
                <w:rFonts w:hint="eastAsia" w:eastAsiaTheme="minorEastAsia"/>
              </w:rPr>
              <w:t>每天洒水抑尘2次</w:t>
            </w:r>
            <w:r>
              <w:rPr>
                <w:color w:val="auto"/>
                <w:sz w:val="24"/>
                <w:bCs/>
                <w:rFonts w:eastAsiaTheme="minorEastAsia"/>
              </w:rPr>
              <w:t>，</w:t>
            </w:r>
            <w:r>
              <w:rPr>
                <w:color w:val="auto"/>
                <w:spacing w:val="-6"/>
                <w:sz w:val="24"/>
                <w:bCs/>
              </w:rPr>
              <w:t>铲装集堆及上料过程洒水喷淋</w:t>
            </w:r>
          </w:p>
        </w:tc>
        <w:tc>
          <w:tcPr>
            <w:tcW w:w="2509" w:type="dxa"/>
            <w:vAlign w:val="center"/>
          </w:tcPr>
          <w:p w14:paraId="3CCA6471">
            <w:pPr>
              <w:adjustRightInd w:val="0"/>
              <w:snapToGrid w:val="0"/>
              <w:jc w:val="center"/>
              <w:rPr>
                <w:color w:val="auto"/>
                <w:sz w:val="24"/>
              </w:rPr>
            </w:pPr>
            <w:r>
              <w:rPr>
                <w:color w:val="auto"/>
                <w:sz w:val="24"/>
                <w:bCs/>
              </w:rPr>
              <w:t>《大气污染物综合排放标准》（GB16297-1996）表2中无组织排放监控浓度限值</w:t>
            </w:r>
          </w:p>
        </w:tc>
      </w:tr>
      <w:tr w14:paraId="6DD0A74E">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2011" w:hRule="atLeast"/>
          <w:jc w:val="center"/>
        </w:trPr>
        <w:tc>
          <w:tcPr>
            <w:tcW w:w="994" w:type="dxa"/>
            <w:vMerge w:val="continue"/>
            <w:vAlign w:val="center"/>
          </w:tcPr>
          <w:p w14:paraId="3685A34A">
            <w:pPr>
              <w:adjustRightInd w:val="0"/>
              <w:snapToGrid w:val="0"/>
              <w:jc w:val="center"/>
              <w:rPr>
                <w:color w:val="auto"/>
                <w:sz w:val="24"/>
              </w:rPr>
            </w:pPr>
          </w:p>
        </w:tc>
        <w:tc>
          <w:tcPr>
            <w:tcW w:w="1560" w:type="dxa"/>
            <w:vMerge w:val="continue"/>
            <w:vAlign w:val="center"/>
          </w:tcPr>
          <w:p w14:paraId="03A79D32">
            <w:pPr>
              <w:adjustRightInd w:val="0"/>
              <w:snapToGrid w:val="0"/>
              <w:jc w:val="center"/>
              <w:rPr>
                <w:color w:val="auto"/>
                <w:sz w:val="24"/>
              </w:rPr>
            </w:pPr>
          </w:p>
        </w:tc>
        <w:tc>
          <w:tcPr>
            <w:tcW w:w="1460" w:type="dxa"/>
            <w:vAlign w:val="center"/>
          </w:tcPr>
          <w:p w14:paraId="11EA2811">
            <w:pPr>
              <w:pStyle w:val="66"/>
              <w:adjustRightInd w:val="0"/>
              <w:snapToGrid w:val="0"/>
              <w:spacing w:line="0" w:lineRule="atLeast"/>
              <w:rPr>
                <w:color w:val="auto"/>
                <w:rFonts w:ascii="Times New Roman" w:hAnsi="Times New Roman" w:eastAsia="宋体"/>
              </w:rPr>
            </w:pPr>
            <w:r>
              <w:rPr>
                <w:color w:val="auto"/>
                <w:rFonts w:ascii="Times New Roman" w:hAnsi="Times New Roman" w:eastAsia="宋体"/>
              </w:rPr>
              <w:t>非甲烷总烃</w:t>
            </w:r>
          </w:p>
        </w:tc>
        <w:tc>
          <w:tcPr>
            <w:tcW w:w="3260" w:type="dxa"/>
            <w:vAlign w:val="center"/>
          </w:tcPr>
          <w:p w14:paraId="31E2F310">
            <w:pPr>
              <w:jc w:val="center"/>
              <w:contextualSpacing/>
              <w:rPr>
                <w:color w:val="auto"/>
                <w:spacing w:val="-6"/>
                <w:sz w:val="24"/>
                <w:bCs/>
              </w:rPr>
            </w:pPr>
            <w:r>
              <w:rPr>
                <w:color w:val="auto"/>
                <w:spacing w:val="-6"/>
                <w:sz w:val="24"/>
                <w:bCs/>
                <w:rFonts w:hint="eastAsia"/>
              </w:rPr>
              <w:t>/</w:t>
            </w:r>
          </w:p>
        </w:tc>
        <w:tc>
          <w:tcPr>
            <w:tcW w:w="2509" w:type="dxa"/>
            <w:vAlign w:val="center"/>
          </w:tcPr>
          <w:p w14:paraId="61B0727D">
            <w:pPr>
              <w:adjustRightInd w:val="0"/>
              <w:snapToGrid w:val="0"/>
              <w:jc w:val="center"/>
              <w:rPr>
                <w:color w:val="auto"/>
                <w:sz w:val="24"/>
                <w:bCs/>
              </w:rPr>
            </w:pPr>
            <w:r>
              <w:rPr>
                <w:color w:val="auto"/>
                <w:sz w:val="24"/>
                <w:rFonts w:hint="eastAsia"/>
              </w:rPr>
              <w:t>厂区</w:t>
            </w:r>
            <w:r>
              <w:rPr>
                <w:color w:val="auto"/>
                <w:sz w:val="24"/>
              </w:rPr>
              <w:t>内非甲烷总烃执行《挥发性有机物无组织排放标准》（GB</w:t>
            </w:r>
            <w:r>
              <w:rPr>
                <w:color w:val="auto"/>
                <w:sz w:val="24"/>
                <w:rFonts w:hint="eastAsia"/>
              </w:rPr>
              <w:t>37822</w:t>
            </w:r>
            <w:r>
              <w:rPr>
                <w:color w:val="auto"/>
                <w:sz w:val="24"/>
              </w:rPr>
              <w:t>-20</w:t>
            </w:r>
            <w:r>
              <w:rPr>
                <w:color w:val="auto"/>
                <w:sz w:val="24"/>
                <w:rFonts w:hint="eastAsia"/>
              </w:rPr>
              <w:t>19</w:t>
            </w:r>
            <w:r>
              <w:rPr>
                <w:color w:val="auto"/>
                <w:sz w:val="24"/>
              </w:rPr>
              <w:t>）中表</w:t>
            </w:r>
            <w:r>
              <w:rPr>
                <w:color w:val="auto"/>
                <w:sz w:val="24"/>
                <w:rFonts w:hint="eastAsia"/>
              </w:rPr>
              <w:t>A.1无组织排放限值，厂界非甲烷总烃执行</w:t>
            </w:r>
            <w:r>
              <w:rPr>
                <w:color w:val="auto"/>
                <w:sz w:val="24"/>
                <w:bCs/>
              </w:rPr>
              <w:t>《大气污染物综合排放标准》</w:t>
            </w:r>
          </w:p>
        </w:tc>
      </w:tr>
      <w:tr w14:paraId="66A27216">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182" w:hRule="atLeast"/>
          <w:jc w:val="center"/>
        </w:trPr>
        <w:tc>
          <w:tcPr>
            <w:tcW w:w="994" w:type="dxa"/>
            <w:vMerge w:val="restart"/>
            <w:vAlign w:val="center"/>
          </w:tcPr>
          <w:p w14:paraId="142DA975">
            <w:pPr>
              <w:adjustRightInd w:val="0"/>
              <w:snapToGrid w:val="0"/>
              <w:jc w:val="center"/>
              <w:rPr>
                <w:color w:val="auto"/>
                <w:sz w:val="24"/>
              </w:rPr>
            </w:pPr>
            <w:r>
              <w:rPr>
                <w:color w:val="auto"/>
                <w:sz w:val="24"/>
              </w:rPr>
              <w:t>地表水环境</w:t>
            </w:r>
          </w:p>
        </w:tc>
        <w:tc>
          <w:tcPr>
            <w:tcW w:w="1560" w:type="dxa"/>
            <w:vAlign w:val="center"/>
          </w:tcPr>
          <w:p w14:paraId="5B5700EC">
            <w:pPr>
              <w:adjustRightInd w:val="0"/>
              <w:snapToGrid w:val="0"/>
              <w:jc w:val="center"/>
              <w:rPr>
                <w:color w:val="auto"/>
                <w:sz w:val="24"/>
              </w:rPr>
            </w:pPr>
            <w:r>
              <w:rPr>
                <w:color w:val="auto"/>
                <w:sz w:val="24"/>
              </w:rPr>
              <w:t>生活污水</w:t>
            </w:r>
          </w:p>
        </w:tc>
        <w:tc>
          <w:tcPr>
            <w:tcW w:w="1460" w:type="dxa"/>
            <w:vAlign w:val="center"/>
          </w:tcPr>
          <w:p w14:paraId="3C8631B9">
            <w:pPr>
              <w:adjustRightInd w:val="0"/>
              <w:snapToGrid w:val="0"/>
              <w:jc w:val="center"/>
              <w:rPr>
                <w:color w:val="auto"/>
                <w:sz w:val="24"/>
              </w:rPr>
            </w:pPr>
            <w:r>
              <w:rPr>
                <w:color w:val="auto"/>
                <w:sz w:val="24"/>
              </w:rPr>
              <w:t>COD、氨氮、BOD</w:t>
            </w:r>
            <w:r>
              <w:rPr>
                <w:vertAlign w:val="subscript"/>
                <w:color w:val="auto"/>
                <w:sz w:val="24"/>
              </w:rPr>
              <w:t>5</w:t>
            </w:r>
            <w:r>
              <w:rPr>
                <w:color w:val="auto"/>
                <w:sz w:val="24"/>
              </w:rPr>
              <w:t>、SS、pH</w:t>
            </w:r>
          </w:p>
        </w:tc>
        <w:tc>
          <w:tcPr>
            <w:tcW w:w="3260" w:type="dxa"/>
            <w:vAlign w:val="center"/>
          </w:tcPr>
          <w:p w14:paraId="2F929AB3">
            <w:pPr>
              <w:jc w:val="center"/>
              <w:contextualSpacing/>
              <w:rPr>
                <w:color w:val="auto"/>
                <w:sz w:val="24"/>
                <w:bCs/>
              </w:rPr>
            </w:pPr>
            <w:r>
              <w:rPr>
                <w:color w:val="auto"/>
                <w:sz w:val="24"/>
                <w:bCs/>
              </w:rPr>
              <w:t>生活污水排入防渗旱厕，定期清掏，外运堆肥，不外排</w:t>
            </w:r>
          </w:p>
        </w:tc>
        <w:tc>
          <w:tcPr>
            <w:tcW w:w="2509" w:type="dxa"/>
            <w:vAlign w:val="center"/>
          </w:tcPr>
          <w:p w14:paraId="4871E2DF">
            <w:pPr>
              <w:adjustRightInd w:val="0"/>
              <w:snapToGrid w:val="0"/>
              <w:jc w:val="center"/>
              <w:rPr>
                <w:color w:val="auto"/>
                <w:sz w:val="24"/>
                <w:bCs/>
              </w:rPr>
            </w:pPr>
            <w:r>
              <w:rPr>
                <w:color w:val="auto"/>
                <w:sz w:val="24"/>
                <w:bCs/>
              </w:rPr>
              <w:t>/</w:t>
            </w:r>
          </w:p>
        </w:tc>
      </w:tr>
      <w:tr w14:paraId="2B5B36E0">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182" w:hRule="atLeast"/>
          <w:jc w:val="center"/>
        </w:trPr>
        <w:tc>
          <w:tcPr>
            <w:tcW w:w="994" w:type="dxa"/>
            <w:vMerge w:val="continue"/>
            <w:vAlign w:val="center"/>
          </w:tcPr>
          <w:p w14:paraId="24A994B6">
            <w:pPr>
              <w:adjustRightInd w:val="0"/>
              <w:snapToGrid w:val="0"/>
              <w:jc w:val="center"/>
              <w:rPr>
                <w:color w:val="auto"/>
                <w:sz w:val="24"/>
              </w:rPr>
            </w:pPr>
          </w:p>
        </w:tc>
        <w:tc>
          <w:tcPr>
            <w:tcW w:w="1560" w:type="dxa"/>
            <w:vAlign w:val="center"/>
          </w:tcPr>
          <w:p w14:paraId="4998BD92">
            <w:pPr>
              <w:adjustRightInd w:val="0"/>
              <w:snapToGrid w:val="0"/>
              <w:jc w:val="center"/>
              <w:rPr>
                <w:color w:val="auto"/>
                <w:sz w:val="24"/>
              </w:rPr>
            </w:pPr>
            <w:r>
              <w:rPr>
                <w:color w:val="auto"/>
                <w:sz w:val="24"/>
              </w:rPr>
              <w:t>初期雨水</w:t>
            </w:r>
          </w:p>
        </w:tc>
        <w:tc>
          <w:tcPr>
            <w:tcW w:w="1460" w:type="dxa"/>
            <w:vAlign w:val="center"/>
          </w:tcPr>
          <w:p w14:paraId="5F8A7E57">
            <w:pPr>
              <w:adjustRightInd w:val="0"/>
              <w:snapToGrid w:val="0"/>
              <w:jc w:val="center"/>
              <w:rPr>
                <w:color w:val="auto"/>
                <w:sz w:val="24"/>
              </w:rPr>
            </w:pPr>
            <w:r>
              <w:rPr>
                <w:color w:val="auto"/>
                <w:sz w:val="24"/>
              </w:rPr>
              <w:t>SS、石油类</w:t>
            </w:r>
          </w:p>
        </w:tc>
        <w:tc>
          <w:tcPr>
            <w:tcW w:w="3260" w:type="dxa"/>
            <w:vAlign w:val="center"/>
          </w:tcPr>
          <w:p w14:paraId="57152FB2">
            <w:pPr>
              <w:jc w:val="center"/>
              <w:contextualSpacing/>
              <w:rPr>
                <w:color w:val="auto"/>
                <w:sz w:val="24"/>
                <w:bCs/>
              </w:rPr>
            </w:pPr>
            <w:r>
              <w:rPr>
                <w:color w:val="auto"/>
                <w:sz w:val="24"/>
              </w:rPr>
              <w:t>初期雨水经厂区四周排水沟汇入厂区初期雨水池隔油沉淀后，用于</w:t>
            </w:r>
            <w:r>
              <w:rPr>
                <w:color w:val="auto"/>
                <w:sz w:val="24"/>
                <w:rFonts w:hint="eastAsia"/>
              </w:rPr>
              <w:t>洒水</w:t>
            </w:r>
            <w:r>
              <w:rPr>
                <w:color w:val="auto"/>
                <w:sz w:val="24"/>
              </w:rPr>
              <w:t>降尘</w:t>
            </w:r>
            <w:r>
              <w:rPr>
                <w:color w:val="auto"/>
                <w:sz w:val="24"/>
                <w:rFonts w:hint="eastAsia"/>
              </w:rPr>
              <w:t>，不外排</w:t>
            </w:r>
            <w:r>
              <w:rPr>
                <w:color w:val="auto"/>
                <w:sz w:val="24"/>
              </w:rPr>
              <w:t>。</w:t>
            </w:r>
          </w:p>
        </w:tc>
        <w:tc>
          <w:tcPr>
            <w:tcW w:w="2509" w:type="dxa"/>
            <w:vAlign w:val="center"/>
          </w:tcPr>
          <w:p w14:paraId="0F99A0DD">
            <w:pPr>
              <w:adjustRightInd w:val="0"/>
              <w:snapToGrid w:val="0"/>
              <w:jc w:val="center"/>
              <w:rPr>
                <w:color w:val="auto"/>
                <w:sz w:val="24"/>
                <w:bCs/>
              </w:rPr>
            </w:pPr>
            <w:r>
              <w:rPr>
                <w:color w:val="auto"/>
                <w:sz w:val="24"/>
                <w:bCs/>
              </w:rPr>
              <w:t>/</w:t>
            </w:r>
          </w:p>
        </w:tc>
      </w:tr>
      <w:tr w14:paraId="605ABACE">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5" w:hRule="atLeast"/>
          <w:jc w:val="center"/>
        </w:trPr>
        <w:tc>
          <w:tcPr>
            <w:tcW w:w="994" w:type="dxa"/>
            <w:vAlign w:val="center"/>
          </w:tcPr>
          <w:p w14:paraId="5049A876">
            <w:pPr>
              <w:adjustRightInd w:val="0"/>
              <w:snapToGrid w:val="0"/>
              <w:jc w:val="center"/>
              <w:rPr>
                <w:color w:val="auto"/>
                <w:sz w:val="24"/>
              </w:rPr>
            </w:pPr>
            <w:r>
              <w:rPr>
                <w:color w:val="auto"/>
                <w:sz w:val="24"/>
              </w:rPr>
              <w:t>声环境</w:t>
            </w:r>
          </w:p>
        </w:tc>
        <w:tc>
          <w:tcPr>
            <w:tcW w:w="1560" w:type="dxa"/>
            <w:vAlign w:val="center"/>
          </w:tcPr>
          <w:p w14:paraId="4DE3EF28">
            <w:pPr>
              <w:adjustRightInd w:val="0"/>
              <w:snapToGrid w:val="0"/>
              <w:jc w:val="center"/>
              <w:rPr>
                <w:color w:val="auto"/>
                <w:sz w:val="24"/>
              </w:rPr>
            </w:pPr>
            <w:r>
              <w:rPr>
                <w:color w:val="auto"/>
                <w:sz w:val="24"/>
              </w:rPr>
              <w:t>设备噪声</w:t>
            </w:r>
          </w:p>
        </w:tc>
        <w:tc>
          <w:tcPr>
            <w:tcW w:w="1460" w:type="dxa"/>
            <w:vAlign w:val="center"/>
          </w:tcPr>
          <w:p w14:paraId="1B96E854">
            <w:pPr>
              <w:adjustRightInd w:val="0"/>
              <w:snapToGrid w:val="0"/>
              <w:jc w:val="center"/>
              <w:rPr>
                <w:color w:val="auto"/>
                <w:sz w:val="24"/>
              </w:rPr>
            </w:pPr>
            <w:r>
              <w:rPr>
                <w:color w:val="auto"/>
                <w:sz w:val="24"/>
              </w:rPr>
              <w:t>噪声</w:t>
            </w:r>
          </w:p>
        </w:tc>
        <w:tc>
          <w:tcPr>
            <w:tcW w:w="3260" w:type="dxa"/>
            <w:vAlign w:val="center"/>
          </w:tcPr>
          <w:p w14:paraId="7B549DE5">
            <w:pPr>
              <w:adjustRightInd w:val="0"/>
              <w:snapToGrid w:val="0"/>
              <w:jc w:val="center"/>
              <w:rPr>
                <w:color w:val="auto"/>
                <w:sz w:val="24"/>
              </w:rPr>
            </w:pPr>
            <w:r>
              <w:rPr>
                <w:color w:val="auto"/>
                <w:sz w:val="24"/>
                <w:rFonts w:hint="eastAsia"/>
              </w:rPr>
              <w:t>基础减振设施，调整平面布置，高噪声设备远离厂界，选用低噪声设备，限速行驶、禁止鸣笛</w:t>
            </w:r>
          </w:p>
        </w:tc>
        <w:tc>
          <w:tcPr>
            <w:tcW w:w="2509" w:type="dxa"/>
            <w:vAlign w:val="center"/>
          </w:tcPr>
          <w:p w14:paraId="37B1D6AB">
            <w:pPr>
              <w:adjustRightInd w:val="0"/>
              <w:snapToGrid w:val="0"/>
              <w:jc w:val="center"/>
              <w:rPr>
                <w:color w:val="auto"/>
                <w:sz w:val="24"/>
              </w:rPr>
            </w:pPr>
            <w:r>
              <w:rPr>
                <w:color w:val="auto"/>
                <w:sz w:val="24"/>
                <w:bCs/>
              </w:rPr>
              <w:t>厂界噪声满足《工业企业厂界环境噪声排放标准》（GB12348-2008）中</w:t>
            </w:r>
            <w:r>
              <w:rPr>
                <w:color w:val="auto"/>
                <w:sz w:val="24"/>
                <w:bCs/>
                <w:rFonts w:hint="eastAsia"/>
              </w:rPr>
              <w:t>2</w:t>
            </w:r>
            <w:r>
              <w:rPr>
                <w:color w:val="auto"/>
                <w:sz w:val="24"/>
                <w:bCs/>
              </w:rPr>
              <w:t>类标准；</w:t>
            </w:r>
            <w:r>
              <w:rPr>
                <w:color w:val="auto"/>
                <w:sz w:val="24"/>
              </w:rPr>
              <w:t xml:space="preserve"> </w:t>
            </w:r>
          </w:p>
        </w:tc>
      </w:tr>
      <w:tr w14:paraId="2F45113D">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948" w:hRule="atLeast"/>
          <w:jc w:val="center"/>
        </w:trPr>
        <w:tc>
          <w:tcPr>
            <w:tcW w:w="994" w:type="dxa"/>
            <w:vMerge w:val="restart"/>
            <w:vAlign w:val="center"/>
          </w:tcPr>
          <w:p w14:paraId="29D8DDBE">
            <w:pPr>
              <w:adjustRightInd w:val="0"/>
              <w:snapToGrid w:val="0"/>
              <w:jc w:val="center"/>
              <w:rPr>
                <w:color w:val="auto"/>
                <w:sz w:val="24"/>
              </w:rPr>
            </w:pPr>
            <w:r>
              <w:rPr>
                <w:color w:val="auto"/>
                <w:sz w:val="24"/>
              </w:rPr>
              <w:t>固体废物</w:t>
            </w:r>
          </w:p>
        </w:tc>
        <w:tc>
          <w:tcPr>
            <w:tcW w:w="1560" w:type="dxa"/>
            <w:vAlign w:val="center"/>
          </w:tcPr>
          <w:p w14:paraId="100858C6">
            <w:pPr>
              <w:adjustRightInd w:val="0"/>
              <w:snapToGrid w:val="0"/>
              <w:jc w:val="center"/>
              <w:rPr>
                <w:color w:val="auto"/>
                <w:sz w:val="24"/>
              </w:rPr>
            </w:pPr>
            <w:r>
              <w:rPr>
                <w:color w:val="auto"/>
                <w:sz w:val="24"/>
              </w:rPr>
              <w:t>生活</w:t>
            </w:r>
          </w:p>
        </w:tc>
        <w:tc>
          <w:tcPr>
            <w:tcW w:w="1460" w:type="dxa"/>
            <w:vAlign w:val="center"/>
          </w:tcPr>
          <w:p w14:paraId="2E05F689">
            <w:pPr>
              <w:adjustRightInd w:val="0"/>
              <w:snapToGrid w:val="0"/>
              <w:jc w:val="center"/>
              <w:rPr>
                <w:color w:val="auto"/>
                <w:sz w:val="24"/>
              </w:rPr>
            </w:pPr>
            <w:r>
              <w:rPr>
                <w:color w:val="auto"/>
                <w:sz w:val="24"/>
              </w:rPr>
              <w:t>生活垃圾</w:t>
            </w:r>
            <w:r>
              <w:rPr>
                <w:color w:val="auto"/>
                <w:sz w:val="24"/>
                <w:rFonts w:hint="eastAsia"/>
              </w:rPr>
              <w:t>（SW64代码900-099-S64）</w:t>
            </w:r>
          </w:p>
        </w:tc>
        <w:tc>
          <w:tcPr>
            <w:tcW w:w="5769" w:type="dxa"/>
            <w:gridSpan w:val="2"/>
            <w:vAlign w:val="center"/>
          </w:tcPr>
          <w:p w14:paraId="4A67E8B5">
            <w:pPr>
              <w:adjustRightInd w:val="0"/>
              <w:snapToGrid w:val="0"/>
              <w:jc w:val="center"/>
              <w:rPr>
                <w:color w:val="auto"/>
                <w:sz w:val="24"/>
                <w:bCs/>
              </w:rPr>
            </w:pPr>
            <w:r>
              <w:rPr>
                <w:color w:val="auto"/>
                <w:sz w:val="24"/>
              </w:rPr>
              <w:t>由市政环卫部门处理</w:t>
            </w:r>
          </w:p>
        </w:tc>
      </w:tr>
      <w:tr w14:paraId="47635CDF">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327" w:hRule="atLeast"/>
          <w:jc w:val="center"/>
        </w:trPr>
        <w:tc>
          <w:tcPr>
            <w:tcW w:w="994" w:type="dxa"/>
            <w:vMerge w:val="continue"/>
            <w:vAlign w:val="center"/>
          </w:tcPr>
          <w:p w14:paraId="4E8FF2AE">
            <w:pPr>
              <w:adjustRightInd w:val="0"/>
              <w:snapToGrid w:val="0"/>
              <w:jc w:val="center"/>
              <w:rPr>
                <w:color w:val="auto"/>
                <w:sz w:val="24"/>
              </w:rPr>
            </w:pPr>
          </w:p>
        </w:tc>
        <w:tc>
          <w:tcPr>
            <w:tcW w:w="1560" w:type="dxa"/>
            <w:vMerge w:val="restart"/>
            <w:vAlign w:val="center"/>
          </w:tcPr>
          <w:p w14:paraId="15B80AFC">
            <w:pPr>
              <w:adjustRightInd w:val="0"/>
              <w:snapToGrid w:val="0"/>
              <w:jc w:val="center"/>
              <w:rPr>
                <w:color w:val="auto"/>
                <w:sz w:val="24"/>
              </w:rPr>
            </w:pPr>
            <w:r>
              <w:rPr>
                <w:color w:val="auto"/>
                <w:sz w:val="24"/>
                <w:rFonts w:hint="eastAsia"/>
              </w:rPr>
              <w:t>除尘系统</w:t>
            </w:r>
          </w:p>
        </w:tc>
        <w:tc>
          <w:tcPr>
            <w:tcW w:w="1460" w:type="dxa"/>
            <w:vAlign w:val="center"/>
          </w:tcPr>
          <w:p w14:paraId="2F290333">
            <w:pPr>
              <w:jc w:val="center"/>
              <w:contextualSpacing/>
              <w:spacing w:line="0" w:lineRule="atLeast"/>
              <w:rPr>
                <w:color w:val="auto"/>
                <w:sz w:val="24"/>
                <w:rFonts w:eastAsiaTheme="minorEastAsia"/>
              </w:rPr>
            </w:pPr>
            <w:r>
              <w:rPr>
                <w:color w:val="auto"/>
                <w:sz w:val="24"/>
                <w:rFonts w:eastAsiaTheme="minorEastAsia"/>
              </w:rPr>
              <w:t>除尘器收集的粉尘</w:t>
            </w:r>
            <w:r>
              <w:rPr>
                <w:color w:val="auto"/>
                <w:sz w:val="24"/>
                <w:rFonts w:hint="eastAsia"/>
              </w:rPr>
              <w:t>（SW59代码900-099-S59）</w:t>
            </w:r>
          </w:p>
        </w:tc>
        <w:tc>
          <w:tcPr>
            <w:tcW w:w="5769" w:type="dxa"/>
            <w:gridSpan w:val="2"/>
            <w:vAlign w:val="center"/>
          </w:tcPr>
          <w:p w14:paraId="30346063">
            <w:pPr>
              <w:adjustRightInd w:val="0"/>
              <w:snapToGrid w:val="0"/>
              <w:jc w:val="center"/>
              <w:rPr>
                <w:color w:val="auto"/>
                <w:sz w:val="24"/>
              </w:rPr>
            </w:pPr>
            <w:r>
              <w:rPr>
                <w:color w:val="auto"/>
                <w:sz w:val="24"/>
              </w:rPr>
              <w:t>集中收集，回用生产</w:t>
            </w:r>
          </w:p>
        </w:tc>
      </w:tr>
      <w:tr w14:paraId="73091C46">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407" w:hRule="atLeast"/>
          <w:jc w:val="center"/>
        </w:trPr>
        <w:tc>
          <w:tcPr>
            <w:tcW w:w="994" w:type="dxa"/>
            <w:vMerge w:val="continue"/>
            <w:vAlign w:val="center"/>
          </w:tcPr>
          <w:p w14:paraId="04BE2D57">
            <w:pPr>
              <w:adjustRightInd w:val="0"/>
              <w:snapToGrid w:val="0"/>
              <w:jc w:val="center"/>
              <w:rPr>
                <w:color w:val="auto"/>
                <w:sz w:val="24"/>
              </w:rPr>
            </w:pPr>
          </w:p>
        </w:tc>
        <w:tc>
          <w:tcPr>
            <w:tcW w:w="1560" w:type="dxa"/>
            <w:vMerge w:val="continue"/>
            <w:vAlign w:val="center"/>
          </w:tcPr>
          <w:p w14:paraId="1F6993EF">
            <w:pPr>
              <w:adjustRightInd w:val="0"/>
              <w:snapToGrid w:val="0"/>
              <w:jc w:val="center"/>
              <w:rPr>
                <w:color w:val="auto"/>
                <w:sz w:val="24"/>
              </w:rPr>
            </w:pPr>
          </w:p>
        </w:tc>
        <w:tc>
          <w:tcPr>
            <w:tcW w:w="1460" w:type="dxa"/>
            <w:vAlign w:val="center"/>
          </w:tcPr>
          <w:p w14:paraId="31F22B4C">
            <w:pPr>
              <w:jc w:val="center"/>
              <w:spacing w:line="0" w:lineRule="atLeast"/>
              <w:rPr>
                <w:color w:val="auto"/>
                <w:sz w:val="24"/>
                <w:rFonts w:eastAsiaTheme="minorEastAsia"/>
              </w:rPr>
            </w:pPr>
            <w:r>
              <w:rPr>
                <w:color w:val="auto"/>
                <w:sz w:val="24"/>
                <w:rFonts w:eastAsiaTheme="minorEastAsia"/>
              </w:rPr>
              <w:t>废布袋</w:t>
            </w:r>
            <w:r>
              <w:rPr>
                <w:color w:val="auto"/>
                <w:sz w:val="24"/>
                <w:rFonts w:hint="eastAsia"/>
              </w:rPr>
              <w:t>（SW59代码900-009-S59）</w:t>
            </w:r>
          </w:p>
        </w:tc>
        <w:tc>
          <w:tcPr>
            <w:tcW w:w="5769" w:type="dxa"/>
            <w:gridSpan w:val="2"/>
            <w:vAlign w:val="center"/>
          </w:tcPr>
          <w:p w14:paraId="70852C0F">
            <w:pPr>
              <w:adjustRightInd w:val="0"/>
              <w:snapToGrid w:val="0"/>
              <w:jc w:val="center"/>
              <w:rPr>
                <w:color w:val="auto"/>
                <w:sz w:val="24"/>
              </w:rPr>
            </w:pPr>
            <w:r>
              <w:rPr>
                <w:color w:val="auto"/>
                <w:sz w:val="24"/>
              </w:rPr>
              <w:t>由市政环卫部门处理</w:t>
            </w:r>
          </w:p>
        </w:tc>
      </w:tr>
      <w:tr w14:paraId="2EC42D38">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407" w:hRule="atLeast"/>
          <w:jc w:val="center"/>
        </w:trPr>
        <w:tc>
          <w:tcPr>
            <w:tcW w:w="994" w:type="dxa"/>
            <w:vMerge w:val="continue"/>
            <w:vAlign w:val="center"/>
          </w:tcPr>
          <w:p w14:paraId="0115E7AF">
            <w:pPr>
              <w:adjustRightInd w:val="0"/>
              <w:snapToGrid w:val="0"/>
              <w:jc w:val="center"/>
              <w:rPr>
                <w:color w:val="auto"/>
                <w:sz w:val="24"/>
              </w:rPr>
            </w:pPr>
          </w:p>
        </w:tc>
        <w:tc>
          <w:tcPr>
            <w:tcW w:w="1560" w:type="dxa"/>
            <w:vAlign w:val="center"/>
          </w:tcPr>
          <w:p w14:paraId="7B1F9205">
            <w:pPr>
              <w:adjustRightInd w:val="0"/>
              <w:snapToGrid w:val="0"/>
              <w:jc w:val="center"/>
              <w:rPr>
                <w:color w:val="auto"/>
                <w:sz w:val="24"/>
              </w:rPr>
            </w:pPr>
            <w:r>
              <w:rPr>
                <w:color w:val="auto"/>
                <w:sz w:val="24"/>
              </w:rPr>
              <w:t>实验室</w:t>
            </w:r>
          </w:p>
        </w:tc>
        <w:tc>
          <w:tcPr>
            <w:tcW w:w="1460" w:type="dxa"/>
            <w:vAlign w:val="center"/>
          </w:tcPr>
          <w:p w14:paraId="40FAE58D">
            <w:pPr>
              <w:jc w:val="center"/>
              <w:spacing w:line="0" w:lineRule="atLeast"/>
              <w:rPr>
                <w:color w:val="auto"/>
                <w:sz w:val="24"/>
                <w:rFonts w:eastAsiaTheme="minorEastAsia"/>
              </w:rPr>
            </w:pPr>
            <w:r>
              <w:rPr>
                <w:color w:val="auto"/>
                <w:sz w:val="24"/>
                <w:rFonts w:eastAsiaTheme="minorEastAsia"/>
              </w:rPr>
              <w:t>实验室弃块</w:t>
            </w:r>
            <w:r>
              <w:rPr>
                <w:color w:val="auto"/>
                <w:sz w:val="24"/>
                <w:rFonts w:hint="eastAsia" w:eastAsiaTheme="minorEastAsia"/>
              </w:rPr>
              <w:t>（SW92代码900-001-S92）</w:t>
            </w:r>
          </w:p>
        </w:tc>
        <w:tc>
          <w:tcPr>
            <w:tcW w:w="5769" w:type="dxa"/>
            <w:gridSpan w:val="2"/>
            <w:vAlign w:val="center"/>
          </w:tcPr>
          <w:p w14:paraId="442DAFFD">
            <w:pPr>
              <w:adjustRightInd w:val="0"/>
              <w:snapToGrid w:val="0"/>
              <w:jc w:val="center"/>
              <w:rPr>
                <w:color w:val="auto"/>
                <w:sz w:val="24"/>
              </w:rPr>
            </w:pPr>
            <w:r>
              <w:rPr>
                <w:color w:val="auto"/>
                <w:sz w:val="24"/>
              </w:rPr>
              <w:t>外运作为铺路材料</w:t>
            </w:r>
          </w:p>
        </w:tc>
      </w:tr>
      <w:tr w14:paraId="1582D95A">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407" w:hRule="atLeast"/>
          <w:jc w:val="center"/>
        </w:trPr>
        <w:tc>
          <w:tcPr>
            <w:tcW w:w="994" w:type="dxa"/>
            <w:vMerge w:val="continue"/>
            <w:vAlign w:val="center"/>
          </w:tcPr>
          <w:p w14:paraId="1AD95B1A">
            <w:pPr>
              <w:adjustRightInd w:val="0"/>
              <w:snapToGrid w:val="0"/>
              <w:jc w:val="center"/>
              <w:rPr>
                <w:color w:val="auto"/>
                <w:sz w:val="24"/>
              </w:rPr>
            </w:pPr>
          </w:p>
        </w:tc>
        <w:tc>
          <w:tcPr>
            <w:tcW w:w="1560" w:type="dxa"/>
            <w:vAlign w:val="center"/>
          </w:tcPr>
          <w:p w14:paraId="1F0B77CE">
            <w:pPr>
              <w:adjustRightInd w:val="0"/>
              <w:snapToGrid w:val="0"/>
              <w:jc w:val="center"/>
              <w:rPr>
                <w:color w:val="auto"/>
                <w:sz w:val="24"/>
              </w:rPr>
            </w:pPr>
            <w:r>
              <w:rPr>
                <w:color w:val="auto"/>
                <w:sz w:val="24"/>
                <w:rFonts w:hint="eastAsia"/>
              </w:rPr>
              <w:t>气浮旋流塔+三维一体化废气处理设备</w:t>
            </w:r>
          </w:p>
        </w:tc>
        <w:tc>
          <w:tcPr>
            <w:tcW w:w="1460" w:type="dxa"/>
            <w:vAlign w:val="center"/>
          </w:tcPr>
          <w:p w14:paraId="2E65795D">
            <w:pPr>
              <w:jc w:val="center"/>
              <w:contextualSpacing/>
              <w:spacing w:line="0" w:lineRule="atLeast"/>
              <w:rPr>
                <w:color w:val="auto"/>
                <w:sz w:val="24"/>
                <w:rFonts w:eastAsiaTheme="minorEastAsia"/>
              </w:rPr>
            </w:pPr>
            <w:r>
              <w:rPr>
                <w:color w:val="auto"/>
                <w:sz w:val="24"/>
                <w:bCs/>
                <w:rFonts w:eastAsiaTheme="minorEastAsia"/>
              </w:rPr>
              <w:t>废活性炭（类别：HW49，代码：900-0</w:t>
            </w:r>
            <w:r>
              <w:rPr>
                <w:color w:val="auto"/>
                <w:sz w:val="24"/>
                <w:bCs/>
                <w:rFonts w:hint="eastAsia" w:eastAsiaTheme="minorEastAsia"/>
              </w:rPr>
              <w:t>39</w:t>
            </w:r>
            <w:r>
              <w:rPr>
                <w:color w:val="auto"/>
                <w:sz w:val="24"/>
                <w:bCs/>
                <w:rFonts w:eastAsiaTheme="minorEastAsia"/>
              </w:rPr>
              <w:t>-49）</w:t>
            </w:r>
          </w:p>
        </w:tc>
        <w:tc>
          <w:tcPr>
            <w:tcW w:w="5769" w:type="dxa"/>
            <w:gridSpan w:val="2"/>
            <w:vMerge w:val="restart"/>
            <w:vAlign w:val="center"/>
          </w:tcPr>
          <w:p w14:paraId="4C2F951A">
            <w:pPr>
              <w:adjustRightInd w:val="0"/>
              <w:snapToGrid w:val="0"/>
              <w:jc w:val="center"/>
              <w:rPr>
                <w:color w:val="auto"/>
                <w:sz w:val="24"/>
              </w:rPr>
            </w:pPr>
            <w:r>
              <w:rPr>
                <w:color w:val="auto"/>
                <w:sz w:val="24"/>
              </w:rPr>
              <w:t>集中收集就暂存于危废</w:t>
            </w:r>
            <w:r>
              <w:rPr>
                <w:color w:val="auto"/>
                <w:sz w:val="24"/>
                <w:rFonts w:hint="eastAsia"/>
              </w:rPr>
              <w:t>贮存</w:t>
            </w:r>
            <w:r>
              <w:rPr>
                <w:color w:val="auto"/>
                <w:sz w:val="24"/>
                <w:lang w:val="en-US" w:eastAsia="zh-CN"/>
                <w:kern w:val="0"/>
                <w:rFonts w:hint="eastAsia"/>
              </w:rPr>
              <w:t>点</w:t>
            </w:r>
            <w:r>
              <w:rPr>
                <w:color w:val="auto"/>
                <w:sz w:val="24"/>
              </w:rPr>
              <w:t>，交有资质单位处置</w:t>
            </w:r>
          </w:p>
        </w:tc>
      </w:tr>
      <w:tr w14:paraId="78F245C7">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549" w:hRule="atLeast"/>
          <w:jc w:val="center"/>
        </w:trPr>
        <w:tc>
          <w:tcPr>
            <w:tcW w:w="994" w:type="dxa"/>
            <w:vMerge w:val="continue"/>
            <w:vAlign w:val="center"/>
          </w:tcPr>
          <w:p w14:paraId="2FBF540D">
            <w:pPr>
              <w:adjustRightInd w:val="0"/>
              <w:snapToGrid w:val="0"/>
              <w:jc w:val="center"/>
              <w:rPr>
                <w:color w:val="auto"/>
                <w:sz w:val="24"/>
              </w:rPr>
            </w:pPr>
          </w:p>
        </w:tc>
        <w:tc>
          <w:tcPr>
            <w:tcW w:w="1560" w:type="dxa"/>
            <w:vMerge w:val="restart"/>
            <w:vAlign w:val="center"/>
          </w:tcPr>
          <w:p w14:paraId="1B264E42">
            <w:pPr>
              <w:adjustRightInd w:val="0"/>
              <w:snapToGrid w:val="0"/>
              <w:jc w:val="center"/>
              <w:rPr>
                <w:color w:val="auto"/>
                <w:sz w:val="24"/>
              </w:rPr>
            </w:pPr>
            <w:r>
              <w:rPr>
                <w:color w:val="auto"/>
                <w:sz w:val="24"/>
              </w:rPr>
              <w:t>导热油炉</w:t>
            </w:r>
          </w:p>
        </w:tc>
        <w:tc>
          <w:tcPr>
            <w:tcW w:w="1460" w:type="dxa"/>
            <w:vAlign w:val="center"/>
          </w:tcPr>
          <w:p w14:paraId="004B39BA">
            <w:pPr>
              <w:jc w:val="center"/>
              <w:contextualSpacing/>
              <w:spacing w:line="0" w:lineRule="atLeast"/>
              <w:rPr>
                <w:color w:val="auto"/>
                <w:sz w:val="24"/>
                <w:bCs/>
                <w:rFonts w:eastAsiaTheme="minorEastAsia"/>
              </w:rPr>
            </w:pPr>
            <w:r>
              <w:rPr>
                <w:color w:val="auto"/>
                <w:sz w:val="24"/>
                <w:rFonts w:eastAsiaTheme="minorEastAsia"/>
              </w:rPr>
              <w:t>废</w:t>
            </w:r>
            <w:r>
              <w:rPr>
                <w:color w:val="auto"/>
                <w:sz w:val="24"/>
                <w:rFonts w:hint="eastAsia" w:eastAsiaTheme="minorEastAsia"/>
              </w:rPr>
              <w:t>导热油</w:t>
            </w:r>
            <w:r>
              <w:rPr>
                <w:color w:val="auto"/>
                <w:sz w:val="24"/>
                <w:rFonts w:eastAsiaTheme="minorEastAsia"/>
              </w:rPr>
              <w:t>（类别</w:t>
            </w:r>
            <w:r>
              <w:rPr>
                <w:color w:val="auto"/>
                <w:sz w:val="24"/>
                <w:bCs/>
                <w:rFonts w:eastAsiaTheme="minorEastAsia"/>
              </w:rPr>
              <w:t>HW08，代码：900-249-08</w:t>
            </w:r>
            <w:r>
              <w:rPr>
                <w:color w:val="auto"/>
                <w:sz w:val="24"/>
                <w:rFonts w:eastAsiaTheme="minorEastAsia"/>
              </w:rPr>
              <w:t>）</w:t>
            </w:r>
          </w:p>
        </w:tc>
        <w:tc>
          <w:tcPr>
            <w:tcW w:w="5769" w:type="dxa"/>
            <w:gridSpan w:val="2"/>
            <w:vMerge w:val="continue"/>
            <w:vAlign w:val="center"/>
          </w:tcPr>
          <w:p w14:paraId="5B2AA24A">
            <w:pPr>
              <w:adjustRightInd w:val="0"/>
              <w:snapToGrid w:val="0"/>
              <w:jc w:val="center"/>
              <w:rPr>
                <w:color w:val="auto"/>
                <w:sz w:val="24"/>
              </w:rPr>
            </w:pPr>
          </w:p>
        </w:tc>
      </w:tr>
      <w:tr w14:paraId="5E03D3D4">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251" w:hRule="atLeast"/>
          <w:jc w:val="center"/>
        </w:trPr>
        <w:tc>
          <w:tcPr>
            <w:tcW w:w="994" w:type="dxa"/>
            <w:vMerge w:val="continue"/>
            <w:vAlign w:val="center"/>
          </w:tcPr>
          <w:p w14:paraId="0ECE9797">
            <w:pPr>
              <w:adjustRightInd w:val="0"/>
              <w:snapToGrid w:val="0"/>
              <w:jc w:val="center"/>
              <w:rPr>
                <w:color w:val="auto"/>
                <w:sz w:val="24"/>
              </w:rPr>
            </w:pPr>
          </w:p>
        </w:tc>
        <w:tc>
          <w:tcPr>
            <w:tcW w:w="1560" w:type="dxa"/>
            <w:vMerge w:val="continue"/>
            <w:vAlign w:val="center"/>
          </w:tcPr>
          <w:p w14:paraId="53852ACA">
            <w:pPr>
              <w:adjustRightInd w:val="0"/>
              <w:snapToGrid w:val="0"/>
              <w:jc w:val="center"/>
              <w:rPr>
                <w:color w:val="auto"/>
                <w:sz w:val="24"/>
              </w:rPr>
            </w:pPr>
          </w:p>
        </w:tc>
        <w:tc>
          <w:tcPr>
            <w:tcW w:w="1460" w:type="dxa"/>
            <w:vAlign w:val="center"/>
          </w:tcPr>
          <w:p w14:paraId="5CFFFF30">
            <w:pPr>
              <w:jc w:val="center"/>
              <w:contextualSpacing/>
              <w:spacing w:line="0" w:lineRule="atLeast"/>
              <w:rPr>
                <w:color w:val="auto"/>
                <w:sz w:val="24"/>
                <w:rFonts w:eastAsiaTheme="minorEastAsia"/>
              </w:rPr>
            </w:pPr>
            <w:r>
              <w:rPr>
                <w:color w:val="auto"/>
                <w:sz w:val="24"/>
                <w:bCs/>
                <w:rFonts w:eastAsiaTheme="minorEastAsia"/>
              </w:rPr>
              <w:t>废</w:t>
            </w:r>
            <w:r>
              <w:rPr>
                <w:color w:val="auto"/>
                <w:sz w:val="24"/>
                <w:bCs/>
                <w:rFonts w:hint="eastAsia" w:eastAsiaTheme="minorEastAsia"/>
              </w:rPr>
              <w:t>油桶</w:t>
            </w:r>
            <w:r>
              <w:rPr>
                <w:color w:val="auto"/>
                <w:sz w:val="24"/>
                <w:bCs/>
                <w:rFonts w:eastAsiaTheme="minorEastAsia"/>
              </w:rPr>
              <w:t>（类别：HW</w:t>
            </w:r>
            <w:r>
              <w:rPr>
                <w:color w:val="auto"/>
                <w:sz w:val="24"/>
                <w:bCs/>
                <w:rFonts w:hint="eastAsia" w:eastAsiaTheme="minorEastAsia"/>
              </w:rPr>
              <w:t>08</w:t>
            </w:r>
            <w:r>
              <w:rPr>
                <w:color w:val="auto"/>
                <w:sz w:val="24"/>
                <w:bCs/>
                <w:rFonts w:eastAsiaTheme="minorEastAsia"/>
              </w:rPr>
              <w:t>，代码：900-</w:t>
            </w:r>
            <w:r>
              <w:rPr>
                <w:color w:val="auto"/>
                <w:sz w:val="24"/>
                <w:bCs/>
                <w:rFonts w:hint="eastAsia" w:eastAsiaTheme="minorEastAsia"/>
              </w:rPr>
              <w:t>249</w:t>
            </w:r>
            <w:r>
              <w:rPr>
                <w:color w:val="auto"/>
                <w:sz w:val="24"/>
                <w:bCs/>
                <w:rFonts w:eastAsiaTheme="minorEastAsia"/>
              </w:rPr>
              <w:t>-</w:t>
            </w:r>
            <w:r>
              <w:rPr>
                <w:color w:val="auto"/>
                <w:sz w:val="24"/>
                <w:bCs/>
                <w:rFonts w:hint="eastAsia" w:eastAsiaTheme="minorEastAsia"/>
              </w:rPr>
              <w:t>08</w:t>
            </w:r>
            <w:r>
              <w:rPr>
                <w:color w:val="auto"/>
                <w:sz w:val="24"/>
                <w:bCs/>
                <w:rFonts w:eastAsiaTheme="minorEastAsia"/>
              </w:rPr>
              <w:t>）</w:t>
            </w:r>
          </w:p>
        </w:tc>
        <w:tc>
          <w:tcPr>
            <w:tcW w:w="5769" w:type="dxa"/>
            <w:gridSpan w:val="2"/>
            <w:vMerge w:val="continue"/>
            <w:vAlign w:val="center"/>
          </w:tcPr>
          <w:p w14:paraId="5678CAAF">
            <w:pPr>
              <w:adjustRightInd w:val="0"/>
              <w:snapToGrid w:val="0"/>
              <w:jc w:val="center"/>
              <w:rPr>
                <w:color w:val="auto"/>
                <w:sz w:val="24"/>
              </w:rPr>
            </w:pPr>
          </w:p>
        </w:tc>
      </w:tr>
      <w:tr w14:paraId="508062FD">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1251" w:hRule="atLeast"/>
          <w:jc w:val="center"/>
        </w:trPr>
        <w:tc>
          <w:tcPr>
            <w:tcW w:w="994" w:type="dxa"/>
            <w:vMerge w:val="continue"/>
            <w:vAlign w:val="center"/>
          </w:tcPr>
          <w:p w14:paraId="22B6551D">
            <w:pPr>
              <w:adjustRightInd w:val="0"/>
              <w:snapToGrid w:val="0"/>
              <w:jc w:val="center"/>
              <w:rPr>
                <w:color w:val="auto"/>
                <w:sz w:val="24"/>
              </w:rPr>
            </w:pPr>
          </w:p>
        </w:tc>
        <w:tc>
          <w:tcPr>
            <w:tcW w:w="1560" w:type="dxa"/>
            <w:vAlign w:val="center"/>
          </w:tcPr>
          <w:p w14:paraId="70EA3F41">
            <w:pPr>
              <w:adjustRightInd w:val="0"/>
              <w:snapToGrid w:val="0"/>
              <w:jc w:val="center"/>
              <w:rPr>
                <w:color w:val="auto"/>
                <w:sz w:val="24"/>
              </w:rPr>
            </w:pPr>
            <w:r>
              <w:rPr>
                <w:color w:val="auto"/>
                <w:sz w:val="24"/>
              </w:rPr>
              <w:t>初期雨水池</w:t>
            </w:r>
          </w:p>
        </w:tc>
        <w:tc>
          <w:tcPr>
            <w:tcW w:w="1460" w:type="dxa"/>
            <w:vAlign w:val="center"/>
          </w:tcPr>
          <w:p w14:paraId="10EE3C9C">
            <w:pPr>
              <w:jc w:val="center"/>
              <w:contextualSpacing/>
              <w:spacing w:line="0" w:lineRule="atLeast"/>
              <w:rPr>
                <w:color w:val="auto"/>
                <w:sz w:val="24"/>
                <w:bCs/>
                <w:rFonts w:eastAsiaTheme="minorEastAsia"/>
              </w:rPr>
            </w:pPr>
            <w:r>
              <w:rPr>
                <w:color w:val="auto"/>
                <w:sz w:val="24"/>
              </w:rPr>
              <w:t>初期雨水池油污</w:t>
            </w:r>
            <w:r>
              <w:rPr>
                <w:color w:val="auto"/>
                <w:sz w:val="24"/>
                <w:bCs/>
                <w:rFonts w:eastAsiaTheme="minorEastAsia"/>
              </w:rPr>
              <w:t>（类别：HW</w:t>
            </w:r>
            <w:r>
              <w:rPr>
                <w:color w:val="auto"/>
                <w:sz w:val="24"/>
                <w:bCs/>
                <w:rFonts w:hint="eastAsia" w:eastAsiaTheme="minorEastAsia"/>
              </w:rPr>
              <w:t>08</w:t>
            </w:r>
            <w:r>
              <w:rPr>
                <w:color w:val="auto"/>
                <w:sz w:val="24"/>
                <w:bCs/>
                <w:rFonts w:eastAsiaTheme="minorEastAsia"/>
              </w:rPr>
              <w:t>，代码：900-</w:t>
            </w:r>
            <w:r>
              <w:rPr>
                <w:color w:val="auto"/>
                <w:sz w:val="24"/>
                <w:bCs/>
                <w:rFonts w:hint="eastAsia" w:eastAsiaTheme="minorEastAsia"/>
              </w:rPr>
              <w:t>210</w:t>
            </w:r>
            <w:r>
              <w:rPr>
                <w:color w:val="auto"/>
                <w:sz w:val="24"/>
                <w:bCs/>
                <w:rFonts w:eastAsiaTheme="minorEastAsia"/>
              </w:rPr>
              <w:t>-</w:t>
            </w:r>
            <w:r>
              <w:rPr>
                <w:color w:val="auto"/>
                <w:sz w:val="24"/>
                <w:bCs/>
                <w:rFonts w:hint="eastAsia" w:eastAsiaTheme="minorEastAsia"/>
              </w:rPr>
              <w:t>08</w:t>
            </w:r>
            <w:r>
              <w:rPr>
                <w:color w:val="auto"/>
                <w:sz w:val="24"/>
                <w:bCs/>
                <w:rFonts w:eastAsiaTheme="minorEastAsia"/>
              </w:rPr>
              <w:t>）</w:t>
            </w:r>
          </w:p>
        </w:tc>
        <w:tc>
          <w:tcPr>
            <w:tcW w:w="5769" w:type="dxa"/>
            <w:gridSpan w:val="2"/>
            <w:vMerge w:val="continue"/>
            <w:vAlign w:val="center"/>
          </w:tcPr>
          <w:p w14:paraId="5E39545D">
            <w:pPr>
              <w:adjustRightInd w:val="0"/>
              <w:snapToGrid w:val="0"/>
              <w:jc w:val="center"/>
              <w:rPr>
                <w:color w:val="auto"/>
                <w:sz w:val="24"/>
              </w:rPr>
            </w:pPr>
          </w:p>
        </w:tc>
      </w:tr>
      <w:tr w14:paraId="020D3C6C">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974" w:hRule="atLeast"/>
          <w:jc w:val="center"/>
        </w:trPr>
        <w:tc>
          <w:tcPr>
            <w:tcW w:w="994" w:type="dxa"/>
            <w:vAlign w:val="center"/>
          </w:tcPr>
          <w:p w14:paraId="2332D721">
            <w:pPr>
              <w:adjustRightInd w:val="0"/>
              <w:snapToGrid w:val="0"/>
              <w:jc w:val="center"/>
              <w:rPr>
                <w:color w:val="auto"/>
                <w:sz w:val="24"/>
              </w:rPr>
            </w:pPr>
            <w:r>
              <w:rPr>
                <w:color w:val="auto"/>
                <w:sz w:val="24"/>
              </w:rPr>
              <w:t>土壤及地下水污染防治措施</w:t>
            </w:r>
          </w:p>
        </w:tc>
        <w:tc>
          <w:tcPr>
            <w:tcW w:w="8789" w:type="dxa"/>
            <w:gridSpan w:val="4"/>
            <w:vAlign w:val="center"/>
          </w:tcPr>
          <w:p w14:paraId="397D2DFA">
            <w:pPr>
              <w:jc w:val="center"/>
              <w:contextualSpacing/>
              <w:spacing w:line="360" w:lineRule="auto"/>
              <w:rPr>
                <w:color w:val="auto"/>
                <w:sz w:val="24"/>
                <w:bCs/>
              </w:rPr>
            </w:pPr>
            <w:r>
              <w:rPr>
                <w:color w:val="auto"/>
                <w:sz w:val="24"/>
                <w:kern w:val="0"/>
              </w:rPr>
              <w:t>本项目无</w:t>
            </w:r>
            <w:r>
              <w:rPr>
                <w:color w:val="auto"/>
                <w:sz w:val="24"/>
              </w:rPr>
              <w:t>生产废水产生</w:t>
            </w:r>
            <w:r>
              <w:rPr>
                <w:color w:val="auto"/>
                <w:sz w:val="24"/>
                <w:kern w:val="0"/>
              </w:rPr>
              <w:t>，</w:t>
            </w:r>
            <w:r>
              <w:rPr>
                <w:color w:val="auto"/>
                <w:sz w:val="24"/>
              </w:rPr>
              <w:t>生活污水排入防渗旱厕，定期清掏，外运堆肥，不外排</w:t>
            </w:r>
            <w:r>
              <w:rPr>
                <w:color w:val="auto"/>
                <w:sz w:val="24"/>
                <w:kern w:val="0"/>
              </w:rPr>
              <w:t>；</w:t>
            </w:r>
            <w:r>
              <w:rPr>
                <w:color w:val="auto"/>
                <w:sz w:val="24"/>
                <w:szCs w:val="20"/>
                <w:rFonts w:eastAsiaTheme="minorEastAsia"/>
              </w:rPr>
              <w:t>本项目</w:t>
            </w:r>
            <w:r>
              <w:rPr>
                <w:color w:val="auto"/>
                <w:sz w:val="24"/>
                <w:kern w:val="0"/>
              </w:rPr>
              <w:t>沥青储罐位于地下，进行基础防渗。沥青储罐、</w:t>
            </w:r>
            <w:r>
              <w:rPr>
                <w:color w:val="auto"/>
                <w:sz w:val="24"/>
                <w:szCs w:val="20"/>
                <w:rFonts w:eastAsiaTheme="minorEastAsia"/>
              </w:rPr>
              <w:t>危废</w:t>
            </w:r>
            <w:r>
              <w:rPr>
                <w:color w:val="auto"/>
                <w:sz w:val="24"/>
                <w:szCs w:val="20"/>
                <w:rFonts w:hint="eastAsia" w:eastAsiaTheme="minorEastAsia"/>
              </w:rPr>
              <w:t>贮存</w:t>
            </w:r>
            <w:r>
              <w:rPr>
                <w:color w:val="auto"/>
                <w:sz w:val="24"/>
                <w:lang w:val="en-US" w:eastAsia="zh-CN"/>
                <w:kern w:val="0"/>
                <w:rFonts w:hint="eastAsia"/>
              </w:rPr>
              <w:t>点、</w:t>
            </w:r>
            <w:r>
              <w:rPr>
                <w:color w:val="auto"/>
                <w:sz w:val="24"/>
                <w:szCs w:val="20"/>
                <w:rFonts w:eastAsiaTheme="minorEastAsia"/>
              </w:rPr>
              <w:t>初期雨水池防渗层为至少1米厚粘土层（渗透系数≤10</w:t>
            </w:r>
            <w:r>
              <w:rPr>
                <w:vertAlign w:val="superscript"/>
                <w:color w:val="auto"/>
                <w:sz w:val="24"/>
                <w:szCs w:val="20"/>
                <w:rFonts w:eastAsiaTheme="minorEastAsia"/>
              </w:rPr>
              <w:t>-7</w:t>
            </w:r>
            <w:r>
              <w:rPr>
                <w:color w:val="auto"/>
                <w:sz w:val="24"/>
                <w:bCs/>
                <w:szCs w:val="20"/>
                <w:rFonts w:eastAsiaTheme="minorEastAsia"/>
              </w:rPr>
              <w:t xml:space="preserve"> cm/s</w:t>
            </w:r>
            <w:r>
              <w:rPr>
                <w:color w:val="auto"/>
                <w:sz w:val="24"/>
                <w:szCs w:val="20"/>
                <w:rFonts w:eastAsiaTheme="minorEastAsia"/>
              </w:rPr>
              <w:t>），或2mm高密度聚乙烯，或至少2mm厚的其它人工材料，渗透系数≤1×10</w:t>
            </w:r>
            <w:r>
              <w:rPr>
                <w:vertAlign w:val="superscript"/>
                <w:color w:val="auto"/>
                <w:sz w:val="24"/>
                <w:szCs w:val="20"/>
                <w:rFonts w:eastAsiaTheme="minorEastAsia"/>
              </w:rPr>
              <w:t>-10</w:t>
            </w:r>
            <w:r>
              <w:rPr>
                <w:color w:val="auto"/>
                <w:sz w:val="24"/>
                <w:szCs w:val="20"/>
                <w:rFonts w:eastAsiaTheme="minorEastAsia"/>
              </w:rPr>
              <w:t>cm/s，</w:t>
            </w:r>
            <w:r>
              <w:rPr>
                <w:color w:val="auto"/>
                <w:sz w:val="24"/>
                <w:kern w:val="0"/>
                <w:rFonts w:hint="eastAsia"/>
              </w:rPr>
              <w:t>废导热油储存区采取围堰措施，围堰地面及墙脚防渗，渗透系数</w:t>
            </w:r>
            <w:r>
              <w:rPr>
                <w:color w:val="auto"/>
                <w:sz w:val="24"/>
                <w:kern w:val="0"/>
              </w:rPr>
              <w:t>≤</w:t>
            </w:r>
            <w:r>
              <w:rPr>
                <w:color w:val="auto"/>
                <w:sz w:val="24"/>
                <w:kern w:val="0"/>
                <w:rFonts w:hint="eastAsia"/>
              </w:rPr>
              <w:t>10</w:t>
            </w:r>
            <w:r>
              <w:rPr>
                <w:vertAlign w:val="superscript"/>
                <w:color w:val="auto"/>
                <w:sz w:val="24"/>
                <w:kern w:val="0"/>
                <w:rFonts w:hint="eastAsia"/>
              </w:rPr>
              <w:t>-7</w:t>
            </w:r>
            <w:r>
              <w:rPr>
                <w:color w:val="auto"/>
                <w:sz w:val="24"/>
                <w:kern w:val="0"/>
                <w:rFonts w:hint="eastAsia"/>
              </w:rPr>
              <w:t>cm/s。</w:t>
            </w:r>
            <w:r>
              <w:rPr>
                <w:color w:val="auto"/>
                <w:sz w:val="24"/>
                <w:kern w:val="0"/>
              </w:rPr>
              <w:t>本项目天然气、沥青储罐、管道均为耐腐蚀均材质，天然气储罐周围设置50cm高围堰，围堰区域范围按储罐最大外形向外延伸0.8m，围堰内有效容积为240m³，围堰地面及墙脚防渗，渗透系数≤10</w:t>
            </w:r>
            <w:r>
              <w:rPr>
                <w:vertAlign w:val="superscript"/>
                <w:color w:val="auto"/>
                <w:sz w:val="24"/>
                <w:kern w:val="0"/>
              </w:rPr>
              <w:t>-7</w:t>
            </w:r>
            <w:r>
              <w:rPr>
                <w:color w:val="auto"/>
                <w:sz w:val="24"/>
                <w:kern w:val="0"/>
              </w:rPr>
              <w:t>cm/s。</w:t>
            </w:r>
            <w:r>
              <w:rPr>
                <w:color w:val="auto"/>
                <w:sz w:val="24"/>
                <w:kern w:val="0"/>
                <w:rFonts w:hint="eastAsia"/>
              </w:rPr>
              <w:t xml:space="preserve"> </w:t>
            </w:r>
            <w:r>
              <w:rPr>
                <w:color w:val="auto"/>
                <w:sz w:val="24"/>
                <w:kern w:val="0"/>
              </w:rPr>
              <w:t>厂区其他地面简单防渗，地面进行硬化处理，不会对地下水及厂区内土壤产生影响</w:t>
            </w:r>
            <w:r>
              <w:rPr>
                <w:color w:val="auto"/>
                <w:sz w:val="24"/>
                <w:szCs w:val="20"/>
                <w:rFonts w:eastAsiaTheme="minorEastAsia"/>
              </w:rPr>
              <w:t>。</w:t>
            </w:r>
          </w:p>
        </w:tc>
      </w:tr>
      <w:tr w14:paraId="6C8987E6">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998" w:hRule="atLeast"/>
          <w:jc w:val="center"/>
        </w:trPr>
        <w:tc>
          <w:tcPr>
            <w:tcW w:w="994" w:type="dxa"/>
            <w:vAlign w:val="center"/>
          </w:tcPr>
          <w:p w14:paraId="59BC4DED">
            <w:pPr>
              <w:adjustRightInd w:val="0"/>
              <w:snapToGrid w:val="0"/>
              <w:jc w:val="center"/>
              <w:rPr>
                <w:color w:val="auto"/>
                <w:sz w:val="24"/>
              </w:rPr>
            </w:pPr>
            <w:r>
              <w:rPr>
                <w:color w:val="auto"/>
                <w:sz w:val="24"/>
              </w:rPr>
              <w:t>生态保护措施</w:t>
            </w:r>
          </w:p>
        </w:tc>
        <w:tc>
          <w:tcPr>
            <w:tcW w:w="8789" w:type="dxa"/>
            <w:gridSpan w:val="4"/>
            <w:vAlign w:val="center"/>
          </w:tcPr>
          <w:p w14:paraId="7CD34F29">
            <w:pPr>
              <w:adjustRightInd w:val="0"/>
              <w:snapToGrid w:val="0"/>
              <w:jc w:val="center"/>
              <w:rPr>
                <w:color w:val="auto"/>
                <w:sz w:val="24"/>
              </w:rPr>
            </w:pPr>
            <w:r>
              <w:rPr>
                <w:color w:val="auto"/>
                <w:sz w:val="24"/>
              </w:rPr>
              <w:t>无</w:t>
            </w:r>
          </w:p>
        </w:tc>
      </w:tr>
      <w:tr w14:paraId="2340129C">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801" w:hRule="atLeast"/>
          <w:jc w:val="center"/>
        </w:trPr>
        <w:tc>
          <w:tcPr>
            <w:tcW w:w="994" w:type="dxa"/>
            <w:vAlign w:val="center"/>
          </w:tcPr>
          <w:p w14:paraId="106BB3EE">
            <w:pPr>
              <w:adjustRightInd w:val="0"/>
              <w:snapToGrid w:val="0"/>
              <w:jc w:val="center"/>
              <w:rPr>
                <w:color w:val="auto"/>
                <w:sz w:val="24"/>
              </w:rPr>
            </w:pPr>
            <w:r>
              <w:rPr>
                <w:color w:val="auto"/>
                <w:sz w:val="24"/>
              </w:rPr>
              <w:t>环境风险防范措施</w:t>
            </w:r>
          </w:p>
        </w:tc>
        <w:tc>
          <w:tcPr>
            <w:tcW w:w="8789" w:type="dxa"/>
            <w:gridSpan w:val="4"/>
            <w:vAlign w:val="center"/>
          </w:tcPr>
          <w:p w14:paraId="297DF295">
            <w:pPr>
              <w:contextualSpacing/>
              <w:spacing w:line="360" w:lineRule="auto"/>
              <w:ind w:firstLine="480" w:firstLineChars="200"/>
              <w:rPr>
                <w:color w:val="auto"/>
                <w:sz w:val="24"/>
                <w:rFonts w:asciiTheme="minorEastAsia" w:hAnsiTheme="minorEastAsia" w:eastAsiaTheme="minorEastAsia"/>
              </w:rPr>
            </w:pPr>
            <w:r>
              <w:rPr>
                <w:color w:val="auto"/>
                <w:sz w:val="24"/>
                <w:rFonts w:asciiTheme="minorEastAsia" w:hAnsiTheme="minorEastAsia" w:eastAsiaTheme="minorEastAsia"/>
              </w:rPr>
              <w:t>①</w:t>
            </w:r>
            <w:r>
              <w:rPr>
                <w:color w:val="auto"/>
                <w:sz w:val="24"/>
                <w:szCs w:val="20"/>
                <w:rFonts w:asciiTheme="minorEastAsia" w:hAnsiTheme="minorEastAsia" w:eastAsiaTheme="minorEastAsia"/>
              </w:rPr>
              <w:t>企业应</w:t>
            </w:r>
            <w:r>
              <w:rPr>
                <w:color w:val="auto"/>
                <w:sz w:val="24"/>
                <w:szCs w:val="20"/>
                <w:rFonts w:hint="eastAsia" w:asciiTheme="minorEastAsia" w:hAnsiTheme="minorEastAsia" w:eastAsiaTheme="minorEastAsia"/>
              </w:rPr>
              <w:t>建立健全环境风险防控体系，制定环境风险应急预案，成立应急组织机构，建设突发事件应急物资储备库，并与当地环境风险应急预案联动</w:t>
            </w:r>
            <w:r>
              <w:rPr>
                <w:color w:val="auto"/>
                <w:sz w:val="24"/>
                <w:szCs w:val="20"/>
                <w:rFonts w:asciiTheme="minorEastAsia" w:hAnsiTheme="minorEastAsia" w:eastAsiaTheme="minorEastAsia"/>
              </w:rPr>
              <w:t>，加强危险源的的普査、管理，引入安全检査表，强化系统协调运作体系，加强危险源的的普査、管理，引入安全检査表，强化系统协调运作，提髙事故预防能力，确保安全生产</w:t>
            </w:r>
            <w:r>
              <w:rPr>
                <w:color w:val="auto"/>
                <w:sz w:val="24"/>
                <w:rFonts w:asciiTheme="minorEastAsia" w:hAnsiTheme="minorEastAsia" w:eastAsiaTheme="minorEastAsia"/>
              </w:rPr>
              <w:t>。</w:t>
            </w:r>
          </w:p>
          <w:p w14:paraId="69A67A11">
            <w:pPr>
              <w:contextualSpacing/>
              <w:spacing w:line="360" w:lineRule="auto"/>
              <w:ind w:firstLine="480" w:firstLineChars="200"/>
              <w:rPr>
                <w:color w:val="auto"/>
                <w:sz w:val="24"/>
                <w:rFonts w:asciiTheme="minorEastAsia" w:hAnsiTheme="minorEastAsia" w:eastAsiaTheme="minorEastAsia"/>
              </w:rPr>
            </w:pPr>
            <w:r>
              <w:rPr>
                <w:color w:val="auto"/>
                <w:sz w:val="24"/>
                <w:rFonts w:asciiTheme="minorEastAsia" w:hAnsiTheme="minorEastAsia" w:eastAsiaTheme="minorEastAsia"/>
              </w:rPr>
              <w:t>②总图布置进行功能分区，分区内部和相互之间保持一定通道和间距；贮存和生产设施的布置应保证生产人员安全操作及疏散方便；厂区围墙两侧建筑物之间应满足消防主管部门规定的防火间距要求；建、构筑物之间的防火间距应符合有关规定；电力线路不应跨越装置区。</w:t>
            </w:r>
          </w:p>
          <w:p w14:paraId="4A0B72AA">
            <w:pPr>
              <w:contextualSpacing/>
              <w:spacing w:line="360" w:lineRule="auto"/>
              <w:ind w:firstLine="480" w:firstLineChars="200"/>
              <w:rPr>
                <w:color w:val="auto"/>
                <w:sz w:val="24"/>
                <w:rFonts w:asciiTheme="minorEastAsia" w:hAnsiTheme="minorEastAsia" w:eastAsiaTheme="minorEastAsia"/>
              </w:rPr>
            </w:pPr>
            <w:r>
              <w:rPr>
                <w:color w:val="auto"/>
                <w:sz w:val="24"/>
                <w:rFonts w:asciiTheme="minorEastAsia" w:hAnsiTheme="minorEastAsia" w:eastAsiaTheme="minorEastAsia"/>
              </w:rPr>
              <w:t>③运行过程中对导热油密闭管路进行定期检查，导热油管路设置紧急切断转换电动阀门，一旦发生泄漏后及时紧急关闭，以减少油品泄漏量。</w:t>
            </w:r>
          </w:p>
          <w:p w14:paraId="27C8DD1C">
            <w:pPr>
              <w:contextualSpacing/>
              <w:spacing w:line="360" w:lineRule="auto"/>
              <w:ind w:firstLine="480" w:firstLineChars="200"/>
              <w:rPr>
                <w:color w:val="auto"/>
                <w:sz w:val="24"/>
                <w:rFonts w:asciiTheme="minorEastAsia" w:hAnsiTheme="minorEastAsia" w:eastAsiaTheme="minorEastAsia"/>
              </w:rPr>
            </w:pPr>
            <w:r>
              <w:rPr>
                <w:color w:val="auto"/>
                <w:sz w:val="24"/>
                <w:rFonts w:asciiTheme="minorEastAsia" w:hAnsiTheme="minorEastAsia" w:eastAsiaTheme="minorEastAsia"/>
              </w:rPr>
              <w:fldChar w:fldCharType="begin"/>
            </w:r>
            <w:r>
              <w:rPr>
                <w:color w:val="auto"/>
                <w:sz w:val="24"/>
                <w:rFonts w:asciiTheme="minorEastAsia" w:hAnsiTheme="minorEastAsia" w:eastAsiaTheme="minorEastAsia"/>
              </w:rPr>
              <w:instrText xml:space="preserve"> = 4 \* GB3 </w:instrText>
            </w:r>
            <w:r>
              <w:rPr>
                <w:color w:val="auto"/>
                <w:sz w:val="24"/>
                <w:rFonts w:asciiTheme="minorEastAsia" w:hAnsiTheme="minorEastAsia" w:eastAsiaTheme="minorEastAsia"/>
              </w:rPr>
              <w:fldChar w:fldCharType="separate"/>
            </w:r>
            <w:r>
              <w:rPr>
                <w:color w:val="auto"/>
                <w:sz w:val="24"/>
                <w:rFonts w:asciiTheme="minorEastAsia" w:hAnsiTheme="minorEastAsia" w:eastAsiaTheme="minorEastAsia"/>
              </w:rPr>
              <w:t>④</w:t>
            </w:r>
            <w:r>
              <w:rPr>
                <w:color w:val="auto"/>
                <w:sz w:val="24"/>
                <w:rFonts w:asciiTheme="minorEastAsia" w:hAnsiTheme="minorEastAsia" w:eastAsiaTheme="minorEastAsia"/>
              </w:rPr>
              <w:fldChar w:fldCharType="end"/>
            </w:r>
            <w:r>
              <w:rPr>
                <w:color w:val="auto"/>
                <w:sz w:val="24"/>
                <w:rFonts w:asciiTheme="minorEastAsia" w:hAnsiTheme="minorEastAsia" w:eastAsiaTheme="minorEastAsia"/>
              </w:rPr>
              <w:t>组织周期性巡回检查，定期进行设备检修和阀门检测，及时发现跑冒滴漏或其他异常现象并及时检修，防患未然。</w:t>
            </w:r>
          </w:p>
          <w:p w14:paraId="3A02C325">
            <w:pPr>
              <w:contextualSpacing/>
              <w:spacing w:line="360" w:lineRule="auto"/>
              <w:ind w:firstLine="480" w:firstLineChars="200"/>
              <w:rPr>
                <w:color w:val="auto"/>
                <w:sz w:val="24"/>
                <w:rFonts w:asciiTheme="minorEastAsia" w:hAnsiTheme="minorEastAsia" w:eastAsiaTheme="minorEastAsia"/>
              </w:rPr>
            </w:pPr>
            <w:r>
              <w:rPr>
                <w:color w:val="auto"/>
                <w:sz w:val="24"/>
                <w:rFonts w:asciiTheme="minorEastAsia" w:hAnsiTheme="minorEastAsia" w:eastAsiaTheme="minorEastAsia"/>
              </w:rPr>
              <w:fldChar w:fldCharType="begin"/>
            </w:r>
            <w:r>
              <w:rPr>
                <w:color w:val="auto"/>
                <w:sz w:val="24"/>
                <w:rFonts w:asciiTheme="minorEastAsia" w:hAnsiTheme="minorEastAsia" w:eastAsiaTheme="minorEastAsia"/>
              </w:rPr>
              <w:instrText xml:space="preserve"> = 5 \* GB3 </w:instrText>
            </w:r>
            <w:r>
              <w:rPr>
                <w:color w:val="auto"/>
                <w:sz w:val="24"/>
                <w:rFonts w:asciiTheme="minorEastAsia" w:hAnsiTheme="minorEastAsia" w:eastAsiaTheme="minorEastAsia"/>
              </w:rPr>
              <w:fldChar w:fldCharType="separate"/>
            </w:r>
            <w:r>
              <w:rPr>
                <w:color w:val="auto"/>
                <w:sz w:val="24"/>
                <w:rFonts w:asciiTheme="minorEastAsia" w:hAnsiTheme="minorEastAsia" w:eastAsiaTheme="minorEastAsia"/>
              </w:rPr>
              <w:t>⑤</w:t>
            </w:r>
            <w:r>
              <w:rPr>
                <w:color w:val="auto"/>
                <w:sz w:val="24"/>
                <w:rFonts w:asciiTheme="minorEastAsia" w:hAnsiTheme="minorEastAsia" w:eastAsiaTheme="minorEastAsia"/>
              </w:rPr>
              <w:fldChar w:fldCharType="end"/>
            </w:r>
            <w:r>
              <w:rPr>
                <w:color w:val="auto"/>
                <w:sz w:val="24"/>
                <w:rFonts w:asciiTheme="minorEastAsia" w:hAnsiTheme="minorEastAsia" w:eastAsiaTheme="minorEastAsia"/>
              </w:rPr>
              <w:t>当发生火灾等恶性事故时，立即切断电源，迅速转移人员，减少物资损失和人员伤亡，同时拨打火灾报警电话。组织业余消防队员利用一切可能的消防器材，全力灭火抢险，抢险灭火人员要戴正压式空气呼吸器，穿防火服，从上风向接近火源。</w:t>
            </w:r>
          </w:p>
          <w:p w14:paraId="7EAA0465">
            <w:pPr>
              <w:contextualSpacing/>
              <w:spacing w:line="360" w:lineRule="auto"/>
              <w:ind w:firstLine="480" w:firstLineChars="200"/>
              <w:rPr>
                <w:color w:val="auto"/>
                <w:sz w:val="24"/>
                <w:rFonts w:eastAsiaTheme="minorEastAsia"/>
              </w:rPr>
            </w:pPr>
            <w:r>
              <w:rPr>
                <w:color w:val="auto"/>
                <w:sz w:val="24"/>
                <w:rFonts w:asciiTheme="minorEastAsia" w:hAnsiTheme="minorEastAsia" w:eastAsiaTheme="minorEastAsia"/>
              </w:rPr>
              <w:fldChar w:fldCharType="begin"/>
            </w:r>
            <w:r>
              <w:rPr>
                <w:color w:val="auto"/>
                <w:sz w:val="24"/>
                <w:rFonts w:asciiTheme="minorEastAsia" w:hAnsiTheme="minorEastAsia" w:eastAsiaTheme="minorEastAsia"/>
              </w:rPr>
              <w:instrText xml:space="preserve"> = 6 \* GB3 </w:instrText>
            </w:r>
            <w:r>
              <w:rPr>
                <w:color w:val="auto"/>
                <w:sz w:val="24"/>
                <w:rFonts w:asciiTheme="minorEastAsia" w:hAnsiTheme="minorEastAsia" w:eastAsiaTheme="minorEastAsia"/>
              </w:rPr>
              <w:fldChar w:fldCharType="separate"/>
            </w:r>
            <w:r>
              <w:rPr>
                <w:color w:val="auto"/>
                <w:sz w:val="24"/>
                <w:rFonts w:asciiTheme="minorEastAsia" w:hAnsiTheme="minorEastAsia" w:eastAsiaTheme="minorEastAsia"/>
              </w:rPr>
              <w:t>⑥</w:t>
            </w:r>
            <w:r>
              <w:rPr>
                <w:color w:val="auto"/>
                <w:sz w:val="24"/>
                <w:rFonts w:asciiTheme="minorEastAsia" w:hAnsiTheme="minorEastAsia" w:eastAsiaTheme="minorEastAsia"/>
              </w:rPr>
              <w:fldChar w:fldCharType="end"/>
            </w:r>
            <w:r>
              <w:rPr>
                <w:color w:val="auto"/>
                <w:sz w:val="24"/>
                <w:rFonts w:asciiTheme="minorEastAsia" w:hAnsiTheme="minorEastAsia" w:eastAsiaTheme="minorEastAsia"/>
              </w:rPr>
              <w:t>在油品管道周围设置事故围堰，要求事故围堰的底部、四周按相关要求进行防腐、防渗漏处理，一旦发生溢出与渗漏事故，油类物质将控制在事故围堰内，发生火灾或者爆炸事故时产生消防废水、初期雨水可围截在事故围堰内，将污染控制厂区范围内，可有效防控泄露物质进入或者污染周边环境。事故状态下产生的消防废水以及事故废水，应交由具备处理资质单位进行处置，禁止直接排放环境。</w:t>
            </w:r>
          </w:p>
        </w:tc>
      </w:tr>
      <w:tr w14:paraId="2F9579EA">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916" w:hRule="atLeast"/>
          <w:jc w:val="center"/>
        </w:trPr>
        <w:tc>
          <w:tcPr>
            <w:tcW w:w="994" w:type="dxa"/>
            <w:vAlign w:val="center"/>
          </w:tcPr>
          <w:p w14:paraId="639FAEF0">
            <w:pPr>
              <w:adjustRightInd w:val="0"/>
              <w:snapToGrid w:val="0"/>
              <w:jc w:val="center"/>
              <w:spacing w:line="360" w:lineRule="auto"/>
              <w:rPr>
                <w:color w:val="auto"/>
                <w:sz w:val="24"/>
              </w:rPr>
            </w:pPr>
            <w:r>
              <w:rPr>
                <w:color w:val="auto"/>
                <w:sz w:val="24"/>
              </w:rPr>
              <w:t>其他环境管理要求</w:t>
            </w:r>
          </w:p>
        </w:tc>
        <w:tc>
          <w:tcPr>
            <w:tcW w:w="8789" w:type="dxa"/>
            <w:gridSpan w:val="4"/>
          </w:tcPr>
          <w:p w14:paraId="01B096F8">
            <w:pPr>
              <w:adjustRightInd w:val="0"/>
              <w:snapToGrid w:val="0"/>
              <w:spacing w:line="360" w:lineRule="auto"/>
              <w:ind w:firstLine="480" w:firstLineChars="200"/>
              <w:rPr>
                <w:color w:val="auto"/>
                <w:sz w:val="24"/>
              </w:rPr>
            </w:pPr>
            <w:r>
              <w:rPr>
                <w:color w:val="auto"/>
                <w:sz w:val="24"/>
              </w:rPr>
              <w:t>企业应按《排污许可证申请与核发技术规范</w:t>
            </w:r>
            <w:r>
              <w:rPr>
                <w:color w:val="auto"/>
                <w:sz w:val="24"/>
                <w:rFonts w:hint="eastAsia"/>
              </w:rPr>
              <w:t xml:space="preserve"> </w:t>
            </w:r>
            <w:r>
              <w:rPr>
                <w:color w:val="auto"/>
                <w:sz w:val="24"/>
                <w:bCs/>
                <w:rFonts w:hint="eastAsia"/>
              </w:rPr>
              <w:t>石墨及其他非金属矿物制品制造》（HJ1119-2020）</w:t>
            </w:r>
            <w:r>
              <w:rPr>
                <w:color w:val="auto"/>
                <w:sz w:val="24"/>
              </w:rPr>
              <w:t>，定期开展自行监测，并上传至全国污染源监测数据管理与共享系统；建立环境管理台账制度，落实环境管理台账记录的责任部门和责任人，明确工作职责，并对环境管理台账的真实性、完整性和规范性负责，在全国排污许可证管理信息平台申报环境管理台账记录；排污单位按照排污许可证规定的时间提交执行报告，应提交年度执行报告；按照排污许可证要求定期开展信息公开。</w:t>
            </w:r>
          </w:p>
        </w:tc>
      </w:tr>
    </w:tbl>
    <w:p w14:paraId="397D16C2">
      <w:pPr>
        <w:pStyle w:val="22"/>
        <w:jc w:val="center"/>
        <w:outlineLvl w:val="0"/>
        <w:rPr>
          <w:color w:val="auto"/>
          <w:sz w:val="30"/>
          <w:szCs w:val="30"/>
          <w:rFonts w:ascii="Times New Roman" w:hAnsi="Times New Roman" w:eastAsia="黑体"/>
        </w:rPr>
      </w:pPr>
      <w:r>
        <w:br w:type="page"/>
        <w:rPr>
          <w:color w:val="auto"/>
          <w:rFonts w:ascii="Times New Roman" w:hAnsi="Times New Roman"/>
        </w:rPr>
      </w:r>
      <w:bookmarkStart w:id="20" w:name="_Toc68775757"/>
      <w:r>
        <w:rPr>
          <w:color w:val="auto"/>
          <w:sz w:val="30"/>
          <w:szCs w:val="30"/>
          <w:rFonts w:ascii="Times New Roman" w:hAnsi="Times New Roman" w:eastAsia="黑体"/>
        </w:rPr>
        <w:t>六、结论</w:t>
      </w:r>
      <w:bookmarkEnd w:id="20"/>
    </w:p>
    <w:tbl>
      <w:tblPr>
        <w:tblStyle w:val="27"/>
        <w:tblW w:w="0" w:type="auto"/>
        <w:jc w:val="center"/>
        <w:tblLayout w:type="fixed"/>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type="dxa" w:w="0.000000"/>
          <w:bottom w:type="dxa" w:w="0.000000"/>
          <w:left w:type="dxa" w:w="108.000000"/>
          <w:right w:type="dxa" w:w="108.000000"/>
        </w:tblCellMar>
      </w:tblPr>
      <w:tblGrid>
        <w:gridCol w:w="8865.000000"/>
      </w:tblGrid>
      <w:tr w14:paraId="603D6EBA">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type="dxa" w:w="0.000000"/>
            <w:bottom w:type="dxa" w:w="0.000000"/>
            <w:left w:type="dxa" w:w="108.000000"/>
            <w:right w:type="dxa" w:w="108.000000"/>
          </w:tblCellMar>
        </w:tblPrEx>
        <w:trPr>
          <w:trHeight w:val="11991" w:hRule="atLeast"/>
          <w:jc w:val="center"/>
        </w:trPr>
        <w:tc>
          <w:tcPr>
            <w:tcW w:w="8865" w:type="dxa"/>
            <w:tcBorders>
              <w:top w:val="single" w:color="auto" w:sz="6" w:space="0"/>
              <w:bottom w:val="single" w:color="auto" w:sz="8" w:space="0"/>
            </w:tcBorders>
          </w:tcPr>
          <w:p w14:paraId="74F80CEB">
            <w:pPr>
              <w:widowControl w:val="1"/>
              <w:spacing w:line="360" w:lineRule="auto"/>
              <w:ind w:firstLine="480" w:firstLineChars="200"/>
              <w:rPr>
                <w:color w:val="auto"/>
                <w:sz w:val="24"/>
                <w:kern w:val="0"/>
                <w:rFonts w:ascii="宋体" w:hAnsi="宋体" w:cs="宋体"/>
              </w:rPr>
            </w:pPr>
            <w:r>
              <w:rPr>
                <w:color w:val="auto"/>
                <w:sz w:val="24"/>
                <w:kern w:val="0"/>
                <w:rFonts w:ascii="宋体" w:hAnsi="宋体" w:cs="宋体" w:hint="eastAsia"/>
              </w:rPr>
              <w:t>本项目符合国家相关产业政策，项目在运营期产生的污染物在按本报告表中所</w:t>
            </w:r>
          </w:p>
          <w:p w14:paraId="0442C792">
            <w:pPr>
              <w:widowControl w:val="1"/>
              <w:spacing w:line="360" w:lineRule="auto"/>
              <w:rPr>
                <w:color w:val="auto"/>
                <w:sz w:val="24"/>
                <w:kern w:val="0"/>
                <w:rFonts w:ascii="宋体" w:hAnsi="宋体" w:cs="宋体"/>
              </w:rPr>
            </w:pPr>
            <w:r>
              <w:rPr>
                <w:color w:val="auto"/>
                <w:sz w:val="24"/>
                <w:kern w:val="0"/>
                <w:rFonts w:ascii="宋体" w:hAnsi="宋体" w:cs="宋体" w:hint="eastAsia"/>
              </w:rPr>
              <w:t>提出的措施及方案进行治理、控制，并加强内部管理，实现环保设施的稳定运行，</w:t>
            </w:r>
          </w:p>
          <w:p w14:paraId="246E217F">
            <w:pPr>
              <w:widowControl w:val="1"/>
              <w:spacing w:line="360" w:lineRule="auto"/>
              <w:rPr>
                <w:color w:val="auto"/>
                <w:sz w:val="24"/>
                <w:kern w:val="0"/>
                <w:rFonts w:ascii="宋体" w:hAnsi="宋体" w:cs="宋体"/>
              </w:rPr>
            </w:pPr>
            <w:r>
              <w:rPr>
                <w:color w:val="auto"/>
                <w:sz w:val="24"/>
                <w:kern w:val="0"/>
                <w:rFonts w:ascii="宋体" w:hAnsi="宋体" w:cs="宋体" w:hint="eastAsia"/>
              </w:rPr>
              <w:t>确保污染物达标排放和风险可控的前提下，项目对周围环境影响可接受。从环境保</w:t>
            </w:r>
          </w:p>
          <w:p w14:paraId="00BAD292">
            <w:pPr>
              <w:widowControl w:val="1"/>
              <w:spacing w:line="360" w:lineRule="auto"/>
              <w:rPr>
                <w:color w:val="auto"/>
              </w:rPr>
            </w:pPr>
            <w:r>
              <w:rPr>
                <w:color w:val="auto"/>
                <w:sz w:val="24"/>
                <w:kern w:val="0"/>
                <w:rFonts w:ascii="宋体" w:hAnsi="宋体" w:cs="宋体" w:hint="eastAsia"/>
              </w:rPr>
              <w:t>护角度而言，该项目是可行的。</w:t>
            </w:r>
          </w:p>
          <w:p w14:paraId="48EC4C2C">
            <w:pPr>
              <w:contextualSpacing/>
              <w:spacing w:line="360" w:lineRule="auto"/>
              <w:ind w:firstLine="480" w:firstLineChars="200"/>
              <w:rPr>
                <w:color w:val="auto"/>
                <w:sz w:val="24"/>
              </w:rPr>
            </w:pPr>
          </w:p>
        </w:tc>
      </w:tr>
    </w:tbl>
    <w:p w14:paraId="7828945C">
      <w:pPr>
        <w:rPr>
          <w:color w:val="auto"/>
        </w:rPr>
        <w:sectPr>
          <w:docGrid w:type="default" w:linePitch="312" w:charSpace="0"/>
          <w:pgSz w:w="11906" w:h="16838"/>
          <w:pgMar w:top="1701" w:right="1531" w:bottom="1701" w:left="1531" w:header="851" w:footer="851"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720" w:num="1"/>
        </w:sectPr>
      </w:pPr>
    </w:p>
    <w:p w14:paraId="3CC8354E">
      <w:pPr>
        <w:pStyle w:val="22"/>
        <w:adjustRightInd w:val="0"/>
        <w:snapToGrid w:val="0"/>
        <w:outlineLvl w:val="0"/>
        <w:spacing w:after="0" w:afterAutospacing="0" w:before="0" w:beforeAutospacing="0" w:line="0" w:lineRule="atLeast"/>
        <w:rPr>
          <w:color w:val="auto"/>
          <w:sz w:val="32"/>
          <w:szCs w:val="32"/>
          <w:rFonts w:ascii="Times New Roman" w:hAnsi="Times New Roman" w:eastAsia="黑体"/>
        </w:rPr>
      </w:pPr>
      <w:bookmarkStart w:id="21" w:name="_Toc68775758"/>
      <w:r>
        <w:rPr>
          <w:color w:val="auto"/>
          <w:sz w:val="32"/>
          <w:szCs w:val="32"/>
          <w:rFonts w:ascii="Times New Roman" w:hAnsi="Times New Roman" w:eastAsia="黑体"/>
        </w:rPr>
        <w:t>附表</w:t>
      </w:r>
      <w:bookmarkEnd w:id="21"/>
    </w:p>
    <w:p w14:paraId="16C1F0EA">
      <w:pPr>
        <w:pStyle w:val="22"/>
        <w:adjustRightInd w:val="0"/>
        <w:snapToGrid w:val="0"/>
        <w:jc w:val="center"/>
        <w:outlineLvl w:val="0"/>
        <w:spacing w:after="0" w:afterAutospacing="0" w:before="0" w:beforeAutospacing="0" w:line="0" w:lineRule="atLeast"/>
        <w:rPr>
          <w:color w:val="auto"/>
          <w:sz w:val="38"/>
          <w:szCs w:val="38"/>
          <w:rFonts w:ascii="Times New Roman" w:hAnsi="Times New Roman" w:eastAsia="方正小标宋_GBK"/>
        </w:rPr>
      </w:pPr>
      <w:bookmarkStart w:id="22" w:name="_Toc68775759"/>
      <w:r>
        <w:rPr>
          <w:color w:val="auto"/>
          <w:sz w:val="38"/>
          <w:szCs w:val="38"/>
          <w:rFonts w:ascii="Times New Roman" w:hAnsi="Times New Roman" w:eastAsia="方正小标宋_GBK"/>
        </w:rPr>
        <w:t>建设项目污染物排放量汇总表</w:t>
      </w:r>
      <w:bookmarkEnd w:id="22"/>
    </w:p>
    <w:tbl>
      <w:tblPr>
        <w:tblStyle w:val="27"/>
        <w:tblW w:w="14318" w:type="dxa"/>
        <w:tblInd w:type="dxa" w:w="-398.000000"/>
        <w:tblLayout w:type="fixed"/>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
      <w:tblGrid>
        <w:gridCol w:w="1135.000000"/>
        <w:gridCol w:w="1985.000000"/>
        <w:gridCol w:w="1701.000000"/>
        <w:gridCol w:w="1134.000000"/>
        <w:gridCol w:w="1842.000000"/>
        <w:gridCol w:w="1560.000000"/>
        <w:gridCol w:w="1842.000000"/>
        <w:gridCol w:w="1843.000000"/>
        <w:gridCol w:w="1276.000000"/>
      </w:tblGrid>
      <w:tr w14:paraId="50543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50" w:hRule="atLeast"/>
        </w:trPr>
        <w:tc>
          <w:tcPr>
            <w:tcW w:w="1135" w:type="dxa"/>
            <w:vAlign w:val="center"/>
            <w:tcBorders>
              <w:tl2br w:val="single" w:color="auto" w:sz="4" w:space="0"/>
            </w:tcBorders>
            <w:tcMar>
              <w:left w:type="dxa" w:w="28.000000"/>
              <w:right w:type="dxa" w:w="28.000000"/>
            </w:tcMar>
          </w:tcPr>
          <w:p w14:paraId="51AEF700">
            <w:pPr>
              <w:pStyle w:val="48"/>
              <w:adjustRightInd w:val="1"/>
              <w:snapToGrid w:val="1"/>
              <w:jc w:val="right"/>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项目</w:t>
            </w:r>
          </w:p>
          <w:p w14:paraId="7F35BBE8">
            <w:pPr>
              <w:pStyle w:val="48"/>
              <w:adjustRightInd w:val="1"/>
              <w:snapToGrid w:val="1"/>
              <w:jc w:val="left"/>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分类</w:t>
            </w:r>
          </w:p>
        </w:tc>
        <w:tc>
          <w:tcPr>
            <w:tcW w:w="1985" w:type="dxa"/>
            <w:vAlign w:val="center"/>
            <w:tcMar>
              <w:left w:type="dxa" w:w="28.000000"/>
              <w:right w:type="dxa" w:w="28.000000"/>
            </w:tcMar>
          </w:tcPr>
          <w:p w14:paraId="68684AEB">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污染物名称</w:t>
            </w:r>
          </w:p>
        </w:tc>
        <w:tc>
          <w:tcPr>
            <w:tcW w:w="1701" w:type="dxa"/>
            <w:vAlign w:val="center"/>
            <w:tcMar>
              <w:left w:type="dxa" w:w="28.000000"/>
              <w:right w:type="dxa" w:w="28.000000"/>
            </w:tcMar>
          </w:tcPr>
          <w:p w14:paraId="234694D7">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现有工程</w:t>
            </w:r>
          </w:p>
          <w:p w14:paraId="2729D5FE">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排放量t/a（固体废物产生量）</w:t>
            </w:r>
            <w:r>
              <w:rPr>
                <w:color w:val="auto"/>
                <w:spacing w:val="-6"/>
                <w:kern w:val="21"/>
                <w:szCs w:val="21"/>
                <w:rFonts w:ascii="Times New Roman" w:eastAsia="黑体"/>
              </w:rPr>
              <w:fldChar w:fldCharType="begin"/>
            </w:r>
            <w:r>
              <w:rPr>
                <w:color w:val="auto"/>
                <w:spacing w:val="-6"/>
                <w:kern w:val="21"/>
                <w:szCs w:val="21"/>
                <w:rFonts w:ascii="Times New Roman" w:eastAsia="黑体"/>
              </w:rPr>
              <w:instrText xml:space="preserve"> = 1 \* GB3 \* MERGEFORMAT </w:instrText>
            </w:r>
            <w:r>
              <w:rPr>
                <w:color w:val="auto"/>
                <w:spacing w:val="-6"/>
                <w:kern w:val="21"/>
                <w:szCs w:val="21"/>
                <w:rFonts w:ascii="Times New Roman" w:eastAsia="黑体"/>
              </w:rPr>
              <w:fldChar w:fldCharType="separate"/>
            </w:r>
            <w:r>
              <w:rPr>
                <w:color w:val="auto"/>
                <w:kern w:val="2"/>
                <w:szCs w:val="21"/>
              </w:rPr>
              <w:t>①</w:t>
            </w:r>
            <w:r>
              <w:rPr>
                <w:color w:val="auto"/>
                <w:spacing w:val="-6"/>
                <w:kern w:val="21"/>
                <w:szCs w:val="21"/>
                <w:rFonts w:ascii="Times New Roman" w:eastAsia="黑体"/>
              </w:rPr>
              <w:fldChar w:fldCharType="end"/>
            </w:r>
          </w:p>
        </w:tc>
        <w:tc>
          <w:tcPr>
            <w:tcW w:w="1134" w:type="dxa"/>
            <w:vAlign w:val="center"/>
            <w:tcMar>
              <w:left w:type="dxa" w:w="28.000000"/>
              <w:right w:type="dxa" w:w="28.000000"/>
            </w:tcMar>
          </w:tcPr>
          <w:p w14:paraId="45E91BD3">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现有工程</w:t>
            </w:r>
          </w:p>
          <w:p w14:paraId="52D4C50F">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许可排放量t/a</w:t>
            </w:r>
            <w:r>
              <w:rPr>
                <w:color w:val="auto"/>
                <w:spacing w:val="-6"/>
                <w:kern w:val="21"/>
                <w:szCs w:val="21"/>
                <w:rFonts w:ascii="Times New Roman" w:eastAsia="黑体"/>
              </w:rPr>
              <w:fldChar w:fldCharType="begin"/>
            </w:r>
            <w:r>
              <w:rPr>
                <w:color w:val="auto"/>
                <w:spacing w:val="-6"/>
                <w:kern w:val="21"/>
                <w:szCs w:val="21"/>
                <w:rFonts w:ascii="Times New Roman" w:eastAsia="黑体"/>
              </w:rPr>
              <w:instrText xml:space="preserve"> = 2 \* GB3 \* MERGEFORMAT </w:instrText>
            </w:r>
            <w:r>
              <w:rPr>
                <w:color w:val="auto"/>
                <w:spacing w:val="-6"/>
                <w:kern w:val="21"/>
                <w:szCs w:val="21"/>
                <w:rFonts w:ascii="Times New Roman" w:eastAsia="黑体"/>
              </w:rPr>
              <w:fldChar w:fldCharType="separate"/>
            </w:r>
            <w:r>
              <w:rPr>
                <w:color w:val="auto"/>
                <w:spacing w:val="-6"/>
                <w:kern w:val="21"/>
                <w:szCs w:val="21"/>
              </w:rPr>
              <w:t>②</w:t>
            </w:r>
            <w:r>
              <w:rPr>
                <w:color w:val="auto"/>
                <w:spacing w:val="-6"/>
                <w:kern w:val="21"/>
                <w:szCs w:val="21"/>
                <w:rFonts w:ascii="Times New Roman" w:eastAsia="黑体"/>
              </w:rPr>
              <w:fldChar w:fldCharType="end"/>
            </w:r>
          </w:p>
        </w:tc>
        <w:tc>
          <w:tcPr>
            <w:tcW w:w="1842" w:type="dxa"/>
            <w:vAlign w:val="center"/>
            <w:tcMar>
              <w:left w:type="dxa" w:w="28.000000"/>
              <w:right w:type="dxa" w:w="28.000000"/>
            </w:tcMar>
          </w:tcPr>
          <w:p w14:paraId="72B52817">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在建工程</w:t>
            </w:r>
          </w:p>
          <w:p w14:paraId="55091036">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排放量t/a（固体废物产生量）</w:t>
            </w:r>
            <w:r>
              <w:rPr>
                <w:color w:val="auto"/>
                <w:spacing w:val="-6"/>
                <w:kern w:val="21"/>
                <w:szCs w:val="21"/>
                <w:rFonts w:ascii="Times New Roman" w:eastAsia="黑体"/>
              </w:rPr>
              <w:fldChar w:fldCharType="begin"/>
            </w:r>
            <w:r>
              <w:rPr>
                <w:color w:val="auto"/>
                <w:spacing w:val="-6"/>
                <w:kern w:val="21"/>
                <w:szCs w:val="21"/>
                <w:rFonts w:ascii="Times New Roman" w:eastAsia="黑体"/>
              </w:rPr>
              <w:instrText xml:space="preserve"> = 3 \* GB3 \* MERGEFORMAT </w:instrText>
            </w:r>
            <w:r>
              <w:rPr>
                <w:color w:val="auto"/>
                <w:spacing w:val="-6"/>
                <w:kern w:val="21"/>
                <w:szCs w:val="21"/>
                <w:rFonts w:ascii="Times New Roman" w:eastAsia="黑体"/>
              </w:rPr>
              <w:fldChar w:fldCharType="separate"/>
            </w:r>
            <w:r>
              <w:rPr>
                <w:color w:val="auto"/>
                <w:kern w:val="2"/>
                <w:szCs w:val="21"/>
              </w:rPr>
              <w:t>③</w:t>
            </w:r>
            <w:r>
              <w:rPr>
                <w:color w:val="auto"/>
                <w:spacing w:val="-6"/>
                <w:kern w:val="21"/>
                <w:szCs w:val="21"/>
                <w:rFonts w:ascii="Times New Roman" w:eastAsia="黑体"/>
              </w:rPr>
              <w:fldChar w:fldCharType="end"/>
            </w:r>
          </w:p>
        </w:tc>
        <w:tc>
          <w:tcPr>
            <w:tcW w:w="1560" w:type="dxa"/>
            <w:vAlign w:val="center"/>
            <w:tcMar>
              <w:left w:type="dxa" w:w="28.000000"/>
              <w:right w:type="dxa" w:w="28.000000"/>
            </w:tcMar>
          </w:tcPr>
          <w:p w14:paraId="668E8FAB">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本项目</w:t>
            </w:r>
          </w:p>
          <w:p w14:paraId="39AC2C14">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排放量t/a（固体废物产生量）</w:t>
            </w:r>
            <w:r>
              <w:rPr>
                <w:color w:val="auto"/>
                <w:spacing w:val="-6"/>
                <w:kern w:val="21"/>
                <w:szCs w:val="21"/>
                <w:rFonts w:ascii="Times New Roman" w:eastAsia="黑体"/>
              </w:rPr>
              <w:fldChar w:fldCharType="begin"/>
            </w:r>
            <w:r>
              <w:rPr>
                <w:color w:val="auto"/>
                <w:spacing w:val="-6"/>
                <w:kern w:val="21"/>
                <w:szCs w:val="21"/>
                <w:rFonts w:ascii="Times New Roman" w:eastAsia="黑体"/>
              </w:rPr>
              <w:instrText xml:space="preserve"> = 4 \* GB3 \* MERGEFORMAT </w:instrText>
            </w:r>
            <w:r>
              <w:rPr>
                <w:color w:val="auto"/>
                <w:spacing w:val="-6"/>
                <w:kern w:val="21"/>
                <w:szCs w:val="21"/>
                <w:rFonts w:ascii="Times New Roman" w:eastAsia="黑体"/>
              </w:rPr>
              <w:fldChar w:fldCharType="separate"/>
            </w:r>
            <w:r>
              <w:rPr>
                <w:color w:val="auto"/>
                <w:kern w:val="2"/>
                <w:szCs w:val="21"/>
              </w:rPr>
              <w:t>④</w:t>
            </w:r>
            <w:r>
              <w:rPr>
                <w:color w:val="auto"/>
                <w:spacing w:val="-6"/>
                <w:kern w:val="21"/>
                <w:szCs w:val="21"/>
                <w:rFonts w:ascii="Times New Roman" w:eastAsia="黑体"/>
              </w:rPr>
              <w:fldChar w:fldCharType="end"/>
            </w:r>
          </w:p>
        </w:tc>
        <w:tc>
          <w:tcPr>
            <w:tcW w:w="1842" w:type="dxa"/>
            <w:vAlign w:val="center"/>
            <w:tcMar>
              <w:left w:type="dxa" w:w="28.000000"/>
              <w:right w:type="dxa" w:w="28.000000"/>
            </w:tcMar>
          </w:tcPr>
          <w:p w14:paraId="5190F118">
            <w:pPr>
              <w:pStyle w:val="48"/>
              <w:adjustRightInd w:val="1"/>
              <w:snapToGrid w:val="1"/>
              <w:contextualSpacing/>
              <w:spacing w:afterLines="0" w:beforeLines="0" w:line="0" w:lineRule="atLeast"/>
              <w:rPr>
                <w:color w:val="auto"/>
                <w:spacing w:val="-16"/>
                <w:kern w:val="21"/>
                <w:szCs w:val="21"/>
                <w:rFonts w:ascii="Times New Roman" w:eastAsia="黑体"/>
              </w:rPr>
            </w:pPr>
            <w:r>
              <w:rPr>
                <w:color w:val="auto"/>
                <w:spacing w:val="-16"/>
                <w:kern w:val="21"/>
                <w:szCs w:val="21"/>
                <w:rFonts w:ascii="Times New Roman" w:eastAsia="黑体"/>
              </w:rPr>
              <w:t>以新带老削减量</w:t>
            </w:r>
            <w:r>
              <w:rPr>
                <w:color w:val="auto"/>
                <w:spacing w:val="-6"/>
                <w:kern w:val="21"/>
                <w:szCs w:val="21"/>
                <w:rFonts w:ascii="Times New Roman" w:eastAsia="黑体"/>
              </w:rPr>
              <w:t>t/a</w:t>
            </w:r>
          </w:p>
          <w:p w14:paraId="6C002367">
            <w:pPr>
              <w:pStyle w:val="48"/>
              <w:adjustRightInd w:val="1"/>
              <w:snapToGrid w:val="1"/>
              <w:contextualSpacing/>
              <w:spacing w:afterLines="0" w:beforeLines="0" w:line="0" w:lineRule="atLeast"/>
              <w:rPr>
                <w:color w:val="auto"/>
                <w:spacing w:val="-16"/>
                <w:kern w:val="21"/>
                <w:szCs w:val="21"/>
                <w:rFonts w:ascii="Times New Roman" w:eastAsia="黑体"/>
              </w:rPr>
            </w:pPr>
            <w:r>
              <w:rPr>
                <w:color w:val="auto"/>
                <w:spacing w:val="-16"/>
                <w:kern w:val="21"/>
                <w:szCs w:val="21"/>
                <w:rFonts w:ascii="Times New Roman" w:eastAsia="黑体"/>
              </w:rPr>
              <w:t>（新建项目不填）</w:t>
            </w:r>
            <w:r>
              <w:rPr>
                <w:color w:val="auto"/>
                <w:spacing w:val="-16"/>
                <w:kern w:val="21"/>
                <w:szCs w:val="21"/>
                <w:rFonts w:ascii="Times New Roman" w:eastAsia="黑体"/>
              </w:rPr>
              <w:fldChar w:fldCharType="begin"/>
            </w:r>
            <w:r>
              <w:rPr>
                <w:color w:val="auto"/>
                <w:spacing w:val="-16"/>
                <w:kern w:val="21"/>
                <w:szCs w:val="21"/>
                <w:rFonts w:ascii="Times New Roman" w:eastAsia="黑体"/>
              </w:rPr>
              <w:instrText xml:space="preserve"> = 5 \* GB3 \* MERGEFORMAT </w:instrText>
            </w:r>
            <w:r>
              <w:rPr>
                <w:color w:val="auto"/>
                <w:spacing w:val="-16"/>
                <w:kern w:val="21"/>
                <w:szCs w:val="21"/>
                <w:rFonts w:ascii="Times New Roman" w:eastAsia="黑体"/>
              </w:rPr>
              <w:fldChar w:fldCharType="separate"/>
            </w:r>
            <w:r>
              <w:rPr>
                <w:color w:val="auto"/>
                <w:kern w:val="2"/>
                <w:szCs w:val="21"/>
              </w:rPr>
              <w:t>⑤</w:t>
            </w:r>
            <w:r>
              <w:rPr>
                <w:color w:val="auto"/>
                <w:spacing w:val="-16"/>
                <w:kern w:val="21"/>
                <w:szCs w:val="21"/>
                <w:rFonts w:ascii="Times New Roman" w:eastAsia="黑体"/>
              </w:rPr>
              <w:fldChar w:fldCharType="end"/>
            </w:r>
          </w:p>
        </w:tc>
        <w:tc>
          <w:tcPr>
            <w:tcW w:w="1843" w:type="dxa"/>
            <w:vAlign w:val="center"/>
            <w:tcMar>
              <w:left w:type="dxa" w:w="28.000000"/>
              <w:right w:type="dxa" w:w="28.000000"/>
            </w:tcMar>
          </w:tcPr>
          <w:p w14:paraId="609F2F31">
            <w:pPr>
              <w:pStyle w:val="48"/>
              <w:adjustRightInd w:val="1"/>
              <w:snapToGrid w:val="1"/>
              <w:contextualSpacing/>
              <w:spacing w:afterLines="0" w:beforeLines="0" w:line="0" w:lineRule="atLeast"/>
              <w:rPr>
                <w:color w:val="auto"/>
                <w:spacing w:val="-16"/>
                <w:kern w:val="21"/>
                <w:szCs w:val="21"/>
                <w:rFonts w:ascii="Times New Roman" w:eastAsia="黑体"/>
              </w:rPr>
            </w:pPr>
            <w:r>
              <w:rPr>
                <w:color w:val="auto"/>
                <w:spacing w:val="-16"/>
                <w:kern w:val="21"/>
                <w:szCs w:val="21"/>
                <w:rFonts w:ascii="Times New Roman" w:eastAsia="黑体"/>
              </w:rPr>
              <w:t>本项目建成后</w:t>
            </w:r>
          </w:p>
          <w:p w14:paraId="6A00B806">
            <w:pPr>
              <w:pStyle w:val="48"/>
              <w:adjustRightInd w:val="1"/>
              <w:snapToGrid w:val="1"/>
              <w:contextualSpacing/>
              <w:spacing w:afterLines="0" w:beforeLines="0" w:line="0" w:lineRule="atLeast"/>
              <w:rPr>
                <w:color w:val="auto"/>
                <w:spacing w:val="-16"/>
                <w:kern w:val="21"/>
                <w:szCs w:val="21"/>
                <w:rFonts w:ascii="Times New Roman" w:eastAsia="黑体"/>
              </w:rPr>
            </w:pPr>
            <w:r>
              <w:rPr>
                <w:color w:val="auto"/>
                <w:spacing w:val="-16"/>
                <w:kern w:val="21"/>
                <w:szCs w:val="21"/>
                <w:rFonts w:ascii="Times New Roman" w:eastAsia="黑体"/>
              </w:rPr>
              <w:t>全厂排放量</w:t>
            </w:r>
            <w:r>
              <w:rPr>
                <w:color w:val="auto"/>
                <w:spacing w:val="-6"/>
                <w:kern w:val="21"/>
                <w:szCs w:val="21"/>
                <w:rFonts w:ascii="Times New Roman" w:eastAsia="黑体"/>
              </w:rPr>
              <w:t>t/a</w:t>
            </w:r>
            <w:r>
              <w:rPr>
                <w:color w:val="auto"/>
                <w:spacing w:val="-16"/>
                <w:kern w:val="21"/>
                <w:szCs w:val="21"/>
                <w:rFonts w:ascii="Times New Roman" w:eastAsia="黑体"/>
              </w:rPr>
              <w:t>（固体废物产生量）</w:t>
            </w:r>
            <w:r>
              <w:rPr>
                <w:color w:val="auto"/>
                <w:spacing w:val="-16"/>
                <w:kern w:val="21"/>
                <w:szCs w:val="21"/>
                <w:rFonts w:ascii="Times New Roman" w:eastAsia="黑体"/>
              </w:rPr>
              <w:fldChar w:fldCharType="begin"/>
            </w:r>
            <w:r>
              <w:rPr>
                <w:color w:val="auto"/>
                <w:spacing w:val="-16"/>
                <w:kern w:val="21"/>
                <w:szCs w:val="21"/>
                <w:rFonts w:ascii="Times New Roman" w:eastAsia="黑体"/>
              </w:rPr>
              <w:instrText xml:space="preserve"> = 6 \* GB3 \* MERGEFORMAT </w:instrText>
            </w:r>
            <w:r>
              <w:rPr>
                <w:color w:val="auto"/>
                <w:spacing w:val="-16"/>
                <w:kern w:val="21"/>
                <w:szCs w:val="21"/>
                <w:rFonts w:ascii="Times New Roman" w:eastAsia="黑体"/>
              </w:rPr>
              <w:fldChar w:fldCharType="separate"/>
            </w:r>
            <w:r>
              <w:rPr>
                <w:color w:val="auto"/>
                <w:kern w:val="2"/>
                <w:szCs w:val="21"/>
              </w:rPr>
              <w:t>⑥</w:t>
            </w:r>
            <w:r>
              <w:rPr>
                <w:color w:val="auto"/>
                <w:spacing w:val="-16"/>
                <w:kern w:val="21"/>
                <w:szCs w:val="21"/>
                <w:rFonts w:ascii="Times New Roman" w:eastAsia="黑体"/>
              </w:rPr>
              <w:fldChar w:fldCharType="end"/>
            </w:r>
          </w:p>
        </w:tc>
        <w:tc>
          <w:tcPr>
            <w:tcW w:w="1276" w:type="dxa"/>
            <w:vAlign w:val="center"/>
            <w:tcMar>
              <w:left w:type="dxa" w:w="28.000000"/>
              <w:right w:type="dxa" w:w="28.000000"/>
            </w:tcMar>
          </w:tcPr>
          <w:p w14:paraId="0DF9D89C">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t>变化量t/a</w:t>
            </w:r>
          </w:p>
          <w:p w14:paraId="2672021C">
            <w:pPr>
              <w:pStyle w:val="48"/>
              <w:adjustRightInd w:val="1"/>
              <w:snapToGrid w:val="1"/>
              <w:contextualSpacing/>
              <w:spacing w:afterLines="0" w:beforeLines="0" w:line="0" w:lineRule="atLeast"/>
              <w:rPr>
                <w:color w:val="auto"/>
                <w:spacing w:val="-6"/>
                <w:kern w:val="21"/>
                <w:szCs w:val="21"/>
                <w:rFonts w:ascii="Times New Roman" w:eastAsia="黑体"/>
              </w:rPr>
            </w:pPr>
            <w:r>
              <w:rPr>
                <w:color w:val="auto"/>
                <w:spacing w:val="-6"/>
                <w:kern w:val="21"/>
                <w:szCs w:val="21"/>
                <w:rFonts w:ascii="Times New Roman" w:eastAsia="黑体"/>
              </w:rPr>
              <w:fldChar w:fldCharType="begin"/>
            </w:r>
            <w:r>
              <w:rPr>
                <w:color w:val="auto"/>
                <w:spacing w:val="-6"/>
                <w:kern w:val="21"/>
                <w:szCs w:val="21"/>
                <w:rFonts w:ascii="Times New Roman" w:eastAsia="黑体"/>
              </w:rPr>
              <w:instrText xml:space="preserve"> = 7 \* GB3 \* MERGEFORMAT </w:instrText>
            </w:r>
            <w:r>
              <w:rPr>
                <w:color w:val="auto"/>
                <w:spacing w:val="-6"/>
                <w:kern w:val="21"/>
                <w:szCs w:val="21"/>
                <w:rFonts w:ascii="Times New Roman" w:eastAsia="黑体"/>
              </w:rPr>
              <w:fldChar w:fldCharType="separate"/>
            </w:r>
            <w:r>
              <w:rPr>
                <w:color w:val="auto"/>
                <w:kern w:val="2"/>
                <w:szCs w:val="21"/>
              </w:rPr>
              <w:t>⑦</w:t>
            </w:r>
            <w:r>
              <w:rPr>
                <w:color w:val="auto"/>
                <w:spacing w:val="-6"/>
                <w:kern w:val="21"/>
                <w:szCs w:val="21"/>
                <w:rFonts w:ascii="Times New Roman" w:eastAsia="黑体"/>
              </w:rPr>
              <w:fldChar w:fldCharType="end"/>
            </w:r>
          </w:p>
        </w:tc>
      </w:tr>
      <w:tr w14:paraId="663BE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restart"/>
            <w:vAlign w:val="center"/>
          </w:tcPr>
          <w:p w14:paraId="19ACD93C">
            <w:pPr>
              <w:pStyle w:val="48"/>
              <w:adjustRightInd w:val="1"/>
              <w:snapToGrid w:val="1"/>
              <w:contextualSpacing/>
              <w:spacing w:afterLines="0" w:beforeLines="0" w:line="0" w:lineRule="atLeast"/>
              <w:rPr>
                <w:color w:val="auto"/>
                <w:kern w:val="21"/>
                <w:szCs w:val="21"/>
                <w:rFonts w:ascii="Times New Roman"/>
              </w:rPr>
            </w:pPr>
            <w:r>
              <w:rPr>
                <w:color w:val="auto"/>
                <w:kern w:val="21"/>
                <w:szCs w:val="21"/>
                <w:rFonts w:ascii="Times New Roman"/>
              </w:rPr>
              <w:t>废气</w:t>
            </w:r>
          </w:p>
        </w:tc>
        <w:tc>
          <w:tcPr>
            <w:tcW w:w="1985" w:type="dxa"/>
            <w:vAlign w:val="center"/>
          </w:tcPr>
          <w:p w14:paraId="3188FACC">
            <w:pPr>
              <w:jc w:val="center"/>
              <w:rPr>
                <w:color w:val="auto"/>
                <w:szCs w:val="21"/>
                <w:rFonts w:eastAsiaTheme="minorEastAsia"/>
              </w:rPr>
            </w:pPr>
            <w:r>
              <w:rPr>
                <w:color w:val="auto"/>
                <w:szCs w:val="21"/>
                <w:rFonts w:eastAsiaTheme="minorEastAsia"/>
              </w:rPr>
              <w:t>颗粒物</w:t>
            </w:r>
          </w:p>
        </w:tc>
        <w:tc>
          <w:tcPr>
            <w:tcW w:w="1701" w:type="dxa"/>
            <w:vAlign w:val="center"/>
          </w:tcPr>
          <w:p w14:paraId="06FA14DB">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304DF778">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7308A97C">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shd w:val="clear" w:color="auto" w:fill="auto"/>
          </w:tcPr>
          <w:p w14:paraId="475D586C">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eastAsia"/>
              </w:rPr>
              <w:t>4.6719</w:t>
            </w:r>
          </w:p>
        </w:tc>
        <w:tc>
          <w:tcPr>
            <w:tcW w:w="1842" w:type="dxa"/>
            <w:vAlign w:val="center"/>
          </w:tcPr>
          <w:p w14:paraId="5C61C463">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39739DAF">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eastAsia"/>
              </w:rPr>
              <w:t>4.6719</w:t>
            </w:r>
          </w:p>
        </w:tc>
        <w:tc>
          <w:tcPr>
            <w:tcW w:w="1276" w:type="dxa"/>
            <w:vAlign w:val="center"/>
          </w:tcPr>
          <w:p w14:paraId="5AC7611E">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eastAsia"/>
              </w:rPr>
              <w:t>4.6719</w:t>
            </w:r>
          </w:p>
        </w:tc>
      </w:tr>
      <w:tr w14:paraId="5C9CC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continue"/>
            <w:vAlign w:val="center"/>
          </w:tcPr>
          <w:p w14:paraId="20912799">
            <w:pPr>
              <w:pStyle w:val="48"/>
              <w:adjustRightInd w:val="1"/>
              <w:snapToGrid w:val="1"/>
              <w:contextualSpacing/>
              <w:spacing w:afterLines="0" w:beforeLines="0" w:line="0" w:lineRule="atLeast"/>
              <w:rPr>
                <w:color w:val="auto"/>
                <w:kern w:val="21"/>
                <w:szCs w:val="21"/>
                <w:rFonts w:ascii="Times New Roman"/>
              </w:rPr>
            </w:pPr>
          </w:p>
        </w:tc>
        <w:tc>
          <w:tcPr>
            <w:tcW w:w="1985" w:type="dxa"/>
            <w:vAlign w:val="center"/>
          </w:tcPr>
          <w:p w14:paraId="1D95761D">
            <w:pPr>
              <w:jc w:val="center"/>
              <w:rPr>
                <w:color w:val="auto"/>
                <w:szCs w:val="21"/>
                <w:rFonts w:eastAsiaTheme="minorEastAsia"/>
              </w:rPr>
            </w:pPr>
            <w:r>
              <w:rPr>
                <w:color w:val="auto"/>
                <w:szCs w:val="21"/>
                <w:rFonts w:eastAsiaTheme="minorEastAsia"/>
              </w:rPr>
              <w:t>SO</w:t>
            </w:r>
            <w:r>
              <w:rPr>
                <w:vertAlign w:val="subscript"/>
                <w:color w:val="auto"/>
                <w:szCs w:val="21"/>
                <w:rFonts w:eastAsiaTheme="minorEastAsia"/>
              </w:rPr>
              <w:t>2</w:t>
            </w:r>
          </w:p>
        </w:tc>
        <w:tc>
          <w:tcPr>
            <w:tcW w:w="1701" w:type="dxa"/>
            <w:vAlign w:val="center"/>
          </w:tcPr>
          <w:p w14:paraId="5BD29CD4">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75E621C0">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0A1ACCA9">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shd w:val="clear" w:color="auto" w:fill="auto"/>
          </w:tcPr>
          <w:p w14:paraId="2DE9F897">
            <w:pPr>
              <w:widowControl w:val="1"/>
              <w:keepNext w:val="0"/>
              <w:keepLines w:val="0"/>
              <w:jc w:val="center"/>
              <w:suppressLineNumbers w:val="0"/>
              <w:rPr>
                <w:i w:val="0"/>
                <w:u w:val="none"/>
                <w:color w:val="auto"/>
                <w:sz w:val="21"/>
                <w:lang w:val="en-US" w:eastAsia="zh-CN" w:bidi="ar"/>
                <w:iCs w:val="0"/>
                <w:kern w:val="0"/>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0.0117</w:t>
            </w:r>
          </w:p>
        </w:tc>
        <w:tc>
          <w:tcPr>
            <w:tcW w:w="1842" w:type="dxa"/>
            <w:vAlign w:val="center"/>
          </w:tcPr>
          <w:p w14:paraId="54811237">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7ED11BE9">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0.0117</w:t>
            </w:r>
          </w:p>
        </w:tc>
        <w:tc>
          <w:tcPr>
            <w:tcW w:w="1276" w:type="dxa"/>
            <w:vAlign w:val="center"/>
          </w:tcPr>
          <w:p w14:paraId="0F449E3A">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0.0117</w:t>
            </w:r>
          </w:p>
        </w:tc>
      </w:tr>
      <w:tr w14:paraId="6902B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continue"/>
            <w:vAlign w:val="center"/>
          </w:tcPr>
          <w:p w14:paraId="359F4CED">
            <w:pPr>
              <w:pStyle w:val="48"/>
              <w:adjustRightInd w:val="1"/>
              <w:snapToGrid w:val="1"/>
              <w:contextualSpacing/>
              <w:spacing w:afterLines="0" w:beforeLines="0" w:line="0" w:lineRule="atLeast"/>
              <w:rPr>
                <w:color w:val="auto"/>
                <w:kern w:val="21"/>
                <w:szCs w:val="21"/>
                <w:rFonts w:ascii="Times New Roman"/>
              </w:rPr>
            </w:pPr>
          </w:p>
        </w:tc>
        <w:tc>
          <w:tcPr>
            <w:tcW w:w="1985" w:type="dxa"/>
            <w:vAlign w:val="center"/>
          </w:tcPr>
          <w:p w14:paraId="540292B7">
            <w:pPr>
              <w:jc w:val="center"/>
              <w:rPr>
                <w:color w:val="auto"/>
                <w:szCs w:val="21"/>
                <w:rFonts w:eastAsiaTheme="minorEastAsia"/>
              </w:rPr>
            </w:pPr>
            <w:r>
              <w:rPr>
                <w:color w:val="auto"/>
                <w:szCs w:val="21"/>
                <w:rFonts w:eastAsiaTheme="minorEastAsia"/>
              </w:rPr>
              <w:t>NO</w:t>
            </w:r>
            <w:r>
              <w:rPr>
                <w:vertAlign w:val="subscript"/>
                <w:color w:val="auto"/>
                <w:szCs w:val="21"/>
                <w:rFonts w:eastAsiaTheme="minorEastAsia"/>
              </w:rPr>
              <w:t>X</w:t>
            </w:r>
          </w:p>
        </w:tc>
        <w:tc>
          <w:tcPr>
            <w:tcW w:w="1701" w:type="dxa"/>
            <w:vAlign w:val="center"/>
          </w:tcPr>
          <w:p w14:paraId="4982B927">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2D819281">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62523DD6">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shd w:val="clear" w:color="auto" w:fill="auto"/>
          </w:tcPr>
          <w:p w14:paraId="58184EEF">
            <w:pPr>
              <w:widowControl w:val="1"/>
              <w:keepNext w:val="0"/>
              <w:keepLines w:val="0"/>
              <w:jc w:val="center"/>
              <w:suppressLineNumbers w:val="0"/>
              <w:rPr>
                <w:i w:val="0"/>
                <w:u w:val="none"/>
                <w:color w:val="auto"/>
                <w:sz w:val="21"/>
                <w:lang w:val="en-US" w:eastAsia="zh-CN" w:bidi="ar-SA"/>
                <w:iCs w:val="0"/>
                <w:kern w:val="2"/>
                <w:szCs w:val="21"/>
                <w:rFonts w:ascii="Times New Roman" w:hAnsi="Times New Roman" w:eastAsia="宋体" w:cs="Times New Roman" w:hint="default"/>
              </w:rPr>
            </w:pPr>
            <w:r>
              <w:rPr>
                <w:i w:val="0"/>
                <w:u w:val="none"/>
                <w:color w:val="auto"/>
                <w:sz w:val="21"/>
                <w:lang w:val="en-US" w:eastAsia="zh-CN" w:bidi="ar"/>
                <w:iCs w:val="0"/>
                <w:kern w:val="0"/>
                <w:szCs w:val="21"/>
                <w:rFonts w:ascii="Times New Roman" w:hAnsi="Times New Roman" w:eastAsia="宋体" w:cs="Times New Roman" w:hint="default"/>
              </w:rPr>
              <w:t>3.078</w:t>
            </w:r>
          </w:p>
        </w:tc>
        <w:tc>
          <w:tcPr>
            <w:tcW w:w="1842" w:type="dxa"/>
            <w:vAlign w:val="center"/>
          </w:tcPr>
          <w:p w14:paraId="09CD555E">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7E1EC6DB">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3.078</w:t>
            </w:r>
          </w:p>
        </w:tc>
        <w:tc>
          <w:tcPr>
            <w:tcW w:w="1276" w:type="dxa"/>
            <w:vAlign w:val="center"/>
          </w:tcPr>
          <w:p w14:paraId="6042E53E">
            <w:pPr>
              <w:widowControl w:val="1"/>
              <w:keepNext w:val="0"/>
              <w:keepLines w:val="0"/>
              <w:jc w:val="center"/>
              <w:suppressLineNumbers w:val="0"/>
              <w:rPr>
                <w:color w:val="auto"/>
                <w:szCs w:val="21"/>
              </w:rPr>
            </w:pPr>
            <w:r>
              <w:rPr>
                <w:i w:val="0"/>
                <w:u w:val="none"/>
                <w:color w:val="auto"/>
                <w:sz w:val="21"/>
                <w:lang w:val="en-US" w:eastAsia="zh-CN" w:bidi="ar"/>
                <w:iCs w:val="0"/>
                <w:kern w:val="0"/>
                <w:szCs w:val="21"/>
                <w:rFonts w:ascii="Times New Roman" w:hAnsi="Times New Roman" w:eastAsia="宋体" w:cs="Times New Roman" w:hint="default"/>
              </w:rPr>
              <w:t>3.078</w:t>
            </w:r>
          </w:p>
        </w:tc>
      </w:tr>
      <w:tr w14:paraId="35594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continue"/>
            <w:vAlign w:val="center"/>
          </w:tcPr>
          <w:p w14:paraId="21B87C1E">
            <w:pPr>
              <w:pStyle w:val="48"/>
              <w:adjustRightInd w:val="1"/>
              <w:snapToGrid w:val="1"/>
              <w:contextualSpacing/>
              <w:spacing w:afterLines="0" w:beforeLines="0" w:line="0" w:lineRule="atLeast"/>
              <w:rPr>
                <w:color w:val="auto"/>
                <w:kern w:val="21"/>
                <w:szCs w:val="21"/>
                <w:rFonts w:ascii="Times New Roman"/>
              </w:rPr>
            </w:pPr>
          </w:p>
        </w:tc>
        <w:tc>
          <w:tcPr>
            <w:tcW w:w="1985" w:type="dxa"/>
            <w:vAlign w:val="center"/>
            <w:shd w:val="clear" w:color="auto" w:fill="auto"/>
          </w:tcPr>
          <w:p w14:paraId="7C37233C">
            <w:pPr>
              <w:jc w:val="center"/>
              <w:rPr>
                <w:color w:val="auto"/>
                <w:sz w:val="21"/>
                <w:lang w:val="en-US" w:eastAsia="zh-CN" w:bidi="ar-SA"/>
                <w:kern w:val="2"/>
                <w:szCs w:val="21"/>
                <w:rFonts w:ascii="Times New Roman" w:hAnsi="Times New Roman" w:cs="Times New Roman" w:hint="eastAsia" w:eastAsiaTheme="minorEastAsia"/>
              </w:rPr>
            </w:pPr>
            <w:r>
              <w:rPr>
                <w:color w:val="auto"/>
                <w:szCs w:val="21"/>
                <w:rFonts w:eastAsiaTheme="minorEastAsia"/>
              </w:rPr>
              <w:t>非甲烷总烃</w:t>
            </w:r>
          </w:p>
        </w:tc>
        <w:tc>
          <w:tcPr>
            <w:tcW w:w="1701" w:type="dxa"/>
            <w:vAlign w:val="center"/>
            <w:shd w:val="clear" w:color="auto" w:fill="auto"/>
          </w:tcPr>
          <w:p w14:paraId="71197E27">
            <w:pPr>
              <w:pStyle w:val="48"/>
              <w:adjustRightInd w:val="1"/>
              <w:snapToGrid w:val="1"/>
              <w:contextualSpacing/>
              <w:spacing w:afterLines="0" w:beforeLines="0" w:line="0" w:lineRule="atLeast"/>
              <w:rPr>
                <w:color w:val="auto"/>
                <w:sz w:val="21"/>
                <w:lang w:val="en-US" w:eastAsia="zh-CN" w:bidi="ar-SA"/>
                <w:kern w:val="21"/>
                <w:szCs w:val="21"/>
                <w:rFonts w:ascii="Times New Roman" w:hAnsi="Times New Roman" w:eastAsia="宋体" w:cs="Times New Roman"/>
              </w:rPr>
            </w:pPr>
          </w:p>
        </w:tc>
        <w:tc>
          <w:tcPr>
            <w:tcW w:w="1134" w:type="dxa"/>
            <w:vAlign w:val="center"/>
            <w:shd w:val="clear" w:color="auto" w:fill="auto"/>
          </w:tcPr>
          <w:p w14:paraId="77F04E64">
            <w:pPr>
              <w:pStyle w:val="48"/>
              <w:adjustRightInd w:val="1"/>
              <w:snapToGrid w:val="1"/>
              <w:contextualSpacing/>
              <w:spacing w:afterLines="0" w:beforeLines="0" w:line="0" w:lineRule="atLeast"/>
              <w:rPr>
                <w:color w:val="auto"/>
                <w:sz w:val="21"/>
                <w:lang w:val="en-US" w:eastAsia="zh-CN" w:bidi="ar-SA"/>
                <w:kern w:val="21"/>
                <w:szCs w:val="21"/>
                <w:rFonts w:ascii="Times New Roman" w:hAnsi="Times New Roman" w:eastAsia="宋体" w:cs="Times New Roman"/>
              </w:rPr>
            </w:pPr>
          </w:p>
        </w:tc>
        <w:tc>
          <w:tcPr>
            <w:tcW w:w="1842" w:type="dxa"/>
            <w:vAlign w:val="center"/>
            <w:shd w:val="clear" w:color="auto" w:fill="auto"/>
          </w:tcPr>
          <w:p w14:paraId="6AA33BC1">
            <w:pPr>
              <w:pStyle w:val="48"/>
              <w:adjustRightInd w:val="1"/>
              <w:snapToGrid w:val="1"/>
              <w:contextualSpacing/>
              <w:spacing w:afterLines="0" w:beforeLines="0" w:line="0" w:lineRule="atLeast"/>
              <w:rPr>
                <w:color w:val="auto"/>
                <w:sz w:val="21"/>
                <w:lang w:val="en-US" w:eastAsia="zh-CN" w:bidi="ar-SA"/>
                <w:kern w:val="21"/>
                <w:szCs w:val="21"/>
                <w:rFonts w:ascii="Times New Roman" w:hAnsi="Times New Roman" w:eastAsia="宋体" w:cs="Times New Roman"/>
              </w:rPr>
            </w:pPr>
          </w:p>
        </w:tc>
        <w:tc>
          <w:tcPr>
            <w:tcW w:w="1560" w:type="dxa"/>
            <w:vAlign w:val="center"/>
            <w:shd w:val="clear" w:color="auto" w:fill="auto"/>
          </w:tcPr>
          <w:p w14:paraId="2192B621">
            <w:pPr>
              <w:jc w:val="center"/>
              <w:contextualSpacing/>
              <w:rPr>
                <w:color w:val="auto"/>
                <w:sz w:val="21"/>
                <w:lang w:val="en-US" w:eastAsia="zh-CN" w:bidi="ar-SA"/>
                <w:kern w:val="2"/>
                <w:szCs w:val="21"/>
                <w:rFonts w:ascii="Times New Roman" w:hAnsi="Times New Roman" w:eastAsia="宋体" w:cs="Times New Roman" w:hint="default"/>
              </w:rPr>
            </w:pPr>
            <w:r>
              <w:rPr>
                <w:color w:val="auto"/>
                <w:sz w:val="21"/>
                <w:szCs w:val="21"/>
                <w:rFonts w:ascii="Times New Roman" w:hAnsi="Times New Roman" w:cs="Times New Roman" w:hint="default"/>
              </w:rPr>
              <w:t>0.0</w:t>
            </w:r>
            <w:r>
              <w:rPr>
                <w:color w:val="auto"/>
                <w:sz w:val="21"/>
                <w:lang w:val="en-US" w:eastAsia="zh-CN"/>
                <w:szCs w:val="21"/>
                <w:rFonts w:ascii="Times New Roman" w:hAnsi="Times New Roman" w:cs="Times New Roman" w:hint="default"/>
              </w:rPr>
              <w:t>087</w:t>
            </w:r>
          </w:p>
        </w:tc>
        <w:tc>
          <w:tcPr>
            <w:tcW w:w="1842" w:type="dxa"/>
            <w:vAlign w:val="center"/>
            <w:shd w:val="clear" w:color="auto" w:fill="auto"/>
          </w:tcPr>
          <w:p w14:paraId="7B9B5A90">
            <w:pPr>
              <w:pStyle w:val="48"/>
              <w:adjustRightInd w:val="1"/>
              <w:snapToGrid w:val="1"/>
              <w:contextualSpacing/>
              <w:spacing w:afterLines="0" w:beforeLines="0" w:line="0" w:lineRule="atLeast"/>
              <w:rPr>
                <w:color w:val="auto"/>
                <w:sz w:val="21"/>
                <w:lang w:val="en-US" w:eastAsia="zh-CN" w:bidi="ar-SA"/>
                <w:kern w:val="21"/>
                <w:szCs w:val="21"/>
                <w:rFonts w:ascii="Times New Roman" w:hAnsi="Times New Roman" w:eastAsia="宋体" w:cs="Times New Roman"/>
              </w:rPr>
            </w:pPr>
          </w:p>
        </w:tc>
        <w:tc>
          <w:tcPr>
            <w:tcW w:w="1843" w:type="dxa"/>
            <w:vAlign w:val="center"/>
            <w:shd w:val="clear" w:color="auto" w:fill="auto"/>
          </w:tcPr>
          <w:p w14:paraId="6EB45BFF">
            <w:pPr>
              <w:jc w:val="center"/>
              <w:contextualSpacing/>
              <w:rPr>
                <w:color w:val="auto"/>
                <w:sz w:val="21"/>
                <w:lang w:val="en-US" w:eastAsia="zh-CN" w:bidi="ar-SA"/>
                <w:kern w:val="2"/>
                <w:szCs w:val="21"/>
                <w:rFonts w:ascii="Times New Roman" w:hAnsi="Times New Roman" w:eastAsia="宋体" w:cs="Times New Roman" w:hint="eastAsia"/>
              </w:rPr>
            </w:pPr>
            <w:r>
              <w:rPr>
                <w:color w:val="auto"/>
                <w:sz w:val="21"/>
                <w:szCs w:val="21"/>
                <w:rFonts w:ascii="Times New Roman" w:hAnsi="Times New Roman" w:cs="Times New Roman" w:hint="default"/>
              </w:rPr>
              <w:t>0.0</w:t>
            </w:r>
            <w:r>
              <w:rPr>
                <w:color w:val="auto"/>
                <w:sz w:val="21"/>
                <w:lang w:val="en-US" w:eastAsia="zh-CN"/>
                <w:szCs w:val="21"/>
                <w:rFonts w:ascii="Times New Roman" w:hAnsi="Times New Roman" w:cs="Times New Roman" w:hint="default"/>
              </w:rPr>
              <w:t>087</w:t>
            </w:r>
          </w:p>
        </w:tc>
        <w:tc>
          <w:tcPr>
            <w:tcW w:w="1276" w:type="dxa"/>
            <w:vAlign w:val="center"/>
            <w:shd w:val="clear" w:color="auto" w:fill="auto"/>
          </w:tcPr>
          <w:p w14:paraId="2E39DCF8">
            <w:pPr>
              <w:jc w:val="center"/>
              <w:contextualSpacing/>
              <w:rPr>
                <w:color w:val="auto"/>
                <w:sz w:val="21"/>
                <w:lang w:val="en-US" w:eastAsia="zh-CN" w:bidi="ar-SA"/>
                <w:kern w:val="2"/>
                <w:szCs w:val="21"/>
                <w:rFonts w:ascii="Times New Roman" w:hAnsi="Times New Roman" w:eastAsia="宋体" w:cs="Times New Roman" w:hint="eastAsia"/>
              </w:rPr>
            </w:pPr>
            <w:r>
              <w:rPr>
                <w:color w:val="auto"/>
                <w:sz w:val="21"/>
                <w:szCs w:val="21"/>
                <w:rFonts w:ascii="Times New Roman" w:hAnsi="Times New Roman" w:cs="Times New Roman" w:hint="default"/>
              </w:rPr>
              <w:t>0.0</w:t>
            </w:r>
            <w:r>
              <w:rPr>
                <w:color w:val="auto"/>
                <w:sz w:val="21"/>
                <w:lang w:val="en-US" w:eastAsia="zh-CN"/>
                <w:szCs w:val="21"/>
                <w:rFonts w:ascii="Times New Roman" w:hAnsi="Times New Roman" w:cs="Times New Roman" w:hint="default"/>
              </w:rPr>
              <w:t>087</w:t>
            </w:r>
          </w:p>
        </w:tc>
      </w:tr>
      <w:tr w14:paraId="5A8CE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continue"/>
            <w:vAlign w:val="center"/>
          </w:tcPr>
          <w:p w14:paraId="511FED3B">
            <w:pPr>
              <w:pStyle w:val="48"/>
              <w:adjustRightInd w:val="1"/>
              <w:snapToGrid w:val="1"/>
              <w:contextualSpacing/>
              <w:spacing w:afterLines="0" w:beforeLines="0" w:line="0" w:lineRule="atLeast"/>
              <w:rPr>
                <w:color w:val="auto"/>
                <w:kern w:val="21"/>
                <w:szCs w:val="21"/>
                <w:rFonts w:ascii="Times New Roman"/>
              </w:rPr>
            </w:pPr>
          </w:p>
        </w:tc>
        <w:tc>
          <w:tcPr>
            <w:tcW w:w="1985" w:type="dxa"/>
            <w:vAlign w:val="center"/>
          </w:tcPr>
          <w:p w14:paraId="40C663EB">
            <w:pPr>
              <w:jc w:val="center"/>
              <w:rPr>
                <w:color w:val="auto"/>
                <w:szCs w:val="21"/>
                <w:rFonts w:eastAsiaTheme="minorEastAsia"/>
              </w:rPr>
            </w:pPr>
          </w:p>
        </w:tc>
        <w:tc>
          <w:tcPr>
            <w:tcW w:w="1701" w:type="dxa"/>
            <w:vAlign w:val="center"/>
          </w:tcPr>
          <w:p w14:paraId="463D125E">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03CD8FCC">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00D0219D">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36FEB61D">
            <w:pPr>
              <w:jc w:val="center"/>
              <w:contextualSpacing/>
              <w:rPr>
                <w:color w:val="auto"/>
                <w:sz w:val="21"/>
                <w:lang w:val="en-US" w:eastAsia="zh-CN"/>
                <w:szCs w:val="21"/>
                <w:rFonts w:ascii="Times New Roman" w:hAnsi="Times New Roman" w:eastAsia="宋体" w:cs="Times New Roman" w:hint="default"/>
              </w:rPr>
            </w:pPr>
          </w:p>
        </w:tc>
        <w:tc>
          <w:tcPr>
            <w:tcW w:w="1842" w:type="dxa"/>
            <w:vAlign w:val="center"/>
          </w:tcPr>
          <w:p w14:paraId="61DEAFEC">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0C859917">
            <w:pPr>
              <w:jc w:val="center"/>
              <w:contextualSpacing/>
              <w:rPr>
                <w:color w:val="auto"/>
                <w:szCs w:val="21"/>
              </w:rPr>
            </w:pPr>
          </w:p>
        </w:tc>
        <w:tc>
          <w:tcPr>
            <w:tcW w:w="1276" w:type="dxa"/>
            <w:vAlign w:val="center"/>
          </w:tcPr>
          <w:p w14:paraId="3B9AA3D9">
            <w:pPr>
              <w:jc w:val="center"/>
              <w:contextualSpacing/>
              <w:rPr>
                <w:color w:val="auto"/>
                <w:szCs w:val="21"/>
              </w:rPr>
            </w:pPr>
          </w:p>
        </w:tc>
      </w:tr>
      <w:tr w14:paraId="29331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Align w:val="center"/>
          </w:tcPr>
          <w:p w14:paraId="2A989703">
            <w:pPr>
              <w:pStyle w:val="48"/>
              <w:adjustRightInd w:val="1"/>
              <w:snapToGrid w:val="1"/>
              <w:contextualSpacing/>
              <w:spacing w:afterLines="0" w:beforeLines="0" w:line="0" w:lineRule="atLeast"/>
              <w:rPr>
                <w:color w:val="auto"/>
                <w:kern w:val="21"/>
                <w:szCs w:val="21"/>
                <w:rFonts w:ascii="Times New Roman"/>
              </w:rPr>
            </w:pPr>
            <w:r>
              <w:rPr>
                <w:color w:val="auto"/>
                <w:kern w:val="21"/>
                <w:szCs w:val="21"/>
                <w:rFonts w:ascii="Times New Roman"/>
              </w:rPr>
              <w:t>废水</w:t>
            </w:r>
          </w:p>
        </w:tc>
        <w:tc>
          <w:tcPr>
            <w:tcW w:w="1985" w:type="dxa"/>
            <w:vAlign w:val="center"/>
          </w:tcPr>
          <w:p w14:paraId="2D666E51">
            <w:pPr>
              <w:pStyle w:val="48"/>
              <w:adjustRightInd w:val="1"/>
              <w:snapToGrid w:val="1"/>
              <w:contextualSpacing/>
              <w:spacing w:afterLines="0" w:beforeLines="0" w:line="0" w:lineRule="atLeast"/>
              <w:rPr>
                <w:color w:val="auto"/>
                <w:kern w:val="21"/>
                <w:szCs w:val="21"/>
                <w:rFonts w:ascii="Times New Roman"/>
              </w:rPr>
            </w:pPr>
            <w:r>
              <w:rPr>
                <w:color w:val="auto"/>
                <w:kern w:val="21"/>
                <w:szCs w:val="21"/>
                <w:rFonts w:ascii="Times New Roman"/>
              </w:rPr>
              <w:t>/</w:t>
            </w:r>
          </w:p>
        </w:tc>
        <w:tc>
          <w:tcPr>
            <w:tcW w:w="1701" w:type="dxa"/>
            <w:vAlign w:val="center"/>
          </w:tcPr>
          <w:p w14:paraId="06104CAC">
            <w:pPr>
              <w:jc w:val="center"/>
              <w:contextualSpacing/>
              <w:spacing w:line="0" w:lineRule="atLeast"/>
              <w:rPr>
                <w:color w:val="auto"/>
                <w:szCs w:val="21"/>
              </w:rPr>
            </w:pPr>
          </w:p>
        </w:tc>
        <w:tc>
          <w:tcPr>
            <w:tcW w:w="1134" w:type="dxa"/>
            <w:vAlign w:val="center"/>
          </w:tcPr>
          <w:p w14:paraId="2BE1BBD3">
            <w:pPr>
              <w:jc w:val="center"/>
              <w:contextualSpacing/>
              <w:spacing w:line="0" w:lineRule="atLeast"/>
              <w:rPr>
                <w:color w:val="auto"/>
                <w:szCs w:val="21"/>
                <w:rFonts w:eastAsiaTheme="minorEastAsia"/>
              </w:rPr>
            </w:pPr>
          </w:p>
        </w:tc>
        <w:tc>
          <w:tcPr>
            <w:tcW w:w="1842" w:type="dxa"/>
            <w:vAlign w:val="center"/>
          </w:tcPr>
          <w:p w14:paraId="1F5827CF">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254A84EE">
            <w:pPr>
              <w:autoSpaceDE w:val="0"/>
              <w:autoSpaceDN w:val="0"/>
              <w:jc w:val="center"/>
              <w:contextualSpacing/>
              <w:spacing w:line="0" w:lineRule="atLeast"/>
              <w:rPr>
                <w:color w:val="auto"/>
                <w:bCs/>
                <w:szCs w:val="21"/>
              </w:rPr>
            </w:pPr>
          </w:p>
        </w:tc>
        <w:tc>
          <w:tcPr>
            <w:tcW w:w="1842" w:type="dxa"/>
            <w:vAlign w:val="center"/>
          </w:tcPr>
          <w:p w14:paraId="026CEF00">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21880F53">
            <w:pPr>
              <w:autoSpaceDE w:val="0"/>
              <w:autoSpaceDN w:val="0"/>
              <w:jc w:val="center"/>
              <w:contextualSpacing/>
              <w:spacing w:line="0" w:lineRule="atLeast"/>
              <w:rPr>
                <w:color w:val="auto"/>
                <w:bCs/>
                <w:szCs w:val="21"/>
              </w:rPr>
            </w:pPr>
          </w:p>
        </w:tc>
        <w:tc>
          <w:tcPr>
            <w:tcW w:w="1276" w:type="dxa"/>
            <w:vAlign w:val="center"/>
          </w:tcPr>
          <w:p w14:paraId="3788FA4A">
            <w:pPr>
              <w:autoSpaceDE w:val="0"/>
              <w:autoSpaceDN w:val="0"/>
              <w:jc w:val="center"/>
              <w:contextualSpacing/>
              <w:spacing w:line="0" w:lineRule="atLeast"/>
              <w:rPr>
                <w:color w:val="auto"/>
                <w:bCs/>
                <w:szCs w:val="21"/>
              </w:rPr>
            </w:pPr>
          </w:p>
        </w:tc>
      </w:tr>
      <w:tr w14:paraId="17B16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restart"/>
            <w:vAlign w:val="center"/>
          </w:tcPr>
          <w:p w14:paraId="0F23E433">
            <w:pPr>
              <w:pStyle w:val="48"/>
              <w:adjustRightInd w:val="1"/>
              <w:snapToGrid w:val="1"/>
              <w:contextualSpacing/>
              <w:spacing w:afterLines="0" w:beforeLines="0" w:line="0" w:lineRule="atLeast"/>
              <w:rPr>
                <w:color w:val="auto"/>
                <w:kern w:val="21"/>
                <w:szCs w:val="21"/>
                <w:rFonts w:ascii="Times New Roman"/>
              </w:rPr>
            </w:pPr>
            <w:r>
              <w:rPr>
                <w:color w:val="auto"/>
                <w:kern w:val="21"/>
                <w:szCs w:val="21"/>
                <w:rFonts w:ascii="Times New Roman"/>
              </w:rPr>
              <w:t>一般工业</w:t>
            </w:r>
          </w:p>
          <w:p w14:paraId="6DA7855B">
            <w:pPr>
              <w:pStyle w:val="48"/>
              <w:adjustRightInd w:val="1"/>
              <w:snapToGrid w:val="1"/>
              <w:contextualSpacing/>
              <w:spacing w:afterLines="0" w:beforeLines="0" w:line="0" w:lineRule="atLeast"/>
              <w:rPr>
                <w:color w:val="auto"/>
                <w:kern w:val="21"/>
                <w:szCs w:val="21"/>
                <w:rFonts w:ascii="Times New Roman"/>
              </w:rPr>
            </w:pPr>
            <w:r>
              <w:rPr>
                <w:color w:val="auto"/>
                <w:kern w:val="21"/>
                <w:szCs w:val="21"/>
                <w:rFonts w:ascii="Times New Roman"/>
              </w:rPr>
              <w:t>固体废物</w:t>
            </w:r>
          </w:p>
        </w:tc>
        <w:tc>
          <w:tcPr>
            <w:tcW w:w="1985" w:type="dxa"/>
            <w:vAlign w:val="center"/>
          </w:tcPr>
          <w:p w14:paraId="75D0DC36">
            <w:pPr>
              <w:jc w:val="center"/>
              <w:contextualSpacing/>
              <w:spacing w:line="0" w:lineRule="atLeast"/>
              <w:rPr>
                <w:color w:val="auto"/>
                <w:szCs w:val="21"/>
                <w:rFonts w:eastAsiaTheme="minorEastAsia"/>
              </w:rPr>
            </w:pPr>
            <w:r>
              <w:rPr>
                <w:color w:val="auto"/>
                <w:szCs w:val="21"/>
                <w:rFonts w:eastAsiaTheme="minorEastAsia"/>
              </w:rPr>
              <w:t>除尘器收集的粉尘</w:t>
            </w:r>
          </w:p>
        </w:tc>
        <w:tc>
          <w:tcPr>
            <w:tcW w:w="1701" w:type="dxa"/>
            <w:vAlign w:val="center"/>
          </w:tcPr>
          <w:p w14:paraId="603CEEC1">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2B4E19BD">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4C7889B0">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737974E0">
            <w:pPr>
              <w:jc w:val="center"/>
              <w:spacing w:line="0" w:lineRule="atLeast"/>
              <w:rPr>
                <w:color w:val="auto"/>
                <w:lang w:val="en-US" w:eastAsia="zh-CN"/>
                <w:szCs w:val="21"/>
                <w:rFonts w:hint="default" w:eastAsiaTheme="minorEastAsia"/>
              </w:rPr>
            </w:pPr>
            <w:r>
              <w:rPr>
                <w:color w:val="auto"/>
                <w:lang w:val="en-US" w:eastAsia="zh-CN"/>
                <w:szCs w:val="21"/>
                <w:rFonts w:hint="eastAsia" w:eastAsiaTheme="minorEastAsia"/>
              </w:rPr>
              <w:t>400.2</w:t>
            </w:r>
          </w:p>
        </w:tc>
        <w:tc>
          <w:tcPr>
            <w:tcW w:w="1842" w:type="dxa"/>
            <w:vAlign w:val="center"/>
          </w:tcPr>
          <w:p w14:paraId="15B012DF">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57862484">
            <w:pPr>
              <w:jc w:val="center"/>
              <w:spacing w:line="0" w:lineRule="atLeast"/>
              <w:rPr>
                <w:color w:val="auto"/>
                <w:szCs w:val="21"/>
                <w:rFonts w:eastAsiaTheme="minorEastAsia"/>
              </w:rPr>
            </w:pPr>
            <w:r>
              <w:rPr>
                <w:color w:val="auto"/>
                <w:lang w:val="en-US" w:eastAsia="zh-CN"/>
                <w:szCs w:val="21"/>
                <w:rFonts w:hint="eastAsia" w:eastAsiaTheme="minorEastAsia"/>
              </w:rPr>
              <w:t>400.2</w:t>
            </w:r>
          </w:p>
        </w:tc>
        <w:tc>
          <w:tcPr>
            <w:tcW w:w="1276" w:type="dxa"/>
            <w:vAlign w:val="center"/>
          </w:tcPr>
          <w:p w14:paraId="56D3FD76">
            <w:pPr>
              <w:jc w:val="center"/>
              <w:spacing w:line="0" w:lineRule="atLeast"/>
              <w:rPr>
                <w:color w:val="auto"/>
                <w:szCs w:val="21"/>
                <w:rFonts w:eastAsiaTheme="minorEastAsia"/>
              </w:rPr>
            </w:pPr>
            <w:r>
              <w:rPr>
                <w:color w:val="auto"/>
                <w:lang w:val="en-US" w:eastAsia="zh-CN"/>
                <w:szCs w:val="21"/>
                <w:rFonts w:hint="eastAsia" w:eastAsiaTheme="minorEastAsia"/>
              </w:rPr>
              <w:t>400.2</w:t>
            </w:r>
          </w:p>
        </w:tc>
      </w:tr>
      <w:tr w14:paraId="023E8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continue"/>
            <w:vAlign w:val="center"/>
          </w:tcPr>
          <w:p w14:paraId="684D0BF6">
            <w:pPr>
              <w:pStyle w:val="48"/>
              <w:adjustRightInd w:val="1"/>
              <w:snapToGrid w:val="1"/>
              <w:contextualSpacing/>
              <w:spacing w:afterLines="0" w:beforeLines="0" w:line="0" w:lineRule="atLeast"/>
              <w:rPr>
                <w:color w:val="auto"/>
                <w:kern w:val="21"/>
                <w:szCs w:val="21"/>
                <w:rFonts w:ascii="Times New Roman"/>
              </w:rPr>
            </w:pPr>
          </w:p>
        </w:tc>
        <w:tc>
          <w:tcPr>
            <w:tcW w:w="1985" w:type="dxa"/>
            <w:vAlign w:val="center"/>
          </w:tcPr>
          <w:p w14:paraId="602F044E">
            <w:pPr>
              <w:jc w:val="center"/>
              <w:spacing w:line="0" w:lineRule="atLeast"/>
              <w:rPr>
                <w:color w:val="auto"/>
                <w:szCs w:val="21"/>
                <w:rFonts w:eastAsiaTheme="minorEastAsia"/>
              </w:rPr>
            </w:pPr>
            <w:r>
              <w:rPr>
                <w:color w:val="auto"/>
                <w:szCs w:val="21"/>
                <w:rFonts w:eastAsiaTheme="minorEastAsia"/>
              </w:rPr>
              <w:t>废布袋</w:t>
            </w:r>
          </w:p>
        </w:tc>
        <w:tc>
          <w:tcPr>
            <w:tcW w:w="1701" w:type="dxa"/>
            <w:vAlign w:val="center"/>
          </w:tcPr>
          <w:p w14:paraId="07A376AD">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7000CC4E">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28CB0571">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329315F4">
            <w:pPr>
              <w:jc w:val="center"/>
              <w:spacing w:line="0" w:lineRule="atLeast"/>
              <w:rPr>
                <w:color w:val="auto"/>
                <w:szCs w:val="21"/>
                <w:rFonts w:eastAsiaTheme="minorEastAsia"/>
              </w:rPr>
            </w:pPr>
            <w:r>
              <w:rPr>
                <w:color w:val="auto"/>
                <w:szCs w:val="21"/>
                <w:rFonts w:eastAsiaTheme="minorEastAsia"/>
              </w:rPr>
              <w:t>0.2t/3a</w:t>
            </w:r>
          </w:p>
        </w:tc>
        <w:tc>
          <w:tcPr>
            <w:tcW w:w="1842" w:type="dxa"/>
            <w:vAlign w:val="center"/>
          </w:tcPr>
          <w:p w14:paraId="75A5213D">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3B3F792E">
            <w:pPr>
              <w:jc w:val="center"/>
              <w:spacing w:line="0" w:lineRule="atLeast"/>
              <w:rPr>
                <w:color w:val="auto"/>
                <w:szCs w:val="21"/>
                <w:rFonts w:eastAsiaTheme="minorEastAsia"/>
              </w:rPr>
            </w:pPr>
            <w:r>
              <w:rPr>
                <w:color w:val="auto"/>
                <w:szCs w:val="21"/>
                <w:rFonts w:eastAsiaTheme="minorEastAsia"/>
              </w:rPr>
              <w:t>0.2t/3a</w:t>
            </w:r>
          </w:p>
        </w:tc>
        <w:tc>
          <w:tcPr>
            <w:tcW w:w="1276" w:type="dxa"/>
            <w:vAlign w:val="center"/>
          </w:tcPr>
          <w:p w14:paraId="38929D57">
            <w:pPr>
              <w:jc w:val="center"/>
              <w:spacing w:line="0" w:lineRule="atLeast"/>
              <w:rPr>
                <w:color w:val="auto"/>
                <w:szCs w:val="21"/>
                <w:rFonts w:eastAsiaTheme="minorEastAsia"/>
              </w:rPr>
            </w:pPr>
            <w:r>
              <w:rPr>
                <w:color w:val="auto"/>
                <w:szCs w:val="21"/>
                <w:rFonts w:eastAsiaTheme="minorEastAsia"/>
              </w:rPr>
              <w:t>0.2t/3a</w:t>
            </w:r>
          </w:p>
        </w:tc>
      </w:tr>
      <w:tr w14:paraId="5EFDA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60" w:hRule="atLeast"/>
        </w:trPr>
        <w:tc>
          <w:tcPr>
            <w:tcW w:w="1135" w:type="dxa"/>
            <w:vMerge w:val="continue"/>
            <w:vAlign w:val="center"/>
          </w:tcPr>
          <w:p w14:paraId="52134388">
            <w:pPr>
              <w:pStyle w:val="48"/>
              <w:adjustRightInd w:val="1"/>
              <w:snapToGrid w:val="1"/>
              <w:contextualSpacing/>
              <w:spacing w:afterLines="0" w:beforeLines="0" w:line="0" w:lineRule="atLeast"/>
              <w:rPr>
                <w:color w:val="auto"/>
                <w:kern w:val="21"/>
                <w:szCs w:val="21"/>
                <w:rFonts w:ascii="Times New Roman"/>
              </w:rPr>
            </w:pPr>
          </w:p>
        </w:tc>
        <w:tc>
          <w:tcPr>
            <w:tcW w:w="1985" w:type="dxa"/>
            <w:vAlign w:val="center"/>
          </w:tcPr>
          <w:p w14:paraId="10D039DC">
            <w:pPr>
              <w:jc w:val="center"/>
              <w:spacing w:line="0" w:lineRule="atLeast"/>
              <w:rPr>
                <w:color w:val="auto"/>
                <w:szCs w:val="21"/>
                <w:rFonts w:eastAsiaTheme="minorEastAsia"/>
              </w:rPr>
            </w:pPr>
            <w:r>
              <w:rPr>
                <w:color w:val="auto"/>
                <w:szCs w:val="21"/>
                <w:rFonts w:eastAsiaTheme="minorEastAsia"/>
              </w:rPr>
              <w:t>实验室弃块</w:t>
            </w:r>
          </w:p>
        </w:tc>
        <w:tc>
          <w:tcPr>
            <w:tcW w:w="1701" w:type="dxa"/>
            <w:vAlign w:val="center"/>
          </w:tcPr>
          <w:p w14:paraId="61C1FECF">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2B1C70AE">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19FD81D0">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59DCE879">
            <w:pPr>
              <w:jc w:val="center"/>
              <w:spacing w:line="0" w:lineRule="atLeast"/>
              <w:rPr>
                <w:color w:val="auto"/>
                <w:szCs w:val="21"/>
                <w:rFonts w:eastAsiaTheme="minorEastAsia"/>
              </w:rPr>
            </w:pPr>
            <w:r>
              <w:rPr>
                <w:color w:val="auto"/>
                <w:szCs w:val="21"/>
                <w:rFonts w:hint="eastAsia" w:eastAsiaTheme="minorEastAsia"/>
              </w:rPr>
              <w:t>0.1</w:t>
            </w:r>
          </w:p>
        </w:tc>
        <w:tc>
          <w:tcPr>
            <w:tcW w:w="1842" w:type="dxa"/>
            <w:vAlign w:val="center"/>
          </w:tcPr>
          <w:p w14:paraId="5DF26F5E">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7FDEB13A">
            <w:pPr>
              <w:jc w:val="center"/>
              <w:spacing w:line="0" w:lineRule="atLeast"/>
              <w:rPr>
                <w:color w:val="auto"/>
                <w:szCs w:val="21"/>
                <w:rFonts w:eastAsiaTheme="minorEastAsia"/>
              </w:rPr>
            </w:pPr>
            <w:r>
              <w:rPr>
                <w:color w:val="auto"/>
                <w:szCs w:val="21"/>
                <w:rFonts w:hint="eastAsia" w:eastAsiaTheme="minorEastAsia"/>
              </w:rPr>
              <w:t>0.1</w:t>
            </w:r>
          </w:p>
        </w:tc>
        <w:tc>
          <w:tcPr>
            <w:tcW w:w="1276" w:type="dxa"/>
            <w:vAlign w:val="center"/>
          </w:tcPr>
          <w:p w14:paraId="1A37B31D">
            <w:pPr>
              <w:jc w:val="center"/>
              <w:spacing w:line="0" w:lineRule="atLeast"/>
              <w:rPr>
                <w:color w:val="auto"/>
                <w:szCs w:val="21"/>
                <w:rFonts w:eastAsiaTheme="minorEastAsia"/>
              </w:rPr>
            </w:pPr>
            <w:r>
              <w:rPr>
                <w:color w:val="auto"/>
                <w:szCs w:val="21"/>
                <w:rFonts w:hint="eastAsia" w:eastAsiaTheme="minorEastAsia"/>
              </w:rPr>
              <w:t>0.1</w:t>
            </w:r>
          </w:p>
        </w:tc>
      </w:tr>
      <w:tr w14:paraId="3E40F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2" w:hRule="atLeast"/>
        </w:trPr>
        <w:tc>
          <w:tcPr>
            <w:tcW w:w="1135" w:type="dxa"/>
            <w:vMerge w:val="restart"/>
            <w:vAlign w:val="center"/>
          </w:tcPr>
          <w:p w14:paraId="29C3B8DF">
            <w:pPr>
              <w:pStyle w:val="48"/>
              <w:contextualSpacing/>
              <w:spacing w:after="24" w:before="24" w:line="0" w:lineRule="atLeast"/>
              <w:rPr>
                <w:color w:val="auto"/>
                <w:kern w:val="21"/>
                <w:szCs w:val="21"/>
                <w:rFonts w:ascii="Times New Roman"/>
              </w:rPr>
            </w:pPr>
            <w:r>
              <w:rPr>
                <w:color w:val="auto"/>
                <w:kern w:val="21"/>
                <w:szCs w:val="21"/>
                <w:rFonts w:ascii="Times New Roman"/>
              </w:rPr>
              <w:t>危险废物</w:t>
            </w:r>
          </w:p>
        </w:tc>
        <w:tc>
          <w:tcPr>
            <w:tcW w:w="1985" w:type="dxa"/>
            <w:vAlign w:val="center"/>
          </w:tcPr>
          <w:p w14:paraId="5B977F0A">
            <w:pPr>
              <w:jc w:val="center"/>
              <w:contextualSpacing/>
              <w:spacing w:line="0" w:lineRule="atLeast"/>
              <w:rPr>
                <w:color w:val="auto"/>
                <w:szCs w:val="21"/>
                <w:rFonts w:eastAsiaTheme="minorEastAsia"/>
              </w:rPr>
            </w:pPr>
            <w:r>
              <w:rPr>
                <w:color w:val="auto"/>
                <w:bCs/>
                <w:szCs w:val="21"/>
                <w:rFonts w:eastAsiaTheme="minorEastAsia"/>
              </w:rPr>
              <w:t>废活性炭</w:t>
            </w:r>
          </w:p>
        </w:tc>
        <w:tc>
          <w:tcPr>
            <w:tcW w:w="1701" w:type="dxa"/>
            <w:vAlign w:val="center"/>
          </w:tcPr>
          <w:p w14:paraId="0337EECE">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1C49A324">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46B1B301">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5DA4E0D1">
            <w:pPr>
              <w:jc w:val="center"/>
              <w:spacing w:line="0" w:lineRule="atLeast"/>
              <w:rPr>
                <w:color w:val="auto"/>
                <w:szCs w:val="21"/>
                <w:rFonts w:eastAsiaTheme="minorEastAsia"/>
              </w:rPr>
            </w:pPr>
            <w:r>
              <w:rPr>
                <w:color w:val="auto"/>
                <w:szCs w:val="21"/>
                <w:rFonts w:hint="eastAsia" w:eastAsiaTheme="minorEastAsia"/>
              </w:rPr>
              <w:t>3.6</w:t>
            </w:r>
          </w:p>
        </w:tc>
        <w:tc>
          <w:tcPr>
            <w:tcW w:w="1842" w:type="dxa"/>
            <w:vAlign w:val="center"/>
          </w:tcPr>
          <w:p w14:paraId="75DA5675">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3C1671D9">
            <w:pPr>
              <w:jc w:val="center"/>
              <w:spacing w:line="0" w:lineRule="atLeast"/>
              <w:rPr>
                <w:color w:val="auto"/>
                <w:szCs w:val="21"/>
                <w:rFonts w:eastAsiaTheme="minorEastAsia"/>
              </w:rPr>
            </w:pPr>
            <w:r>
              <w:rPr>
                <w:color w:val="auto"/>
                <w:szCs w:val="21"/>
                <w:rFonts w:hint="eastAsia" w:eastAsiaTheme="minorEastAsia"/>
              </w:rPr>
              <w:t>3.6</w:t>
            </w:r>
          </w:p>
        </w:tc>
        <w:tc>
          <w:tcPr>
            <w:tcW w:w="1276" w:type="dxa"/>
            <w:vAlign w:val="center"/>
          </w:tcPr>
          <w:p w14:paraId="518E17BB">
            <w:pPr>
              <w:jc w:val="center"/>
              <w:spacing w:line="0" w:lineRule="atLeast"/>
              <w:rPr>
                <w:color w:val="auto"/>
                <w:szCs w:val="21"/>
                <w:rFonts w:eastAsiaTheme="minorEastAsia"/>
              </w:rPr>
            </w:pPr>
            <w:r>
              <w:rPr>
                <w:color w:val="auto"/>
                <w:szCs w:val="21"/>
                <w:rFonts w:hint="eastAsia" w:eastAsiaTheme="minorEastAsia"/>
              </w:rPr>
              <w:t>3.6</w:t>
            </w:r>
          </w:p>
        </w:tc>
      </w:tr>
      <w:tr w14:paraId="35EA7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2" w:hRule="atLeast"/>
        </w:trPr>
        <w:tc>
          <w:tcPr>
            <w:tcW w:w="1135" w:type="dxa"/>
            <w:vMerge w:val="continue"/>
            <w:vAlign w:val="center"/>
          </w:tcPr>
          <w:p w14:paraId="12DEA00A">
            <w:pPr>
              <w:pStyle w:val="48"/>
              <w:contextualSpacing/>
              <w:spacing w:after="24" w:before="24" w:line="0" w:lineRule="atLeast"/>
              <w:rPr>
                <w:color w:val="auto"/>
                <w:kern w:val="21"/>
                <w:szCs w:val="21"/>
                <w:rFonts w:ascii="Times New Roman"/>
              </w:rPr>
            </w:pPr>
          </w:p>
        </w:tc>
        <w:tc>
          <w:tcPr>
            <w:tcW w:w="1985" w:type="dxa"/>
            <w:vAlign w:val="center"/>
          </w:tcPr>
          <w:p w14:paraId="360EF7E9">
            <w:pPr>
              <w:jc w:val="center"/>
              <w:contextualSpacing/>
              <w:spacing w:line="0" w:lineRule="atLeast"/>
              <w:rPr>
                <w:color w:val="auto"/>
                <w:bCs/>
                <w:szCs w:val="21"/>
                <w:rFonts w:eastAsiaTheme="minorEastAsia"/>
              </w:rPr>
            </w:pPr>
            <w:r>
              <w:rPr>
                <w:color w:val="auto"/>
                <w:szCs w:val="21"/>
                <w:rFonts w:eastAsiaTheme="minorEastAsia"/>
              </w:rPr>
              <w:t>废</w:t>
            </w:r>
            <w:r>
              <w:rPr>
                <w:color w:val="auto"/>
                <w:szCs w:val="21"/>
                <w:rFonts w:hint="eastAsia" w:eastAsiaTheme="minorEastAsia"/>
              </w:rPr>
              <w:t>导热油</w:t>
            </w:r>
          </w:p>
        </w:tc>
        <w:tc>
          <w:tcPr>
            <w:tcW w:w="1701" w:type="dxa"/>
            <w:vAlign w:val="center"/>
          </w:tcPr>
          <w:p w14:paraId="1EF26F3B">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2663EC67">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0DAA6808">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363555FF">
            <w:pPr>
              <w:jc w:val="center"/>
              <w:spacing w:line="0" w:lineRule="atLeast"/>
              <w:rPr>
                <w:color w:val="auto"/>
                <w:szCs w:val="21"/>
                <w:rFonts w:eastAsiaTheme="minorEastAsia"/>
              </w:rPr>
            </w:pPr>
            <w:r>
              <w:rPr>
                <w:color w:val="auto"/>
                <w:szCs w:val="21"/>
                <w:rFonts w:hint="eastAsia" w:eastAsiaTheme="minorEastAsia"/>
              </w:rPr>
              <w:t>3t/3a</w:t>
            </w:r>
          </w:p>
        </w:tc>
        <w:tc>
          <w:tcPr>
            <w:tcW w:w="1842" w:type="dxa"/>
            <w:vAlign w:val="center"/>
          </w:tcPr>
          <w:p w14:paraId="39A9BD61">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4DAA912E">
            <w:pPr>
              <w:jc w:val="center"/>
              <w:spacing w:line="0" w:lineRule="atLeast"/>
              <w:rPr>
                <w:color w:val="auto"/>
                <w:szCs w:val="21"/>
                <w:rFonts w:eastAsiaTheme="minorEastAsia"/>
              </w:rPr>
            </w:pPr>
            <w:r>
              <w:rPr>
                <w:color w:val="auto"/>
                <w:szCs w:val="21"/>
                <w:rFonts w:hint="eastAsia" w:eastAsiaTheme="minorEastAsia"/>
              </w:rPr>
              <w:t>3t/3a</w:t>
            </w:r>
          </w:p>
        </w:tc>
        <w:tc>
          <w:tcPr>
            <w:tcW w:w="1276" w:type="dxa"/>
            <w:vAlign w:val="center"/>
          </w:tcPr>
          <w:p w14:paraId="46F3AC1B">
            <w:pPr>
              <w:jc w:val="center"/>
              <w:spacing w:line="0" w:lineRule="atLeast"/>
              <w:rPr>
                <w:b w:val="1"/>
                <w:color w:val="auto"/>
                <w:szCs w:val="21"/>
                <w:rFonts w:eastAsiaTheme="minorEastAsia"/>
              </w:rPr>
            </w:pPr>
            <w:r>
              <w:rPr>
                <w:color w:val="auto"/>
                <w:szCs w:val="21"/>
                <w:rFonts w:hint="eastAsia" w:eastAsiaTheme="minorEastAsia"/>
              </w:rPr>
              <w:t>3t/3a</w:t>
            </w:r>
          </w:p>
        </w:tc>
      </w:tr>
      <w:tr w14:paraId="3B561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2" w:hRule="atLeast"/>
        </w:trPr>
        <w:tc>
          <w:tcPr>
            <w:tcW w:w="1135" w:type="dxa"/>
            <w:vMerge w:val="continue"/>
            <w:vAlign w:val="center"/>
          </w:tcPr>
          <w:p w14:paraId="01F43690">
            <w:pPr>
              <w:pStyle w:val="48"/>
              <w:contextualSpacing/>
              <w:spacing w:after="24" w:before="24" w:line="0" w:lineRule="atLeast"/>
              <w:rPr>
                <w:color w:val="auto"/>
                <w:kern w:val="21"/>
                <w:szCs w:val="21"/>
                <w:rFonts w:ascii="Times New Roman"/>
              </w:rPr>
            </w:pPr>
          </w:p>
        </w:tc>
        <w:tc>
          <w:tcPr>
            <w:tcW w:w="1985" w:type="dxa"/>
            <w:vAlign w:val="center"/>
          </w:tcPr>
          <w:p w14:paraId="5F650EDB">
            <w:pPr>
              <w:jc w:val="center"/>
              <w:contextualSpacing/>
              <w:spacing w:line="0" w:lineRule="atLeast"/>
              <w:rPr>
                <w:color w:val="auto"/>
                <w:szCs w:val="21"/>
                <w:rFonts w:eastAsiaTheme="minorEastAsia"/>
              </w:rPr>
            </w:pPr>
            <w:r>
              <w:rPr>
                <w:color w:val="auto"/>
                <w:bCs/>
                <w:szCs w:val="21"/>
                <w:rFonts w:eastAsiaTheme="minorEastAsia"/>
              </w:rPr>
              <w:t>废</w:t>
            </w:r>
            <w:r>
              <w:rPr>
                <w:color w:val="auto"/>
                <w:bCs/>
                <w:szCs w:val="21"/>
                <w:rFonts w:hint="eastAsia" w:eastAsiaTheme="minorEastAsia"/>
              </w:rPr>
              <w:t>油桶</w:t>
            </w:r>
          </w:p>
        </w:tc>
        <w:tc>
          <w:tcPr>
            <w:tcW w:w="1701" w:type="dxa"/>
            <w:vAlign w:val="center"/>
          </w:tcPr>
          <w:p w14:paraId="0F6DEE05">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4C83C0DF">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13D0A1F4">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46773475">
            <w:pPr>
              <w:jc w:val="center"/>
              <w:spacing w:line="0" w:lineRule="atLeast"/>
              <w:rPr>
                <w:color w:val="auto"/>
                <w:szCs w:val="21"/>
                <w:rFonts w:eastAsiaTheme="minorEastAsia"/>
              </w:rPr>
            </w:pPr>
            <w:r>
              <w:rPr>
                <w:color w:val="auto"/>
                <w:szCs w:val="21"/>
                <w:rFonts w:hint="eastAsia" w:eastAsiaTheme="minorEastAsia"/>
              </w:rPr>
              <w:t>0.01 t/3a</w:t>
            </w:r>
          </w:p>
        </w:tc>
        <w:tc>
          <w:tcPr>
            <w:tcW w:w="1842" w:type="dxa"/>
            <w:vAlign w:val="center"/>
          </w:tcPr>
          <w:p w14:paraId="1C111D46">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4C64C567">
            <w:pPr>
              <w:jc w:val="center"/>
              <w:spacing w:line="0" w:lineRule="atLeast"/>
              <w:rPr>
                <w:color w:val="auto"/>
                <w:szCs w:val="21"/>
                <w:rFonts w:eastAsiaTheme="minorEastAsia"/>
              </w:rPr>
            </w:pPr>
            <w:r>
              <w:rPr>
                <w:color w:val="auto"/>
                <w:szCs w:val="21"/>
                <w:rFonts w:hint="eastAsia" w:eastAsiaTheme="minorEastAsia"/>
              </w:rPr>
              <w:t>0.01 t/3a</w:t>
            </w:r>
          </w:p>
        </w:tc>
        <w:tc>
          <w:tcPr>
            <w:tcW w:w="1276" w:type="dxa"/>
            <w:vAlign w:val="center"/>
          </w:tcPr>
          <w:p w14:paraId="3CFC8ED8">
            <w:pPr>
              <w:jc w:val="center"/>
              <w:spacing w:line="0" w:lineRule="atLeast"/>
              <w:rPr>
                <w:color w:val="auto"/>
                <w:szCs w:val="21"/>
                <w:rFonts w:eastAsiaTheme="minorEastAsia"/>
              </w:rPr>
            </w:pPr>
            <w:r>
              <w:rPr>
                <w:color w:val="auto"/>
                <w:szCs w:val="21"/>
                <w:rFonts w:hint="eastAsia" w:eastAsiaTheme="minorEastAsia"/>
              </w:rPr>
              <w:t>0.01 t/3a</w:t>
            </w:r>
          </w:p>
        </w:tc>
      </w:tr>
      <w:tr w14:paraId="730F0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type="dxa" w:w="0.000000"/>
            <w:bottom w:type="dxa" w:w="0.000000"/>
            <w:left w:type="dxa" w:w="108.000000"/>
            <w:right w:type="dxa" w:w="108.000000"/>
          </w:tblCellMar>
        </w:tblPrEx>
        <w:trPr>
          <w:trHeight w:val="422" w:hRule="atLeast"/>
        </w:trPr>
        <w:tc>
          <w:tcPr>
            <w:tcW w:w="1135" w:type="dxa"/>
            <w:vMerge w:val="continue"/>
            <w:vAlign w:val="center"/>
          </w:tcPr>
          <w:p w14:paraId="71A1CFFC">
            <w:pPr>
              <w:pStyle w:val="48"/>
              <w:contextualSpacing/>
              <w:spacing w:after="24" w:before="24" w:line="0" w:lineRule="atLeast"/>
              <w:rPr>
                <w:color w:val="auto"/>
                <w:kern w:val="21"/>
                <w:szCs w:val="21"/>
                <w:rFonts w:ascii="Times New Roman"/>
              </w:rPr>
            </w:pPr>
          </w:p>
        </w:tc>
        <w:tc>
          <w:tcPr>
            <w:tcW w:w="1985" w:type="dxa"/>
            <w:vAlign w:val="center"/>
          </w:tcPr>
          <w:p w14:paraId="779F7408">
            <w:pPr>
              <w:jc w:val="center"/>
              <w:contextualSpacing/>
              <w:spacing w:line="0" w:lineRule="atLeast"/>
              <w:rPr>
                <w:color w:val="auto"/>
                <w:bCs/>
                <w:szCs w:val="21"/>
                <w:rFonts w:eastAsiaTheme="minorEastAsia"/>
              </w:rPr>
            </w:pPr>
            <w:r>
              <w:rPr>
                <w:color w:val="auto"/>
                <w:bCs/>
                <w:szCs w:val="21"/>
                <w:rFonts w:eastAsiaTheme="minorEastAsia"/>
              </w:rPr>
              <w:t>初期雨水池油污</w:t>
            </w:r>
          </w:p>
        </w:tc>
        <w:tc>
          <w:tcPr>
            <w:tcW w:w="1701" w:type="dxa"/>
            <w:vAlign w:val="center"/>
          </w:tcPr>
          <w:p w14:paraId="27B67FEC">
            <w:pPr>
              <w:pStyle w:val="48"/>
              <w:adjustRightInd w:val="1"/>
              <w:snapToGrid w:val="1"/>
              <w:contextualSpacing/>
              <w:spacing w:afterLines="0" w:beforeLines="0" w:line="0" w:lineRule="atLeast"/>
              <w:rPr>
                <w:color w:val="auto"/>
                <w:kern w:val="21"/>
                <w:szCs w:val="21"/>
                <w:rFonts w:ascii="Times New Roman"/>
              </w:rPr>
            </w:pPr>
          </w:p>
        </w:tc>
        <w:tc>
          <w:tcPr>
            <w:tcW w:w="1134" w:type="dxa"/>
            <w:vAlign w:val="center"/>
          </w:tcPr>
          <w:p w14:paraId="6B61CCE4">
            <w:pPr>
              <w:pStyle w:val="48"/>
              <w:adjustRightInd w:val="1"/>
              <w:snapToGrid w:val="1"/>
              <w:contextualSpacing/>
              <w:spacing w:afterLines="0" w:beforeLines="0" w:line="0" w:lineRule="atLeast"/>
              <w:rPr>
                <w:color w:val="auto"/>
                <w:kern w:val="21"/>
                <w:szCs w:val="21"/>
                <w:rFonts w:ascii="Times New Roman"/>
              </w:rPr>
            </w:pPr>
          </w:p>
        </w:tc>
        <w:tc>
          <w:tcPr>
            <w:tcW w:w="1842" w:type="dxa"/>
            <w:vAlign w:val="center"/>
          </w:tcPr>
          <w:p w14:paraId="6AE85A21">
            <w:pPr>
              <w:pStyle w:val="48"/>
              <w:adjustRightInd w:val="1"/>
              <w:snapToGrid w:val="1"/>
              <w:contextualSpacing/>
              <w:spacing w:afterLines="0" w:beforeLines="0" w:line="0" w:lineRule="atLeast"/>
              <w:rPr>
                <w:color w:val="auto"/>
                <w:kern w:val="21"/>
                <w:szCs w:val="21"/>
                <w:rFonts w:ascii="Times New Roman"/>
              </w:rPr>
            </w:pPr>
          </w:p>
        </w:tc>
        <w:tc>
          <w:tcPr>
            <w:tcW w:w="1560" w:type="dxa"/>
            <w:vAlign w:val="center"/>
          </w:tcPr>
          <w:p w14:paraId="6239E74C">
            <w:pPr>
              <w:jc w:val="center"/>
              <w:spacing w:line="0" w:lineRule="atLeast"/>
              <w:rPr>
                <w:color w:val="auto"/>
                <w:szCs w:val="21"/>
                <w:rFonts w:eastAsiaTheme="minorEastAsia"/>
              </w:rPr>
            </w:pPr>
            <w:r>
              <w:rPr>
                <w:color w:val="auto"/>
                <w:szCs w:val="21"/>
                <w:rFonts w:hint="eastAsia" w:eastAsiaTheme="minorEastAsia"/>
              </w:rPr>
              <w:t>0.001 t/a</w:t>
            </w:r>
          </w:p>
        </w:tc>
        <w:tc>
          <w:tcPr>
            <w:tcW w:w="1842" w:type="dxa"/>
            <w:vAlign w:val="center"/>
          </w:tcPr>
          <w:p w14:paraId="2F77922D">
            <w:pPr>
              <w:pStyle w:val="48"/>
              <w:adjustRightInd w:val="1"/>
              <w:snapToGrid w:val="1"/>
              <w:contextualSpacing/>
              <w:spacing w:afterLines="0" w:beforeLines="0" w:line="0" w:lineRule="atLeast"/>
              <w:rPr>
                <w:color w:val="auto"/>
                <w:kern w:val="21"/>
                <w:szCs w:val="21"/>
                <w:rFonts w:ascii="Times New Roman"/>
              </w:rPr>
            </w:pPr>
          </w:p>
        </w:tc>
        <w:tc>
          <w:tcPr>
            <w:tcW w:w="1843" w:type="dxa"/>
            <w:vAlign w:val="center"/>
          </w:tcPr>
          <w:p w14:paraId="12DD6F02">
            <w:pPr>
              <w:jc w:val="center"/>
              <w:spacing w:line="0" w:lineRule="atLeast"/>
              <w:rPr>
                <w:color w:val="auto"/>
                <w:szCs w:val="21"/>
                <w:rFonts w:eastAsiaTheme="minorEastAsia"/>
              </w:rPr>
            </w:pPr>
            <w:r>
              <w:rPr>
                <w:color w:val="auto"/>
                <w:szCs w:val="21"/>
                <w:rFonts w:hint="eastAsia" w:eastAsiaTheme="minorEastAsia"/>
              </w:rPr>
              <w:t>0.001 t/a</w:t>
            </w:r>
          </w:p>
        </w:tc>
        <w:tc>
          <w:tcPr>
            <w:tcW w:w="1276" w:type="dxa"/>
            <w:vAlign w:val="center"/>
          </w:tcPr>
          <w:p w14:paraId="1C57E3F4">
            <w:pPr>
              <w:jc w:val="center"/>
              <w:spacing w:line="0" w:lineRule="atLeast"/>
              <w:rPr>
                <w:color w:val="auto"/>
                <w:szCs w:val="21"/>
                <w:rFonts w:eastAsiaTheme="minorEastAsia"/>
              </w:rPr>
            </w:pPr>
            <w:r>
              <w:rPr>
                <w:color w:val="auto"/>
                <w:szCs w:val="21"/>
                <w:rFonts w:hint="eastAsia" w:eastAsiaTheme="minorEastAsia"/>
              </w:rPr>
              <w:t>0.001 t/a</w:t>
            </w:r>
          </w:p>
        </w:tc>
      </w:tr>
    </w:tbl>
    <w:p w14:paraId="5CB949F8">
      <w:pPr>
        <w:pStyle w:val="48"/>
        <w:jc w:val="left"/>
        <w:spacing w:after="24" w:beforeLines="80"/>
        <w:rPr>
          <w:color w:val="auto"/>
          <w:spacing w:val="-6"/>
          <w:kern w:val="21"/>
          <w:szCs w:val="21"/>
          <w:rFonts w:ascii="Times New Roman"/>
        </w:rPr>
        <w:sectPr>
          <w:docGrid w:type="default" w:linePitch="312" w:charSpace="0"/>
          <w:pgSz w:w="16838" w:h="11906" w:orient="landscape"/>
          <w:pgMar w:top="1531" w:right="1701" w:bottom="1531" w:left="1701" w:header="851" w:footer="851"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720" w:num="1"/>
        </w:sectPr>
      </w:pPr>
      <w:r>
        <w:rPr>
          <w:color w:val="auto"/>
          <w:kern w:val="21"/>
          <w:szCs w:val="21"/>
          <w:rFonts w:ascii="Times New Roman"/>
        </w:rPr>
        <w:t>注：</w:t>
      </w:r>
      <w:r>
        <w:rPr>
          <w:color w:val="auto"/>
          <w:spacing w:val="-16"/>
          <w:kern w:val="21"/>
          <w:szCs w:val="21"/>
          <w:rFonts w:ascii="Times New Roman"/>
        </w:rPr>
        <w:fldChar w:fldCharType="begin"/>
      </w:r>
      <w:r>
        <w:rPr>
          <w:color w:val="auto"/>
          <w:spacing w:val="-16"/>
          <w:kern w:val="21"/>
          <w:szCs w:val="21"/>
          <w:rFonts w:ascii="Times New Roman"/>
        </w:rPr>
        <w:instrText xml:space="preserve"> = 6 \* GB3 \* MERGEFORMAT </w:instrText>
      </w:r>
      <w:r>
        <w:rPr>
          <w:color w:val="auto"/>
          <w:spacing w:val="-16"/>
          <w:kern w:val="21"/>
          <w:szCs w:val="21"/>
          <w:rFonts w:ascii="Times New Roman"/>
        </w:rPr>
        <w:fldChar w:fldCharType="separate"/>
      </w:r>
      <w:r>
        <w:rPr>
          <w:color w:val="auto"/>
          <w:szCs w:val="21"/>
        </w:rPr>
        <w:t>⑥</w:t>
      </w:r>
      <w:r>
        <w:rPr>
          <w:color w:val="auto"/>
          <w:spacing w:val="-16"/>
          <w:kern w:val="21"/>
          <w:szCs w:val="21"/>
          <w:rFonts w:ascii="Times New Roman"/>
        </w:rPr>
        <w:fldChar w:fldCharType="end"/>
      </w:r>
      <w:r>
        <w:rPr>
          <w:color w:val="auto"/>
          <w:spacing w:val="-16"/>
          <w:kern w:val="21"/>
          <w:szCs w:val="21"/>
          <w:rFonts w:ascii="Times New Roman"/>
        </w:rPr>
        <w:t>=</w:t>
      </w:r>
      <w:r>
        <w:rPr>
          <w:color w:val="auto"/>
          <w:spacing w:val="-6"/>
          <w:kern w:val="21"/>
          <w:szCs w:val="21"/>
          <w:rFonts w:ascii="Times New Roman"/>
        </w:rPr>
        <w:fldChar w:fldCharType="begin"/>
      </w:r>
      <w:r>
        <w:rPr>
          <w:color w:val="auto"/>
          <w:spacing w:val="-6"/>
          <w:kern w:val="21"/>
          <w:szCs w:val="21"/>
          <w:rFonts w:ascii="Times New Roman"/>
        </w:rPr>
        <w:instrText xml:space="preserve"> = 1 \* GB3 \* MERGEFORMAT </w:instrText>
      </w:r>
      <w:r>
        <w:rPr>
          <w:color w:val="auto"/>
          <w:spacing w:val="-6"/>
          <w:kern w:val="21"/>
          <w:szCs w:val="21"/>
          <w:rFonts w:ascii="Times New Roman"/>
        </w:rPr>
        <w:fldChar w:fldCharType="separate"/>
      </w:r>
      <w:r>
        <w:rPr>
          <w:color w:val="auto"/>
          <w:szCs w:val="21"/>
        </w:rPr>
        <w:t>①</w:t>
      </w:r>
      <w:r>
        <w:rPr>
          <w:color w:val="auto"/>
          <w:spacing w:val="-6"/>
          <w:kern w:val="21"/>
          <w:szCs w:val="21"/>
          <w:rFonts w:ascii="Times New Roman"/>
        </w:rPr>
        <w:fldChar w:fldCharType="end"/>
      </w:r>
      <w:r>
        <w:rPr>
          <w:color w:val="auto"/>
          <w:spacing w:val="-6"/>
          <w:kern w:val="21"/>
          <w:szCs w:val="21"/>
          <w:rFonts w:ascii="Times New Roman"/>
        </w:rPr>
        <w:t>+</w:t>
      </w:r>
      <w:r>
        <w:rPr>
          <w:color w:val="auto"/>
          <w:spacing w:val="-6"/>
          <w:kern w:val="21"/>
          <w:szCs w:val="21"/>
          <w:rFonts w:ascii="Times New Roman"/>
        </w:rPr>
        <w:fldChar w:fldCharType="begin"/>
      </w:r>
      <w:r>
        <w:rPr>
          <w:color w:val="auto"/>
          <w:spacing w:val="-6"/>
          <w:kern w:val="21"/>
          <w:szCs w:val="21"/>
          <w:rFonts w:ascii="Times New Roman"/>
        </w:rPr>
        <w:instrText xml:space="preserve"> = 3 \* GB3 \* MERGEFORMAT </w:instrText>
      </w:r>
      <w:r>
        <w:rPr>
          <w:color w:val="auto"/>
          <w:spacing w:val="-6"/>
          <w:kern w:val="21"/>
          <w:szCs w:val="21"/>
          <w:rFonts w:ascii="Times New Roman"/>
        </w:rPr>
        <w:fldChar w:fldCharType="separate"/>
      </w:r>
      <w:r>
        <w:rPr>
          <w:color w:val="auto"/>
          <w:szCs w:val="21"/>
        </w:rPr>
        <w:t>③</w:t>
      </w:r>
      <w:r>
        <w:rPr>
          <w:color w:val="auto"/>
          <w:spacing w:val="-6"/>
          <w:kern w:val="21"/>
          <w:szCs w:val="21"/>
          <w:rFonts w:ascii="Times New Roman"/>
        </w:rPr>
        <w:fldChar w:fldCharType="end"/>
      </w:r>
      <w:r>
        <w:rPr>
          <w:color w:val="auto"/>
          <w:spacing w:val="-6"/>
          <w:kern w:val="21"/>
          <w:szCs w:val="21"/>
          <w:rFonts w:ascii="Times New Roman"/>
        </w:rPr>
        <w:t>+</w:t>
      </w:r>
      <w:r>
        <w:rPr>
          <w:color w:val="auto"/>
          <w:spacing w:val="-6"/>
          <w:kern w:val="21"/>
          <w:szCs w:val="21"/>
          <w:rFonts w:ascii="Times New Roman"/>
        </w:rPr>
        <w:fldChar w:fldCharType="begin"/>
      </w:r>
      <w:r>
        <w:rPr>
          <w:color w:val="auto"/>
          <w:spacing w:val="-6"/>
          <w:kern w:val="21"/>
          <w:szCs w:val="21"/>
          <w:rFonts w:ascii="Times New Roman"/>
        </w:rPr>
        <w:instrText xml:space="preserve"> = 4 \* GB3 \* MERGEFORMAT </w:instrText>
      </w:r>
      <w:r>
        <w:rPr>
          <w:color w:val="auto"/>
          <w:spacing w:val="-6"/>
          <w:kern w:val="21"/>
          <w:szCs w:val="21"/>
          <w:rFonts w:ascii="Times New Roman"/>
        </w:rPr>
        <w:fldChar w:fldCharType="separate"/>
      </w:r>
      <w:r>
        <w:rPr>
          <w:color w:val="auto"/>
          <w:szCs w:val="21"/>
        </w:rPr>
        <w:t>④</w:t>
      </w:r>
      <w:r>
        <w:rPr>
          <w:color w:val="auto"/>
          <w:spacing w:val="-6"/>
          <w:kern w:val="21"/>
          <w:szCs w:val="21"/>
          <w:rFonts w:ascii="Times New Roman"/>
        </w:rPr>
        <w:fldChar w:fldCharType="end"/>
      </w:r>
      <w:r>
        <w:rPr>
          <w:color w:val="auto"/>
          <w:spacing w:val="-6"/>
          <w:kern w:val="21"/>
          <w:szCs w:val="21"/>
          <w:rFonts w:ascii="Times New Roman"/>
        </w:rPr>
        <w:t>-</w:t>
      </w:r>
      <w:r>
        <w:rPr>
          <w:color w:val="auto"/>
          <w:spacing w:val="-16"/>
          <w:kern w:val="21"/>
          <w:szCs w:val="21"/>
          <w:rFonts w:ascii="Times New Roman"/>
        </w:rPr>
        <w:fldChar w:fldCharType="begin"/>
      </w:r>
      <w:r>
        <w:rPr>
          <w:color w:val="auto"/>
          <w:spacing w:val="-16"/>
          <w:kern w:val="21"/>
          <w:szCs w:val="21"/>
          <w:rFonts w:ascii="Times New Roman"/>
        </w:rPr>
        <w:instrText xml:space="preserve"> = 5 \* GB3 \* MERGEFORMAT </w:instrText>
      </w:r>
      <w:r>
        <w:rPr>
          <w:color w:val="auto"/>
          <w:spacing w:val="-16"/>
          <w:kern w:val="21"/>
          <w:szCs w:val="21"/>
          <w:rFonts w:ascii="Times New Roman"/>
        </w:rPr>
        <w:fldChar w:fldCharType="separate"/>
      </w:r>
      <w:r>
        <w:rPr>
          <w:color w:val="auto"/>
          <w:szCs w:val="21"/>
        </w:rPr>
        <w:t>⑤</w:t>
      </w:r>
      <w:r>
        <w:rPr>
          <w:color w:val="auto"/>
          <w:spacing w:val="-16"/>
          <w:kern w:val="21"/>
          <w:szCs w:val="21"/>
          <w:rFonts w:ascii="Times New Roman"/>
        </w:rPr>
        <w:fldChar w:fldCharType="end"/>
      </w:r>
      <w:r>
        <w:rPr>
          <w:color w:val="auto"/>
          <w:spacing w:val="-16"/>
          <w:kern w:val="21"/>
          <w:szCs w:val="21"/>
          <w:rFonts w:ascii="Times New Roman"/>
        </w:rPr>
        <w:t>；</w:t>
      </w:r>
      <w:r>
        <w:rPr>
          <w:color w:val="auto"/>
          <w:spacing w:val="-6"/>
          <w:kern w:val="21"/>
          <w:szCs w:val="21"/>
          <w:rFonts w:ascii="Times New Roman"/>
        </w:rPr>
        <w:fldChar w:fldCharType="begin"/>
      </w:r>
      <w:r>
        <w:rPr>
          <w:color w:val="auto"/>
          <w:spacing w:val="-6"/>
          <w:kern w:val="21"/>
          <w:szCs w:val="21"/>
          <w:rFonts w:ascii="Times New Roman"/>
        </w:rPr>
        <w:instrText xml:space="preserve"> = 7 \* GB3 \* MERGEFORMAT </w:instrText>
      </w:r>
      <w:r>
        <w:rPr>
          <w:color w:val="auto"/>
          <w:spacing w:val="-6"/>
          <w:kern w:val="21"/>
          <w:szCs w:val="21"/>
          <w:rFonts w:ascii="Times New Roman"/>
        </w:rPr>
        <w:fldChar w:fldCharType="separate"/>
      </w:r>
      <w:r>
        <w:rPr>
          <w:color w:val="auto"/>
          <w:szCs w:val="21"/>
        </w:rPr>
        <w:t>⑦</w:t>
      </w:r>
      <w:r>
        <w:rPr>
          <w:color w:val="auto"/>
          <w:spacing w:val="-6"/>
          <w:kern w:val="21"/>
          <w:szCs w:val="21"/>
          <w:rFonts w:ascii="Times New Roman"/>
        </w:rPr>
        <w:fldChar w:fldCharType="end"/>
      </w:r>
      <w:r>
        <w:rPr>
          <w:color w:val="auto"/>
          <w:spacing w:val="-6"/>
          <w:kern w:val="21"/>
          <w:szCs w:val="21"/>
          <w:rFonts w:ascii="Times New Roman"/>
        </w:rPr>
        <w:t>=</w:t>
      </w:r>
      <w:r>
        <w:rPr>
          <w:color w:val="auto"/>
          <w:spacing w:val="-16"/>
          <w:kern w:val="21"/>
          <w:szCs w:val="21"/>
          <w:rFonts w:ascii="Times New Roman"/>
        </w:rPr>
        <w:fldChar w:fldCharType="begin"/>
      </w:r>
      <w:r>
        <w:rPr>
          <w:color w:val="auto"/>
          <w:spacing w:val="-16"/>
          <w:kern w:val="21"/>
          <w:szCs w:val="21"/>
          <w:rFonts w:ascii="Times New Roman"/>
        </w:rPr>
        <w:instrText xml:space="preserve"> = 6 \* GB3 \* MERGEFORMAT </w:instrText>
      </w:r>
      <w:r>
        <w:rPr>
          <w:color w:val="auto"/>
          <w:spacing w:val="-16"/>
          <w:kern w:val="21"/>
          <w:szCs w:val="21"/>
          <w:rFonts w:ascii="Times New Roman"/>
        </w:rPr>
        <w:fldChar w:fldCharType="separate"/>
      </w:r>
      <w:r>
        <w:rPr>
          <w:color w:val="auto"/>
          <w:szCs w:val="21"/>
        </w:rPr>
        <w:t>⑥</w:t>
      </w:r>
      <w:r>
        <w:rPr>
          <w:color w:val="auto"/>
          <w:spacing w:val="-16"/>
          <w:kern w:val="21"/>
          <w:szCs w:val="21"/>
          <w:rFonts w:ascii="Times New Roman"/>
        </w:rPr>
        <w:fldChar w:fldCharType="end"/>
      </w:r>
      <w:r>
        <w:rPr>
          <w:color w:val="auto"/>
          <w:spacing w:val="-16"/>
          <w:kern w:val="21"/>
          <w:szCs w:val="21"/>
          <w:rFonts w:ascii="Times New Roman"/>
        </w:rPr>
        <w:t>-</w:t>
      </w:r>
      <w:r>
        <w:rPr>
          <w:color w:val="auto"/>
          <w:spacing w:val="-6"/>
          <w:kern w:val="21"/>
          <w:szCs w:val="21"/>
          <w:rFonts w:ascii="Times New Roman"/>
        </w:rPr>
        <w:fldChar w:fldCharType="begin"/>
      </w:r>
      <w:r>
        <w:rPr>
          <w:color w:val="auto"/>
          <w:spacing w:val="-6"/>
          <w:kern w:val="21"/>
          <w:szCs w:val="21"/>
          <w:rFonts w:ascii="Times New Roman"/>
        </w:rPr>
        <w:instrText xml:space="preserve"> = 1 \* GB3 \* MERGEFORMAT </w:instrText>
      </w:r>
      <w:r>
        <w:rPr>
          <w:color w:val="auto"/>
          <w:spacing w:val="-6"/>
          <w:kern w:val="21"/>
          <w:szCs w:val="21"/>
          <w:rFonts w:ascii="Times New Roman"/>
        </w:rPr>
        <w:fldChar w:fldCharType="separate"/>
      </w:r>
      <w:r>
        <w:rPr>
          <w:color w:val="auto"/>
          <w:szCs w:val="21"/>
        </w:rPr>
        <w:t>①</w:t>
      </w:r>
      <w:r>
        <w:rPr>
          <w:color w:val="auto"/>
          <w:spacing w:val="-6"/>
          <w:kern w:val="21"/>
          <w:szCs w:val="21"/>
          <w:rFonts w:ascii="Times New Roman"/>
        </w:rPr>
        <w:fldChar w:fldCharType="end"/>
      </w:r>
    </w:p>
    <w:p w14:paraId="0C917BEB">
      <w:pPr>
        <w:outlineLvl w:val="0"/>
        <w:rPr>
          <w:color w:val="auto"/>
          <w:sz w:val="24"/>
          <w:rFonts w:hAnsiTheme="minorEastAsia"/>
        </w:rPr>
      </w:pPr>
      <w:r>
        <w:rPr>
          <w:color w:val="auto"/>
          <w:sz w:val="24"/>
          <w:rFonts w:hAnsiTheme="minorEastAsia"/>
        </w:rPr>
        <w:t>附件</w:t>
      </w:r>
      <w:r>
        <w:rPr>
          <w:color w:val="auto"/>
          <w:sz w:val="24"/>
        </w:rPr>
        <w:t xml:space="preserve">1 </w:t>
      </w:r>
      <w:r>
        <w:rPr>
          <w:color w:val="auto"/>
          <w:sz w:val="24"/>
          <w:rFonts w:hAnsiTheme="minorEastAsia"/>
        </w:rPr>
        <w:t>营业执照</w:t>
      </w:r>
    </w:p>
    <w:p w14:paraId="6CAF47B9">
      <w:pPr>
        <w:pStyle w:val="9"/>
        <w:rPr>
          <w:color w:val="auto"/>
        </w:rPr>
      </w:pPr>
      <w:r>
        <w:rPr>
          <w:b w:val="1"/>
          <w:color w:val="auto"/>
          <w:sz w:val="32"/>
          <w:lang w:eastAsia="zh-CN"/>
          <w:bCs/>
          <w:szCs w:val="40"/>
          <w:rFonts w:hint="eastAsia"/>
        </w:rPr>
        <w:drawing>
          <wp:anchor distT="0" distB="0" distL="114300" distR="114300" simplePos="0" relativeHeight="251667456" behindDoc="0" locked="0" layoutInCell="1" allowOverlap="1">
            <wp:simplePos x="0" y="0"/>
            <wp:positionH relativeFrom="column">
              <wp:posOffset>-104140</wp:posOffset>
            </wp:positionH>
            <wp:positionV relativeFrom="paragraph">
              <wp:posOffset>163830</wp:posOffset>
            </wp:positionV>
            <wp:extent cx="5532755" cy="3021330"/>
            <wp:effectExtent l="0" t="0" r="10795" b="7620"/>
            <wp:wrapSquare wrapText="bothSides"/>
            <wp:docPr id="18" name="图片 818" descr="C:\Users\Administrator\Desktop\资质\2020营业执照（正本）.jpg2020营业执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18" descr="C:\Users\Administrator\Desktop\资质\2020营业执照（正本）.jpg2020营业执照（正本）"/>
                    <pic:cNvPicPr/>
                  </pic:nvPicPr>
                  <pic:blipFill>
                    <a:blip r:embed="rId22"/>
                    <a:stretch>
                      <a:fillRect/>
                    </a:stretch>
                  </pic:blipFill>
                  <pic:spPr>
                    <a:xfrm>
                      <a:off x="0" y="0"/>
                      <a:ext cx="5532755" cy="3021330"/>
                    </a:xfrm>
                    <a:prstGeom prst="rect">
                      <a:avLst/>
                    </a:prstGeom>
                    <a:noFill/>
                    <a:ln w="12700">
                      <a:noFill/>
                    </a:ln>
                  </pic:spPr>
                </pic:pic>
              </a:graphicData>
            </a:graphic>
          </wp:anchor>
        </w:drawing>
      </w:r>
    </w:p>
    <w:p w14:paraId="0304FF0F">
      <w:pPr>
        <w:pStyle w:val="9"/>
        <w:rPr>
          <w:color w:val="auto"/>
        </w:rPr>
      </w:pPr>
    </w:p>
    <w:p w14:paraId="31F5B1BB">
      <w:pPr>
        <w:rPr>
          <w:color w:val="auto"/>
          <w:sz w:val="24"/>
        </w:rPr>
        <w:sectPr>
          <w:headerReference r:id="rId20" w:type="default"/>
          <w:footerReference r:id="rId21" w:type="default"/>
          <w:docGrid w:type="lines" w:linePitch="312" w:charSpace="0"/>
          <w:pgSz w:w="11906" w:h="16838"/>
          <w:pgMar w:top="1440" w:right="1800" w:bottom="1440" w:left="1800" w:header="851" w:footer="992"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425" w:num="1"/>
        </w:sectPr>
      </w:pPr>
    </w:p>
    <w:p w14:paraId="2D8B7230">
      <w:pPr>
        <w:outlineLvl w:val="0"/>
        <w:rPr>
          <w:color w:val="auto"/>
          <w:sz w:val="24"/>
          <w:lang w:val="en-US" w:eastAsia="zh-CN"/>
          <w:rFonts w:eastAsia="宋体" w:hint="default"/>
        </w:rPr>
      </w:pPr>
      <w:r>
        <w:rPr>
          <w:color w:val="auto"/>
          <w:sz w:val="24"/>
          <w:rFonts w:hAnsiTheme="minorEastAsia"/>
        </w:rPr>
        <w:t>附件</w:t>
      </w:r>
      <w:r>
        <w:rPr>
          <w:color w:val="auto"/>
          <w:sz w:val="24"/>
        </w:rPr>
        <w:t xml:space="preserve">2 </w:t>
      </w:r>
      <w:r>
        <w:rPr>
          <w:color w:val="auto"/>
          <w:sz w:val="24"/>
          <w:lang w:val="en-US" w:eastAsia="zh-CN"/>
          <w:rFonts w:hint="eastAsia"/>
        </w:rPr>
        <w:t>临时用地手续</w:t>
      </w:r>
    </w:p>
    <w:p w14:paraId="22FCA1B5">
      <w:pPr>
        <w:rPr>
          <w:color w:val="auto"/>
          <w:sz w:val="24"/>
        </w:rPr>
      </w:pPr>
      <w:r>
        <w:rPr>
          <w:color w:val="auto"/>
        </w:rPr>
        <w:drawing>
          <wp:anchor distT="0" distB="0" distL="114300" distR="114300" simplePos="0" relativeHeight="251666432" behindDoc="0" locked="0" layoutInCell="1" allowOverlap="1">
            <wp:simplePos x="0" y="0"/>
            <wp:positionH relativeFrom="column">
              <wp:posOffset>-99695</wp:posOffset>
            </wp:positionH>
            <wp:positionV relativeFrom="paragraph">
              <wp:posOffset>104775</wp:posOffset>
            </wp:positionV>
            <wp:extent cx="5877560" cy="7234555"/>
            <wp:effectExtent l="0" t="0" r="8890" b="4445"/>
            <wp:wrapSquare wrapText="bothSides"/>
            <wp:docPr id="19"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16"/>
                    <pic:cNvPicPr/>
                  </pic:nvPicPr>
                  <pic:blipFill>
                    <a:blip r:embed="rId23"/>
                    <a:stretch>
                      <a:fillRect/>
                    </a:stretch>
                  </pic:blipFill>
                  <pic:spPr>
                    <a:xfrm>
                      <a:off x="0" y="0"/>
                      <a:ext cx="5877560" cy="7234555"/>
                    </a:xfrm>
                    <a:prstGeom prst="rect">
                      <a:avLst/>
                    </a:prstGeom>
                    <a:noFill/>
                    <a:ln w="12700">
                      <a:noFill/>
                    </a:ln>
                  </pic:spPr>
                </pic:pic>
              </a:graphicData>
            </a:graphic>
          </wp:anchor>
        </w:drawing>
      </w:r>
    </w:p>
    <w:p w14:paraId="382F6628">
      <w:pPr>
        <w:rPr>
          <w:color w:val="auto"/>
          <w:sz w:val="24"/>
        </w:rPr>
      </w:pPr>
    </w:p>
    <w:p w14:paraId="1ACCC2A7">
      <w:pPr>
        <w:rPr>
          <w:color w:val="auto"/>
          <w:sz w:val="24"/>
        </w:rPr>
      </w:pPr>
    </w:p>
    <w:p w14:paraId="19DD2D35">
      <w:pPr>
        <w:rPr>
          <w:color w:val="auto"/>
          <w:sz w:val="24"/>
        </w:rPr>
      </w:pPr>
    </w:p>
    <w:p w14:paraId="7F934CAA">
      <w:pPr>
        <w:rPr>
          <w:color w:val="auto"/>
          <w:sz w:val="24"/>
        </w:rPr>
      </w:pPr>
    </w:p>
    <w:p w14:paraId="4B8BA0E2">
      <w:pPr>
        <w:rPr>
          <w:color w:val="auto"/>
          <w:sz w:val="24"/>
        </w:rPr>
      </w:pPr>
    </w:p>
    <w:p w14:paraId="5C90BFD4">
      <w:pPr>
        <w:rPr>
          <w:color w:val="auto"/>
          <w:sz w:val="24"/>
        </w:rPr>
        <w:sectPr>
          <w:docGrid w:type="lines" w:linePitch="312" w:charSpace="0"/>
          <w:pgSz w:w="11906" w:h="16838"/>
          <w:pgMar w:top="1440" w:right="1800" w:bottom="1440" w:left="1800" w:header="851" w:footer="992"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425" w:num="1"/>
        </w:sectPr>
      </w:pPr>
    </w:p>
    <w:p w14:paraId="76DAEA14">
      <w:pPr>
        <w:outlineLvl w:val="0"/>
        <w:rPr>
          <w:color w:val="auto"/>
          <w:sz w:val="24"/>
        </w:rPr>
      </w:pPr>
      <w:r>
        <w:rPr>
          <w:color w:val="auto"/>
          <w:sz w:val="24"/>
          <w:rFonts w:hAnsiTheme="minorEastAsia"/>
        </w:rPr>
        <w:t>附件</w:t>
      </w:r>
      <w:r>
        <w:rPr>
          <w:color w:val="auto"/>
          <w:sz w:val="24"/>
          <w:lang w:val="en-US" w:eastAsia="zh-CN"/>
          <w:rFonts w:hint="eastAsia"/>
        </w:rPr>
        <w:t>3</w:t>
      </w:r>
      <w:r>
        <w:rPr>
          <w:color w:val="auto"/>
          <w:sz w:val="24"/>
        </w:rPr>
        <w:t xml:space="preserve"> </w:t>
      </w:r>
      <w:r>
        <w:rPr>
          <w:color w:val="auto"/>
          <w:sz w:val="24"/>
          <w:rFonts w:hint="eastAsia" w:hAnsiTheme="minorEastAsia"/>
        </w:rPr>
        <w:t>燃料</w:t>
      </w:r>
      <w:r>
        <w:rPr>
          <w:color w:val="auto"/>
          <w:sz w:val="24"/>
          <w:rFonts w:hAnsiTheme="minorEastAsia"/>
        </w:rPr>
        <w:t>分析报告</w:t>
      </w:r>
    </w:p>
    <w:p w14:paraId="7D260E55">
      <w:pPr>
        <w:rPr>
          <w:color w:val="auto"/>
          <w:sz w:val="24"/>
        </w:rPr>
      </w:pPr>
      <w:r>
        <w:rPr>
          <w:color w:val="auto"/>
        </w:rPr>
        <w:drawing>
          <wp:inline distT="0" distB="0" distL="0" distR="0">
            <wp:extent cx="5274310" cy="7800340"/>
            <wp:effectExtent l="19050" t="0" r="2540" b="0"/>
            <wp:docPr id="20" name="图片 1" descr="f2b840a08c2e6cbf33e6ae10c71f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f2b840a08c2e6cbf33e6ae10c71fd27"/>
                    <pic:cNvPicPr/>
                  </pic:nvPicPr>
                  <pic:blipFill>
                    <a:blip r:embed="rId24"/>
                    <a:srcRect t="13625" r="8838" b="10573"/>
                    <a:stretch>
                      <a:fillRect/>
                    </a:stretch>
                  </pic:blipFill>
                  <pic:spPr>
                    <a:xfrm>
                      <a:off x="0" y="0"/>
                      <a:ext cx="5274310" cy="7800885"/>
                    </a:xfrm>
                    <a:prstGeom prst="rect">
                      <a:avLst/>
                    </a:prstGeom>
                    <a:noFill/>
                    <a:ln w="9525">
                      <a:noFill/>
                      <a:miter lim="800000"/>
                    </a:ln>
                  </pic:spPr>
                </pic:pic>
              </a:graphicData>
            </a:graphic>
          </wp:inline>
        </w:drawing>
      </w:r>
    </w:p>
    <w:p w14:paraId="20061DA0">
      <w:pPr>
        <w:rPr>
          <w:color w:val="auto"/>
          <w:sz w:val="24"/>
        </w:rPr>
      </w:pPr>
    </w:p>
    <w:p w14:paraId="15AE5460">
      <w:pPr>
        <w:rPr>
          <w:color w:val="auto"/>
          <w:sz w:val="24"/>
        </w:rPr>
      </w:pPr>
    </w:p>
    <w:p w14:paraId="76E6FF38">
      <w:pPr>
        <w:rPr>
          <w:color w:val="auto"/>
          <w:sz w:val="24"/>
        </w:rPr>
      </w:pPr>
    </w:p>
    <w:p w14:paraId="532FB6F9">
      <w:pPr>
        <w:outlineLvl w:val="0"/>
        <w:rPr>
          <w:color w:val="auto"/>
          <w:sz w:val="24"/>
        </w:rPr>
      </w:pPr>
      <w:r>
        <w:rPr>
          <w:color w:val="auto"/>
          <w:sz w:val="24"/>
          <w:rFonts w:hAnsiTheme="minorEastAsia"/>
        </w:rPr>
        <w:t>附件</w:t>
      </w:r>
      <w:r>
        <w:rPr>
          <w:color w:val="auto"/>
          <w:sz w:val="24"/>
          <w:lang w:val="en-US" w:eastAsia="zh-CN"/>
          <w:rFonts w:hint="eastAsia"/>
        </w:rPr>
        <w:t>4</w:t>
      </w:r>
      <w:r>
        <w:rPr>
          <w:color w:val="auto"/>
          <w:sz w:val="24"/>
        </w:rPr>
        <w:t xml:space="preserve"> </w:t>
      </w:r>
      <w:r>
        <w:rPr>
          <w:color w:val="auto"/>
          <w:sz w:val="24"/>
          <w:rFonts w:hint="eastAsia" w:hAnsiTheme="minorEastAsia"/>
        </w:rPr>
        <w:t>现状检测</w:t>
      </w:r>
      <w:r>
        <w:rPr>
          <w:color w:val="auto"/>
          <w:sz w:val="24"/>
          <w:rFonts w:hAnsiTheme="minorEastAsia"/>
        </w:rPr>
        <w:t>报告</w:t>
      </w:r>
    </w:p>
    <w:p w14:paraId="1E3A038E">
      <w:pPr>
        <w:rPr>
          <w:color w:val="auto"/>
          <w:sz w:val="24"/>
        </w:rPr>
      </w:pPr>
    </w:p>
    <w:p w14:paraId="544D2FCA">
      <w:pPr>
        <w:rPr>
          <w:color w:val="auto"/>
          <w:sz w:val="24"/>
        </w:rPr>
      </w:pPr>
    </w:p>
    <w:p w14:paraId="443D4FD7">
      <w:pPr>
        <w:rPr>
          <w:color w:val="auto"/>
          <w:sz w:val="24"/>
        </w:rPr>
      </w:pPr>
    </w:p>
    <w:p w14:paraId="1B01E0C6">
      <w:pPr>
        <w:rPr>
          <w:color w:val="auto"/>
          <w:sz w:val="24"/>
        </w:rPr>
      </w:pPr>
    </w:p>
    <w:p w14:paraId="1D2BA1A7">
      <w:pPr>
        <w:rPr>
          <w:color w:val="auto"/>
          <w:sz w:val="24"/>
        </w:rPr>
      </w:pPr>
    </w:p>
    <w:p w14:paraId="66ED2228">
      <w:pPr>
        <w:rPr>
          <w:color w:val="auto"/>
          <w:sz w:val="24"/>
        </w:rPr>
      </w:pPr>
    </w:p>
    <w:p w14:paraId="5427C156">
      <w:pPr>
        <w:rPr>
          <w:color w:val="auto"/>
          <w:sz w:val="24"/>
        </w:rPr>
      </w:pPr>
    </w:p>
    <w:p w14:paraId="78E7D3CC">
      <w:pPr>
        <w:rPr>
          <w:color w:val="auto"/>
          <w:sz w:val="24"/>
        </w:rPr>
      </w:pPr>
    </w:p>
    <w:p w14:paraId="6A47E6A0">
      <w:pPr>
        <w:rPr>
          <w:color w:val="auto"/>
          <w:sz w:val="24"/>
        </w:rPr>
      </w:pPr>
    </w:p>
    <w:p w14:paraId="4E459C53">
      <w:pPr>
        <w:rPr>
          <w:color w:val="auto"/>
          <w:sz w:val="24"/>
        </w:rPr>
      </w:pPr>
    </w:p>
    <w:p w14:paraId="61A501F6">
      <w:pPr>
        <w:rPr>
          <w:color w:val="auto"/>
          <w:sz w:val="24"/>
        </w:rPr>
      </w:pPr>
    </w:p>
    <w:p w14:paraId="095DC629">
      <w:pPr>
        <w:rPr>
          <w:color w:val="auto"/>
          <w:sz w:val="24"/>
        </w:rPr>
      </w:pPr>
    </w:p>
    <w:p w14:paraId="2C173C0E">
      <w:pPr>
        <w:rPr>
          <w:color w:val="auto"/>
          <w:sz w:val="24"/>
        </w:rPr>
      </w:pPr>
    </w:p>
    <w:p w14:paraId="0BB2D697">
      <w:pPr>
        <w:rPr>
          <w:color w:val="auto"/>
          <w:sz w:val="24"/>
        </w:rPr>
      </w:pPr>
    </w:p>
    <w:p w14:paraId="7B9A85E8">
      <w:pPr>
        <w:rPr>
          <w:color w:val="auto"/>
          <w:sz w:val="24"/>
        </w:rPr>
      </w:pPr>
    </w:p>
    <w:p w14:paraId="08E41817">
      <w:pPr>
        <w:rPr>
          <w:color w:val="auto"/>
          <w:sz w:val="24"/>
        </w:rPr>
      </w:pPr>
    </w:p>
    <w:p w14:paraId="13D397B6">
      <w:pPr>
        <w:rPr>
          <w:color w:val="auto"/>
          <w:sz w:val="24"/>
        </w:rPr>
      </w:pPr>
    </w:p>
    <w:p w14:paraId="10C3B0CC">
      <w:pPr>
        <w:rPr>
          <w:color w:val="auto"/>
          <w:sz w:val="24"/>
        </w:rPr>
      </w:pPr>
    </w:p>
    <w:p w14:paraId="5A4F41B4">
      <w:pPr>
        <w:rPr>
          <w:color w:val="auto"/>
          <w:sz w:val="24"/>
        </w:rPr>
      </w:pPr>
    </w:p>
    <w:p w14:paraId="4D6DB2C1">
      <w:pPr>
        <w:rPr>
          <w:color w:val="auto"/>
          <w:sz w:val="24"/>
        </w:rPr>
      </w:pPr>
    </w:p>
    <w:p w14:paraId="5F8E48E1">
      <w:pPr>
        <w:rPr>
          <w:color w:val="auto"/>
          <w:sz w:val="24"/>
        </w:rPr>
      </w:pPr>
    </w:p>
    <w:p w14:paraId="4B783668">
      <w:pPr>
        <w:rPr>
          <w:color w:val="auto"/>
          <w:sz w:val="24"/>
        </w:rPr>
      </w:pPr>
    </w:p>
    <w:p w14:paraId="49531CEF">
      <w:pPr>
        <w:rPr>
          <w:color w:val="auto"/>
          <w:sz w:val="24"/>
        </w:rPr>
      </w:pPr>
    </w:p>
    <w:p w14:paraId="17BA3663">
      <w:pPr>
        <w:rPr>
          <w:color w:val="auto"/>
          <w:sz w:val="24"/>
        </w:rPr>
      </w:pPr>
    </w:p>
    <w:p w14:paraId="036B49D3">
      <w:pPr>
        <w:rPr>
          <w:color w:val="auto"/>
          <w:sz w:val="24"/>
        </w:rPr>
      </w:pPr>
    </w:p>
    <w:p w14:paraId="58366A5E">
      <w:pPr>
        <w:rPr>
          <w:color w:val="auto"/>
          <w:sz w:val="24"/>
        </w:rPr>
      </w:pPr>
    </w:p>
    <w:p w14:paraId="7577919D">
      <w:pPr>
        <w:rPr>
          <w:color w:val="auto"/>
          <w:sz w:val="24"/>
        </w:rPr>
      </w:pPr>
    </w:p>
    <w:p w14:paraId="0087E8A2">
      <w:pPr>
        <w:rPr>
          <w:color w:val="auto"/>
          <w:sz w:val="24"/>
        </w:rPr>
      </w:pPr>
    </w:p>
    <w:p w14:paraId="1CD6854A">
      <w:pPr>
        <w:rPr>
          <w:color w:val="auto"/>
          <w:sz w:val="24"/>
        </w:rPr>
      </w:pPr>
    </w:p>
    <w:p w14:paraId="18CF669D">
      <w:pPr>
        <w:rPr>
          <w:color w:val="auto"/>
          <w:sz w:val="24"/>
        </w:rPr>
      </w:pPr>
    </w:p>
    <w:p w14:paraId="581C91B6">
      <w:pPr>
        <w:rPr>
          <w:color w:val="auto"/>
          <w:sz w:val="24"/>
        </w:rPr>
      </w:pPr>
    </w:p>
    <w:p w14:paraId="6A37E4ED">
      <w:pPr>
        <w:rPr>
          <w:color w:val="auto"/>
          <w:sz w:val="24"/>
        </w:rPr>
      </w:pPr>
    </w:p>
    <w:p w14:paraId="67DDE3F9">
      <w:pPr>
        <w:rPr>
          <w:color w:val="auto"/>
          <w:sz w:val="24"/>
        </w:rPr>
      </w:pPr>
    </w:p>
    <w:p w14:paraId="7F0577FB">
      <w:pPr>
        <w:rPr>
          <w:color w:val="auto"/>
          <w:sz w:val="24"/>
        </w:rPr>
      </w:pPr>
    </w:p>
    <w:p w14:paraId="5BC247C4">
      <w:pPr>
        <w:rPr>
          <w:color w:val="auto"/>
          <w:sz w:val="24"/>
        </w:rPr>
      </w:pPr>
    </w:p>
    <w:p w14:paraId="367CF35D">
      <w:pPr>
        <w:rPr>
          <w:color w:val="auto"/>
          <w:sz w:val="24"/>
        </w:rPr>
      </w:pPr>
    </w:p>
    <w:p w14:paraId="7817FA98">
      <w:pPr>
        <w:rPr>
          <w:color w:val="auto"/>
          <w:sz w:val="24"/>
        </w:rPr>
      </w:pPr>
    </w:p>
    <w:p w14:paraId="04A77297">
      <w:pPr>
        <w:rPr>
          <w:color w:val="auto"/>
          <w:sz w:val="24"/>
        </w:rPr>
      </w:pPr>
    </w:p>
    <w:p w14:paraId="2F5373F2">
      <w:pPr>
        <w:rPr>
          <w:color w:val="auto"/>
          <w:sz w:val="24"/>
        </w:rPr>
      </w:pPr>
    </w:p>
    <w:p w14:paraId="5D8AD5E7">
      <w:pPr>
        <w:rPr>
          <w:color w:val="auto"/>
          <w:sz w:val="24"/>
        </w:rPr>
      </w:pPr>
    </w:p>
    <w:p w14:paraId="31C97735">
      <w:pPr>
        <w:rPr>
          <w:color w:val="auto"/>
          <w:sz w:val="24"/>
        </w:rPr>
      </w:pPr>
    </w:p>
    <w:p w14:paraId="1C6ECAA8">
      <w:pPr>
        <w:rPr>
          <w:color w:val="auto"/>
          <w:sz w:val="24"/>
        </w:rPr>
      </w:pPr>
    </w:p>
    <w:p w14:paraId="78871B77">
      <w:pPr>
        <w:rPr>
          <w:color w:val="auto"/>
          <w:sz w:val="24"/>
        </w:rPr>
      </w:pPr>
    </w:p>
    <w:p w14:paraId="02F41E8E">
      <w:pPr>
        <w:rPr>
          <w:color w:val="auto"/>
          <w:sz w:val="24"/>
        </w:rPr>
        <w:sectPr>
          <w:docGrid w:type="lines" w:linePitch="312" w:charSpace="0"/>
          <w:pgSz w:w="11906" w:h="16838"/>
          <w:pgMar w:top="1440" w:right="1800" w:bottom="1440" w:left="1800" w:header="851" w:footer="992"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425" w:num="1"/>
        </w:sectPr>
      </w:pPr>
    </w:p>
    <w:p w14:paraId="5A4DA6F7">
      <w:pPr>
        <w:jc w:val="center"/>
        <w:rPr>
          <w:color w:val="auto"/>
        </w:rPr>
      </w:pPr>
      <w:r>
        <w:rPr>
          <w:color w:val="auto"/>
          <w:sz w:val="21"/>
        </w:rPr>
        <w:drawing>
          <wp:anchor distT="0" distB="0" distL="0" distR="0" relativeHeight="251673600" behindDoc="0" allowOverlap="1" locked="0" layoutInCell="1" simplePos="0">
            <wp:simplePos x="0" y="0"/>
            <wp:positionH relativeFrom="column">
              <wp:posOffset>3324225</wp:posOffset>
            </wp:positionH>
            <wp:positionV relativeFrom="paragraph">
              <wp:posOffset>1775460</wp:posOffset>
            </wp:positionV>
            <wp:extent cx="1019175" cy="352425"/>
            <wp:wrapNone/>
            <wp:docPr id="21" name="_x0000_s2290"/>
            <a:graphic xmlns:a="http://schemas.openxmlformats.org/drawingml/2006/main">
              <a:graphicData uri="http://schemas.openxmlformats.org/drawingml/2006/picture">
                <wps:wsp>
                  <wps:cNvSpPr/>
                  <wps:spPr>
                    <a:xfrm>
                      <a:off x="0" y="0"/>
                      <a:ext cx="1019175" cy="352425"/>
                    </a:xfrm>
                    <a:prstGeom prst="wedgeRectCallout">
                      <a:avLst/>
                    </a:prstGeom>
                    <a:solidFill>
                      <a:srgbClr val="FFFFFF"/>
                    </a:solidFill>
                    <a:ln w="12700">
                      <a:solidFill>
                        <a:srgbClr val="000000"/>
                      </a:solidFill>
                    </a:ln>
                  </wps:spPr>
                  <wps:txbx>
                    <w:txbxContent>
                      <w:p w14:paraId="2898A3A8">
                        <w:pPr>
                          <w:rPr>
                            <w:lang w:val="en-US" w:eastAsia="zh-CN"/>
                            <w:rFonts w:eastAsia="宋体" w:hint="default"/>
                          </w:rPr>
                        </w:pPr>
                        <w:r>
                          <w:rPr>
                            <w:lang w:val="en-US" w:eastAsia="zh-CN"/>
                            <w:rFonts w:hint="eastAsia"/>
                          </w:rPr>
                          <w:t>本项目</w:t>
                        </w:r>
                      </w:p>
                    </w:txbxContent>
                  </wps:txbx>
                  <wps:bodyPr rot="0" vert="horz" wrap="square" lIns="91440" tIns="45720" rIns="91440" bIns="45720" anchor="t" anchorCtr="0"/>
                </wps:wsp>
              </a:graphicData>
            </a:graphic>
          </wp:anchor>
        </w:drawing>
      </w:r>
      <w:r>
        <w:rPr>
          <w:b w:val="1"/>
          <w:color w:val="auto"/>
          <w:lang w:eastAsia="zh-CN"/>
          <w:bCs/>
          <w:rFonts w:ascii="华文中宋" w:hAnsi="华文中宋" w:eastAsia="华文中宋" w:cs="华文中宋" w:hint="eastAsia"/>
        </w:rPr>
        <w:drawing>
          <wp:anchor distT="0" distB="0" distL="114300" distR="114300" simplePos="0" relativeHeight="251674624" behindDoc="0" locked="0" layoutInCell="1" allowOverlap="1">
            <wp:simplePos x="0" y="0"/>
            <wp:positionH relativeFrom="column">
              <wp:posOffset>4912995</wp:posOffset>
            </wp:positionH>
            <wp:positionV relativeFrom="paragraph">
              <wp:posOffset>92710</wp:posOffset>
            </wp:positionV>
            <wp:extent cx="790575" cy="757555"/>
            <wp:effectExtent l="0" t="0" r="9525" b="4445"/>
            <wp:wrapNone/>
            <wp:docPr id="22" name="图片 23" descr="17136895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3689577780"/>
                    <pic:cNvPicPr/>
                  </pic:nvPicPr>
                  <pic:blipFill>
                    <a:blip r:embed="rId25"/>
                    <a:stretch>
                      <a:fillRect/>
                    </a:stretch>
                  </pic:blipFill>
                  <pic:spPr>
                    <a:xfrm>
                      <a:off x="0" y="0"/>
                      <a:ext cx="790575" cy="757555"/>
                    </a:xfrm>
                    <a:prstGeom prst="rect">
                      <a:avLst/>
                    </a:prstGeom>
                    <a:noFill/>
                    <a:ln w="12700">
                      <a:noFill/>
                    </a:ln>
                  </pic:spPr>
                </pic:pic>
              </a:graphicData>
            </a:graphic>
          </wp:anchor>
        </w:drawing>
      </w:r>
      <w:r>
        <w:rPr>
          <w:color w:val="auto"/>
        </w:rPr>
        <w:drawing>
          <wp:inline distT="0" distB="0" distL="114300" distR="114300">
            <wp:extent cx="5487035" cy="5692775"/>
            <wp:effectExtent l="0" t="0" r="18415" b="3175"/>
            <wp:docPr id="23" name="图片 7" descr="173009288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0092880248"/>
                    <pic:cNvPicPr/>
                  </pic:nvPicPr>
                  <pic:blipFill>
                    <a:blip r:embed="rId26"/>
                    <a:stretch>
                      <a:fillRect/>
                    </a:stretch>
                  </pic:blipFill>
                  <pic:spPr>
                    <a:xfrm>
                      <a:off x="0" y="0"/>
                      <a:ext cx="5487035" cy="5692775"/>
                    </a:xfrm>
                    <a:prstGeom prst="rect">
                      <a:avLst/>
                    </a:prstGeom>
                  </pic:spPr>
                </pic:pic>
              </a:graphicData>
            </a:graphic>
          </wp:inline>
        </w:drawing>
      </w:r>
    </w:p>
    <w:p w14:paraId="50DE1FBE">
      <w:pPr>
        <w:jc w:val="center"/>
        <w:spacing w:line="360" w:lineRule="auto"/>
        <w:rPr>
          <w:b w:val="1"/>
          <w:color w:val="auto"/>
          <w:sz w:val="24"/>
        </w:rPr>
        <w:sectPr>
          <w:docGrid w:type="lines" w:linePitch="319" w:charSpace="0"/>
          <w:pgSz w:w="11906" w:h="16838"/>
          <w:pgMar w:top="1440" w:right="1236" w:bottom="1440" w:left="1236" w:header="851" w:footer="992"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0" w:num="1"/>
        </w:sectPr>
      </w:pPr>
      <w:r>
        <w:rPr>
          <w:b w:val="1"/>
          <w:color w:val="auto"/>
          <w:sz w:val="24"/>
        </w:rPr>
        <w:t>附图1 项目地理位置图</w:t>
      </w:r>
    </w:p>
    <w:p w14:paraId="448A1B78">
      <w:pPr>
        <w:jc w:val="center"/>
        <w:spacing w:line="360" w:lineRule="auto"/>
        <w:rPr>
          <w:color w:val="auto"/>
          <w:sz w:val="24"/>
          <w:lang w:eastAsia="zh-CN"/>
          <w:rFonts w:eastAsia="宋体" w:hint="eastAsia"/>
        </w:rPr>
      </w:pPr>
      <w:r>
        <w:rPr>
          <w:color w:val="auto"/>
          <w:sz w:val="24"/>
          <w:lang w:eastAsia="zh-CN"/>
          <w:rFonts w:eastAsia="宋体" w:hint="eastAsia"/>
        </w:rPr>
        <w:drawing>
          <wp:anchor distT="0" distB="0" distL="114300" distR="114300" simplePos="0" relativeHeight="251672576" behindDoc="0" locked="0" layoutInCell="1" allowOverlap="1">
            <wp:simplePos x="0" y="0"/>
            <wp:positionH relativeFrom="column">
              <wp:posOffset>2193290</wp:posOffset>
            </wp:positionH>
            <wp:positionV relativeFrom="paragraph">
              <wp:posOffset>812800</wp:posOffset>
            </wp:positionV>
            <wp:extent cx="238125" cy="200025"/>
            <wp:effectExtent l="0" t="0" r="9525" b="9525"/>
            <wp:wrapNone/>
            <wp:docPr id="24" name="图片 22" descr="173009712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0097128890"/>
                    <pic:cNvPicPr/>
                  </pic:nvPicPr>
                  <pic:blipFill>
                    <a:blip r:embed="rId27"/>
                    <a:stretch>
                      <a:fillRect/>
                    </a:stretch>
                  </pic:blipFill>
                  <pic:spPr>
                    <a:xfrm>
                      <a:off x="0" y="0"/>
                      <a:ext cx="238125" cy="200025"/>
                    </a:xfrm>
                    <a:prstGeom prst="rect">
                      <a:avLst/>
                    </a:prstGeom>
                  </pic:spPr>
                </pic:pic>
              </a:graphicData>
            </a:graphic>
          </wp:anchor>
        </w:drawing>
      </w:r>
      <w:r>
        <w:rPr>
          <w:color w:val="auto"/>
          <w:sz w:val="24"/>
        </w:rPr>
        <w:drawing>
          <wp:anchor distT="0" distB="0" distL="0" distR="0" relativeHeight="251672576" behindDoc="0" allowOverlap="1" locked="0" layoutInCell="1" simplePos="0">
            <wp:simplePos x="0" y="0"/>
            <wp:positionH relativeFrom="column">
              <wp:posOffset>2331720</wp:posOffset>
            </wp:positionH>
            <wp:positionV relativeFrom="paragraph">
              <wp:posOffset>693420</wp:posOffset>
            </wp:positionV>
            <wp:extent cx="409575" cy="733425"/>
            <wp:wrapNone/>
            <wp:docPr id="25" name="_x0000_s2288"/>
            <a:graphic xmlns:a="http://schemas.openxmlformats.org/drawingml/2006/main">
              <a:graphicData uri="http://schemas.openxmlformats.org/drawingml/2006/picture">
                <wps:wsp>
                  <wps:cNvSpPr/>
                  <wps:spPr>
                    <a:xfrm flipV="1" flipH="1">
                      <a:off x="0" y="0"/>
                      <a:ext cx="409575" cy="733425"/>
                    </a:xfrm>
                    <a:prstGeom prst="line">
                      <a:avLst/>
                    </a:prstGeom>
                    <a:solidFill>
                      <a:srgbClr val="FFFFFF"/>
                    </a:solidFill>
                    <a:ln w="12700">
                      <a:solidFill>
                        <a:srgbClr val="000000"/>
                      </a:solidFill>
                      <a:tailEnd type="arrow" len="med" w="med"/>
                    </a:ln>
                  </wps:spPr>
                  <wps:bodyPr rot="0" vert="horz" wrap="square" lIns="91440" tIns="45720" rIns="91440" bIns="45720" anchor="t" anchorCtr="0"/>
                </wps:wsp>
              </a:graphicData>
            </a:graphic>
          </wp:anchor>
        </w:drawing>
      </w:r>
      <w:r>
        <w:rPr>
          <w:color w:val="auto"/>
          <w:sz w:val="24"/>
          <w:lang w:eastAsia="zh-CN"/>
          <w:rFonts w:eastAsia="宋体" w:hint="eastAsia"/>
        </w:rPr>
        <w:drawing>
          <wp:inline distT="0" distB="0" distL="114300" distR="114300">
            <wp:extent cx="5877560" cy="5579745"/>
            <wp:effectExtent l="0" t="0" r="8890" b="1905"/>
            <wp:docPr id="26" name="图片 21" descr="173009705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0097051407"/>
                    <pic:cNvPicPr/>
                  </pic:nvPicPr>
                  <pic:blipFill>
                    <a:blip r:embed="rId28"/>
                    <a:stretch>
                      <a:fillRect/>
                    </a:stretch>
                  </pic:blipFill>
                  <pic:spPr>
                    <a:xfrm>
                      <a:off x="0" y="0"/>
                      <a:ext cx="5877560" cy="5579745"/>
                    </a:xfrm>
                    <a:prstGeom prst="rect">
                      <a:avLst/>
                    </a:prstGeom>
                  </pic:spPr>
                </pic:pic>
              </a:graphicData>
            </a:graphic>
          </wp:inline>
        </w:drawing>
      </w:r>
    </w:p>
    <w:p w14:paraId="588D2988">
      <w:pPr>
        <w:jc w:val="center"/>
        <w:spacing w:line="360" w:lineRule="auto"/>
        <w:rPr>
          <w:b w:val="1"/>
          <w:color w:val="auto"/>
          <w:sz w:val="24"/>
        </w:rPr>
      </w:pPr>
      <w:r>
        <w:rPr>
          <w:b w:val="1"/>
          <w:color w:val="auto"/>
          <w:sz w:val="24"/>
          <w:rFonts w:hint="eastAsia"/>
        </w:rPr>
        <w:t>附图2项目平面布置图</w:t>
      </w:r>
    </w:p>
    <w:p w14:paraId="1275D6E2">
      <w:pPr>
        <w:spacing w:line="360" w:lineRule="auto"/>
        <w:rPr>
          <w:color w:val="auto"/>
          <w:sz w:val="24"/>
        </w:rPr>
        <w:sectPr>
          <w:docGrid w:type="lines" w:linePitch="319" w:charSpace="0"/>
          <w:pgSz w:w="16838" w:h="11906" w:orient="landscape"/>
          <w:pgMar w:top="1236" w:right="1440" w:bottom="1236" w:left="1440" w:header="851" w:footer="992"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0" w:num="1"/>
        </w:sectPr>
      </w:pPr>
    </w:p>
    <w:p w14:paraId="43479534">
      <w:pPr>
        <w:jc w:val="left"/>
        <w:spacing w:line="360" w:lineRule="auto"/>
        <w:rPr>
          <w:b w:val="1"/>
          <w:color w:val="auto"/>
          <w:sz w:val="24"/>
        </w:rPr>
      </w:pPr>
      <w:r>
        <w:rPr>
          <w:b w:val="1"/>
          <w:color w:val="auto"/>
          <w:sz w:val="24"/>
          <w:rFonts w:hint="eastAsia"/>
        </w:rPr>
        <w:t xml:space="preserve">             </w:t>
      </w:r>
      <w:r>
        <w:rPr>
          <w:color w:val="auto"/>
          <w:lang w:val="en-US" w:eastAsia="zh-CN"/>
          <w:rFonts w:hint="eastAsia"/>
        </w:rPr>
        <w:drawing>
          <wp:anchor distT="0" distB="0" distL="114300" distR="114300" simplePos="0" relativeHeight="251668480" behindDoc="0" locked="0" layoutInCell="1" allowOverlap="1">
            <wp:simplePos x="0" y="0"/>
            <wp:positionH relativeFrom="column">
              <wp:posOffset>92075</wp:posOffset>
            </wp:positionH>
            <wp:positionV relativeFrom="paragraph">
              <wp:posOffset>205105</wp:posOffset>
            </wp:positionV>
            <wp:extent cx="2741295" cy="1824990"/>
            <wp:effectExtent l="0" t="0" r="1905" b="3810"/>
            <wp:wrapSquare wrapText="bothSides"/>
            <wp:docPr id="27" name="图片 819" descr="IMG_20240326_075100776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19" descr="IMG_20240326_075100776_original"/>
                    <pic:cNvPicPr/>
                  </pic:nvPicPr>
                  <pic:blipFill>
                    <a:blip r:embed="rId29"/>
                    <a:stretch>
                      <a:fillRect/>
                    </a:stretch>
                  </pic:blipFill>
                  <pic:spPr>
                    <a:xfrm>
                      <a:off x="0" y="0"/>
                      <a:ext cx="2741295" cy="1824990"/>
                    </a:xfrm>
                    <a:prstGeom prst="rect">
                      <a:avLst/>
                    </a:prstGeom>
                    <a:noFill/>
                    <a:ln w="12700">
                      <a:noFill/>
                    </a:ln>
                  </pic:spPr>
                </pic:pic>
              </a:graphicData>
            </a:graphic>
          </wp:anchor>
        </w:drawing>
      </w:r>
    </w:p>
    <w:p w14:paraId="553B7494">
      <w:pPr>
        <w:jc w:val="left"/>
        <w:spacing w:line="360" w:lineRule="auto"/>
        <w:rPr>
          <w:color w:val="auto"/>
          <w:sz w:val="24"/>
          <w:bCs/>
          <w:kern w:val="0"/>
          <w:szCs w:val="21"/>
          <w:rFonts w:hint="eastAsia"/>
        </w:rPr>
      </w:pPr>
      <w:r>
        <w:rPr>
          <w:color w:val="auto"/>
          <w:lang w:val="en-US" w:eastAsia="zh-CN"/>
          <w:rFonts w:hint="eastAsia"/>
        </w:rPr>
        <w:drawing>
          <wp:anchor distT="0" distB="0" distL="114300" distR="114300" simplePos="0" relativeHeight="251669504" behindDoc="0" locked="0" layoutInCell="1" allowOverlap="1">
            <wp:simplePos x="0" y="0"/>
            <wp:positionH relativeFrom="column">
              <wp:posOffset>1355090</wp:posOffset>
            </wp:positionH>
            <wp:positionV relativeFrom="paragraph">
              <wp:posOffset>20320</wp:posOffset>
            </wp:positionV>
            <wp:extent cx="2618105" cy="1739265"/>
            <wp:effectExtent l="0" t="0" r="10795" b="13335"/>
            <wp:wrapSquare wrapText="bothSides"/>
            <wp:docPr id="28" name="图片 820" descr="IMG_20240326_074503516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20" descr="IMG_20240326_074503516_original"/>
                    <pic:cNvPicPr/>
                  </pic:nvPicPr>
                  <pic:blipFill>
                    <a:blip r:embed="rId30"/>
                    <a:stretch>
                      <a:fillRect/>
                    </a:stretch>
                  </pic:blipFill>
                  <pic:spPr>
                    <a:xfrm>
                      <a:off x="0" y="0"/>
                      <a:ext cx="2618105" cy="1739265"/>
                    </a:xfrm>
                    <a:prstGeom prst="rect">
                      <a:avLst/>
                    </a:prstGeom>
                    <a:noFill/>
                    <a:ln w="12700">
                      <a:noFill/>
                    </a:ln>
                  </pic:spPr>
                </pic:pic>
              </a:graphicData>
            </a:graphic>
          </wp:anchor>
        </w:drawing>
      </w:r>
      <w:r>
        <w:rPr>
          <w:color w:val="auto"/>
          <w:sz w:val="24"/>
          <w:bCs/>
          <w:kern w:val="0"/>
          <w:szCs w:val="21"/>
          <w:rFonts w:hint="eastAsia"/>
        </w:rPr>
        <w:t xml:space="preserve">                </w:t>
      </w:r>
    </w:p>
    <w:p w14:paraId="5CAF0F70">
      <w:pPr>
        <w:jc w:val="left"/>
        <w:spacing w:line="360" w:lineRule="auto"/>
        <w:rPr>
          <w:color w:val="auto"/>
          <w:sz w:val="24"/>
          <w:bCs/>
          <w:kern w:val="0"/>
          <w:szCs w:val="21"/>
          <w:rFonts w:hint="eastAsia"/>
        </w:rPr>
      </w:pPr>
    </w:p>
    <w:p w14:paraId="52F36E12">
      <w:pPr>
        <w:jc w:val="left"/>
        <w:spacing w:line="360" w:lineRule="auto"/>
        <w:rPr>
          <w:color w:val="auto"/>
          <w:sz w:val="24"/>
          <w:bCs/>
          <w:kern w:val="0"/>
          <w:szCs w:val="21"/>
          <w:rFonts w:hint="eastAsia"/>
        </w:rPr>
      </w:pPr>
    </w:p>
    <w:p w14:paraId="5DD607BF">
      <w:pPr>
        <w:jc w:val="left"/>
        <w:spacing w:line="360" w:lineRule="auto"/>
        <w:rPr>
          <w:color w:val="auto"/>
          <w:sz w:val="24"/>
          <w:bCs/>
          <w:kern w:val="0"/>
          <w:szCs w:val="21"/>
          <w:rFonts w:hint="eastAsia"/>
        </w:rPr>
      </w:pPr>
    </w:p>
    <w:p w14:paraId="7C182B8C">
      <w:pPr>
        <w:jc w:val="left"/>
        <w:spacing w:line="360" w:lineRule="auto"/>
        <w:rPr>
          <w:color w:val="auto"/>
          <w:sz w:val="24"/>
          <w:bCs/>
          <w:kern w:val="0"/>
          <w:szCs w:val="21"/>
          <w:rFonts w:hint="eastAsia"/>
        </w:rPr>
      </w:pPr>
    </w:p>
    <w:p w14:paraId="6F5CB863">
      <w:pPr>
        <w:jc w:val="left"/>
        <w:spacing w:line="360" w:lineRule="auto"/>
        <w:rPr>
          <w:color w:val="auto"/>
          <w:sz w:val="24"/>
          <w:bCs/>
          <w:kern w:val="0"/>
          <w:szCs w:val="21"/>
          <w:rFonts w:hint="eastAsia"/>
        </w:rPr>
      </w:pPr>
    </w:p>
    <w:p w14:paraId="74356EC3">
      <w:pPr>
        <w:pStyle w:val="9"/>
        <w:ind w:firstLine="960" w:firstLineChars="400"/>
        <w:rPr>
          <w:color w:val="auto"/>
          <w:lang w:val="en-US" w:eastAsia="zh-CN"/>
          <w:rFonts w:eastAsia="宋体" w:hint="default"/>
        </w:rPr>
      </w:pPr>
      <w:r>
        <w:rPr>
          <w:color w:val="auto"/>
          <w:sz w:val="24"/>
          <w:bCs/>
          <w:kern w:val="0"/>
          <w:szCs w:val="21"/>
          <w:rFonts w:hint="eastAsia"/>
        </w:rPr>
        <w:t>东侧</w:t>
      </w:r>
      <w:r>
        <w:rPr>
          <w:color w:val="auto"/>
          <w:sz w:val="24"/>
          <w:lang w:val="en-US" w:eastAsia="zh-CN"/>
          <w:bCs/>
          <w:kern w:val="0"/>
          <w:szCs w:val="21"/>
          <w:rFonts w:hint="eastAsia"/>
        </w:rPr>
        <w:t xml:space="preserve">                                                        </w:t>
      </w:r>
      <w:r>
        <w:rPr>
          <w:color w:val="auto"/>
          <w:sz w:val="24"/>
          <w:bCs/>
          <w:kern w:val="0"/>
          <w:szCs w:val="21"/>
          <w:rFonts w:hint="eastAsia"/>
        </w:rPr>
        <w:t>南侧</w:t>
      </w:r>
    </w:p>
    <w:p w14:paraId="71AB991C">
      <w:pPr>
        <w:jc w:val="left"/>
        <w:spacing w:line="360" w:lineRule="auto"/>
        <w:ind w:firstLine="630" w:firstLineChars="300"/>
        <w:rPr>
          <w:color w:val="auto"/>
          <w:sz w:val="24"/>
          <w:bCs/>
          <w:kern w:val="0"/>
          <w:szCs w:val="21"/>
        </w:rPr>
      </w:pPr>
      <w:r>
        <w:rPr>
          <w:color w:val="auto"/>
          <w:lang w:val="en-US" w:eastAsia="zh-CN"/>
          <w:rFonts w:hint="eastAsia"/>
        </w:rPr>
        <w:drawing>
          <wp:anchor distT="0" distB="0" distL="114300" distR="114300" simplePos="0" relativeHeight="251671552" behindDoc="0" locked="0" layoutInCell="1" allowOverlap="1">
            <wp:simplePos x="0" y="0"/>
            <wp:positionH relativeFrom="column">
              <wp:posOffset>4271010</wp:posOffset>
            </wp:positionH>
            <wp:positionV relativeFrom="paragraph">
              <wp:posOffset>179705</wp:posOffset>
            </wp:positionV>
            <wp:extent cx="2554605" cy="1969770"/>
            <wp:effectExtent l="0" t="0" r="17145" b="11430"/>
            <wp:wrapSquare wrapText="bothSides"/>
            <wp:docPr id="29" name="图片 825" descr="IMG_20240326_07395782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5" descr="IMG_20240326_073957823_original"/>
                    <pic:cNvPicPr/>
                  </pic:nvPicPr>
                  <pic:blipFill>
                    <a:blip r:embed="rId31"/>
                    <a:stretch>
                      <a:fillRect/>
                    </a:stretch>
                  </pic:blipFill>
                  <pic:spPr>
                    <a:xfrm>
                      <a:off x="0" y="0"/>
                      <a:ext cx="2554605" cy="1969770"/>
                    </a:xfrm>
                    <a:prstGeom prst="rect">
                      <a:avLst/>
                    </a:prstGeom>
                    <a:noFill/>
                    <a:ln w="12700">
                      <a:noFill/>
                    </a:ln>
                  </pic:spPr>
                </pic:pic>
              </a:graphicData>
            </a:graphic>
          </wp:anchor>
        </w:drawing>
      </w:r>
      <w:r>
        <w:rPr>
          <w:color w:val="auto"/>
          <w:sz w:val="24"/>
          <w:bCs/>
          <w:kern w:val="0"/>
          <w:szCs w:val="21"/>
          <w:rFonts w:hint="eastAsia"/>
        </w:rPr>
        <w:t xml:space="preserve">                                             </w:t>
      </w:r>
    </w:p>
    <w:p w14:paraId="32DE021C">
      <w:pPr>
        <w:jc w:val="left"/>
        <w:spacing w:line="360" w:lineRule="auto"/>
        <w:rPr>
          <w:b w:val="1"/>
          <w:color w:val="auto"/>
          <w:sz w:val="24"/>
          <w:rFonts w:hint="eastAsia"/>
        </w:rPr>
      </w:pPr>
      <w:r>
        <w:rPr>
          <w:b w:val="1"/>
          <w:color w:val="auto"/>
          <w:sz w:val="24"/>
          <w:rFonts w:hint="eastAsia"/>
        </w:rPr>
        <w:t xml:space="preserve">             </w:t>
      </w:r>
    </w:p>
    <w:p w14:paraId="3742D6B6">
      <w:pPr>
        <w:pStyle w:val="9"/>
        <w:rPr>
          <w:b w:val="1"/>
          <w:color w:val="auto"/>
          <w:sz w:val="24"/>
          <w:rFonts w:hint="eastAsia"/>
        </w:rPr>
      </w:pPr>
    </w:p>
    <w:p w14:paraId="4251FBC6">
      <w:pPr>
        <w:rPr>
          <w:b w:val="1"/>
          <w:color w:val="auto"/>
          <w:sz w:val="24"/>
          <w:rFonts w:hint="eastAsia"/>
        </w:rPr>
      </w:pPr>
    </w:p>
    <w:p w14:paraId="69EAA08D">
      <w:pPr>
        <w:pStyle w:val="9"/>
        <w:rPr>
          <w:b w:val="1"/>
          <w:color w:val="auto"/>
          <w:sz w:val="24"/>
          <w:rFonts w:hint="eastAsia"/>
        </w:rPr>
      </w:pPr>
      <w:r>
        <w:rPr>
          <w:color w:val="auto"/>
          <w:lang w:val="en-US" w:eastAsia="zh-CN"/>
          <w:rFonts w:hint="eastAsia"/>
        </w:rPr>
        <w:drawing>
          <wp:anchor distT="0" distB="0" distL="114300" distR="114300" simplePos="0" relativeHeight="251670528" behindDoc="0" locked="0" layoutInCell="1" allowOverlap="1">
            <wp:simplePos x="0" y="0"/>
            <wp:positionH relativeFrom="column">
              <wp:posOffset>142240</wp:posOffset>
            </wp:positionH>
            <wp:positionV relativeFrom="paragraph">
              <wp:posOffset>-981710</wp:posOffset>
            </wp:positionV>
            <wp:extent cx="2731135" cy="1931670"/>
            <wp:effectExtent l="0" t="0" r="12065" b="11430"/>
            <wp:wrapSquare wrapText="bothSides"/>
            <wp:docPr id="30" name="图片 824" descr="IMG_20240326_07515527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24" descr="IMG_20240326_075155273_original"/>
                    <pic:cNvPicPr/>
                  </pic:nvPicPr>
                  <pic:blipFill>
                    <a:blip r:embed="rId32"/>
                    <a:stretch>
                      <a:fillRect/>
                    </a:stretch>
                  </pic:blipFill>
                  <pic:spPr>
                    <a:xfrm>
                      <a:off x="0" y="0"/>
                      <a:ext cx="2731135" cy="1931670"/>
                    </a:xfrm>
                    <a:prstGeom prst="rect">
                      <a:avLst/>
                    </a:prstGeom>
                    <a:noFill/>
                    <a:ln w="12700">
                      <a:noFill/>
                    </a:ln>
                  </pic:spPr>
                </pic:pic>
              </a:graphicData>
            </a:graphic>
          </wp:anchor>
        </w:drawing>
      </w:r>
    </w:p>
    <w:p w14:paraId="755C8E2E">
      <w:pPr>
        <w:rPr>
          <w:color w:val="auto"/>
        </w:rPr>
      </w:pPr>
    </w:p>
    <w:p w14:paraId="4674A37E">
      <w:pPr>
        <w:jc w:val="left"/>
        <w:spacing w:line="360" w:lineRule="auto"/>
        <w:rPr>
          <w:color w:val="auto"/>
          <w:sz w:val="24"/>
          <w:bCs/>
          <w:kern w:val="0"/>
          <w:szCs w:val="21"/>
          <w:rFonts w:hint="eastAsia"/>
        </w:rPr>
      </w:pPr>
      <w:r>
        <w:rPr>
          <w:color w:val="auto"/>
          <w:sz w:val="24"/>
          <w:bCs/>
          <w:kern w:val="0"/>
          <w:szCs w:val="21"/>
          <w:rFonts w:hint="eastAsia"/>
        </w:rPr>
        <w:t xml:space="preserve">                      </w:t>
      </w:r>
    </w:p>
    <w:p w14:paraId="3382999F">
      <w:pPr>
        <w:jc w:val="left"/>
        <w:spacing w:line="360" w:lineRule="auto"/>
        <w:ind w:firstLine="720" w:firstLineChars="300"/>
        <w:rPr>
          <w:color w:val="auto"/>
          <w:sz w:val="24"/>
          <w:bCs/>
          <w:kern w:val="0"/>
          <w:szCs w:val="21"/>
          <w:rFonts w:hint="eastAsia"/>
        </w:rPr>
      </w:pPr>
    </w:p>
    <w:p w14:paraId="69336D6F">
      <w:pPr>
        <w:jc w:val="left"/>
        <w:spacing w:line="360" w:lineRule="auto"/>
        <w:ind w:firstLine="720" w:firstLineChars="300"/>
        <w:rPr>
          <w:color w:val="auto"/>
          <w:sz w:val="24"/>
          <w:lang w:eastAsia="zh-CN"/>
          <w:bCs/>
          <w:kern w:val="0"/>
          <w:szCs w:val="21"/>
          <w:rFonts w:eastAsia="宋体" w:hint="eastAsia"/>
        </w:rPr>
      </w:pPr>
      <w:r>
        <w:rPr>
          <w:color w:val="auto"/>
          <w:sz w:val="24"/>
          <w:lang w:val="en-US" w:eastAsia="zh-CN"/>
          <w:bCs/>
          <w:kern w:val="0"/>
          <w:szCs w:val="21"/>
          <w:rFonts w:hint="eastAsia"/>
        </w:rPr>
        <w:t>北</w:t>
      </w:r>
      <w:r>
        <w:rPr>
          <w:color w:val="auto"/>
          <w:sz w:val="24"/>
          <w:bCs/>
          <w:kern w:val="0"/>
          <w:szCs w:val="21"/>
          <w:rFonts w:hint="eastAsia"/>
        </w:rPr>
        <w:t xml:space="preserve">侧                                               </w:t>
      </w:r>
      <w:r>
        <w:rPr>
          <w:color w:val="auto"/>
          <w:sz w:val="24"/>
          <w:lang w:val="en-US" w:eastAsia="zh-CN"/>
          <w:bCs/>
          <w:kern w:val="0"/>
          <w:szCs w:val="21"/>
          <w:rFonts w:hint="eastAsia"/>
        </w:rPr>
        <w:t xml:space="preserve">             西</w:t>
      </w:r>
      <w:r>
        <w:rPr>
          <w:color w:val="auto"/>
          <w:sz w:val="24"/>
          <w:bCs/>
          <w:kern w:val="0"/>
          <w:szCs w:val="21"/>
          <w:rFonts w:hint="eastAsia"/>
        </w:rPr>
        <w:t>侧</w:t>
      </w:r>
    </w:p>
    <w:p w14:paraId="18DAA140">
      <w:pPr>
        <w:jc w:val="center"/>
        <w:spacing w:line="360" w:lineRule="auto"/>
        <w:rPr>
          <w:b w:val="1"/>
          <w:color w:val="auto"/>
          <w:sz w:val="24"/>
          <w:bCs/>
          <w:kern w:val="0"/>
          <w:szCs w:val="21"/>
        </w:rPr>
      </w:pPr>
      <w:r>
        <w:rPr>
          <w:b w:val="1"/>
          <w:color w:val="auto"/>
          <w:sz w:val="24"/>
          <w:bCs/>
          <w:kern w:val="0"/>
          <w:szCs w:val="21"/>
        </w:rPr>
        <w:t>附图</w:t>
      </w:r>
      <w:r>
        <w:rPr>
          <w:b w:val="1"/>
          <w:color w:val="auto"/>
          <w:sz w:val="24"/>
          <w:bCs/>
          <w:kern w:val="0"/>
          <w:szCs w:val="21"/>
          <w:rFonts w:hint="eastAsia"/>
        </w:rPr>
        <w:t>3</w:t>
      </w:r>
      <w:r>
        <w:rPr>
          <w:b w:val="1"/>
          <w:color w:val="auto"/>
          <w:sz w:val="24"/>
          <w:bCs/>
          <w:kern w:val="0"/>
          <w:szCs w:val="21"/>
        </w:rPr>
        <w:t xml:space="preserve"> </w:t>
      </w:r>
      <w:r>
        <w:rPr>
          <w:b w:val="1"/>
          <w:color w:val="auto"/>
          <w:sz w:val="24"/>
          <w:bCs/>
          <w:kern w:val="0"/>
          <w:szCs w:val="21"/>
          <w:rFonts w:hint="eastAsia"/>
        </w:rPr>
        <w:t>本项目</w:t>
      </w:r>
      <w:r>
        <w:rPr>
          <w:b w:val="1"/>
          <w:color w:val="auto"/>
          <w:sz w:val="24"/>
          <w:bCs/>
          <w:kern w:val="0"/>
          <w:szCs w:val="21"/>
        </w:rPr>
        <w:t>四周情况图</w:t>
      </w:r>
    </w:p>
    <w:p w14:paraId="0F09CDC5">
      <w:pPr>
        <w:jc w:val="center"/>
        <w:contextualSpacing/>
        <w:spacing w:line="360" w:lineRule="auto"/>
        <w:rPr>
          <w:b w:val="1"/>
          <w:color w:val="auto"/>
          <w:sz w:val="24"/>
          <w:rFonts w:hAnsi="宋体"/>
        </w:rPr>
      </w:pPr>
      <w:r>
        <w:rPr>
          <w:b w:val="1"/>
          <w:color w:val="auto"/>
          <w:sz w:val="24"/>
          <w:rFonts w:hAnsi="宋体"/>
        </w:rPr>
        <w:drawing>
          <wp:anchor distT="0" distB="0" distL="0" distR="0" relativeHeight="251665408" behindDoc="0" allowOverlap="1" locked="0" layoutInCell="1" simplePos="0">
            <wp:simplePos x="0" y="0"/>
            <wp:positionH relativeFrom="column">
              <wp:posOffset>6108700</wp:posOffset>
            </wp:positionH>
            <wp:positionV relativeFrom="paragraph">
              <wp:posOffset>5384165</wp:posOffset>
            </wp:positionV>
            <wp:extent cx="2080895" cy="238759"/>
            <wp:wrapNone/>
            <wp:docPr id="31" name="_x0000_s2291"/>
            <a:graphic xmlns:a="http://schemas.openxmlformats.org/drawingml/2006/main">
              <a:graphicData uri="http://schemas.openxmlformats.org/drawingml/2006/picture">
                <wps:wsp>
                  <wps:cNvSpPr/>
                  <wps:spPr>
                    <a:xfrm>
                      <a:off x="0" y="0"/>
                      <a:ext cx="2080895" cy="238759"/>
                    </a:xfrm>
                    <a:prstGeom prst="rect">
                      <a:avLst/>
                    </a:prstGeom>
                    <a:solidFill>
                      <a:prstClr val="white"/>
                    </a:solidFill>
                    <a:ln w="12700">
                      <a:solidFill>
                        <a:srgbClr val="FFFFFF"/>
                      </a:solidFill>
                    </a:ln>
                  </wps:spPr>
                  <wps:bodyPr rot="0" vert="horz" wrap="square" lIns="91440" tIns="45720" rIns="91440" bIns="45720" anchor="t" anchorCtr="0"/>
                </wps:wsp>
              </a:graphicData>
            </a:graphic>
          </wp:anchor>
        </w:drawing>
      </w:r>
    </w:p>
    <w:sectPr>
      <w:docGrid w:type="lines" w:linePitch="319" w:charSpace="0"/>
      <w:pgSz w:w="16838" w:h="11906" w:orient="landscape"/>
      <w:pgMar w:top="1236" w:right="1440" w:bottom="1236" w:left="1440" w:header="851" w:footer="992" w:gutter="0"/>
      <w:pgBorders>
        <w:top w:val="none" w:sz="0" w:space="0"/>
        <w:left w:val="none" w:sz="0" w:space="0"/>
        <w:bottom w:val="none" w:sz="0" w:space="0"/>
        <w:right w:val="none" w:sz="0" w:space="0"/>
      </w:pgBorders>
      <w:pgBorders>
        <w:top w:val="none" w:sz="0" w:space="0"/>
        <w:left w:val="none" w:sz="0" w:space="0"/>
        <w:bottom w:val="none" w:sz="0" w:space="0"/>
        <w:right w:val="none" w:sz="0" w:space="0"/>
      </w:pgBorders>
      <w:cols w:space="0" w:num="1"/>
    </w:sectPr>
  </w:body>
</w:document>
</file>

<file path=word/fontTable.xml><?xml version="1.0" encoding="utf-8"?>
<w:fonts xmlns:w="http://schemas.openxmlformats.org/wordprocessingml/2006/main" xmlns:w14="http://schemas.microsoft.com/office/word/2010/wordml" xmlns:r="http://schemas.openxmlformats.org/officeDocument/2006/relationships" xmlns:mc="http://schemas.openxmlformats.org/markup-compatibility/2006"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FangSong_GB2312">
    <w:altName w:val="仿宋"/>
    <w:panose1 w:val="02010609060101010101"/>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MS Mincho">
    <w:panose1 w:val="02020609040205080304"/>
    <w:charset w:val="80"/>
    <w:family w:val="modern"/>
    <w:pitch w:val="default"/>
    <w:sig w:usb0="A00002BF" w:usb1="68C7FCFB" w:usb2="00000010" w:usb3="00000000" w:csb0="4002009F" w:csb1="DFD7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s="http://schemas.microsoft.com/office/word/2010/wordprocessingShape" xmlns:wne="http://schemas.microsoft.com/office/word/2006/wordml" xmlns:wpg="http://schemas.microsoft.com/office/word/2010/wordprocessingGroup" xmlns:w15="http://schemas.microsoft.com/office/word/2012/wordml"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p w14:paraId="07CE0E5D">
    <w:pPr>
      <w:pStyle w:val="16"/>
      <w:jc w:val="center"/>
      <w:ind w:firstLine="360" w:right="360"/>
    </w:pPr>
  </w:p>
</w:ftr>
</file>

<file path=word/footer2.xml><?xml version="1.0" encoding="utf-8"?>
<w:ftr xmlns:wps="http://schemas.microsoft.com/office/word/2010/wordprocessingShape" xmlns:wne="http://schemas.microsoft.com/office/word/2006/wordml" xmlns:wpg="http://schemas.microsoft.com/office/word/2010/wordprocessingGroup" xmlns:w15="http://schemas.microsoft.com/office/word/2012/wordml"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p w14:paraId="4DA4576B">
    <w:pPr>
      <w:pStyle w:val="16"/>
      <w:framePr w:wrap="around" w:hAnchor="margin" w:vAnchor="text" w:xAlign="center" w:y="1"/>
      <w:rPr>
        <w:rStyle w:val="30"/>
      </w:rPr>
    </w:pPr>
    <w:r>
      <w:fldChar w:fldCharType="begin"/>
    </w:r>
    <w:r>
      <w:rPr>
        <w:rStyle w:val="30"/>
      </w:rPr>
      <w:instrText xml:space="preserve">PAGE  </w:instrText>
    </w:r>
    <w:r>
      <w:fldChar w:fldCharType="end"/>
    </w:r>
  </w:p>
  <w:p w14:paraId="3ED74586">
    <w:pPr>
      <w:pStyle w:val="16"/>
      <w:ind w:firstLine="360" w:right="360"/>
    </w:pPr>
  </w:p>
</w:ftr>
</file>

<file path=word/footer3.xml><?xml version="1.0" encoding="utf-8"?>
<w:ftr xmlns:wps="http://schemas.microsoft.com/office/word/2010/wordprocessingShape" xmlns:wne="http://schemas.microsoft.com/office/word/2006/wordml" xmlns:wpg="http://schemas.microsoft.com/office/word/2010/wordprocessingGroup" xmlns:w15="http://schemas.microsoft.com/office/word/2012/wordml"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p w14:paraId="6CAF3992">
    <w:pPr>
      <w:pStyle w:val="16"/>
      <w:jc w:val="center"/>
    </w:pPr>
  </w:p>
  <w:p w14:paraId="25AF5338">
    <w:pPr>
      <w:pStyle w:val="16"/>
      <w:jc w:val="center"/>
      <w:ind w:firstLine="360" w:right="360"/>
    </w:pPr>
  </w:p>
</w:ftr>
</file>

<file path=word/footer4.xml><?xml version="1.0" encoding="utf-8"?>
<w:ftr xmlns:wps="http://schemas.microsoft.com/office/word/2010/wordprocessingShape" xmlns:wne="http://schemas.microsoft.com/office/word/2006/wordml" xmlns:wpg="http://schemas.microsoft.com/office/word/2010/wordprocessingGroup" xmlns:w15="http://schemas.microsoft.com/office/word/2012/wordml"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sdt>
    <w:sdtPr>
      <w:id w:val="68181861"/>
      <w:docPartObj>
        <w:docPartGallery w:val="autotext"/>
      </w:docPartObj>
    </w:sdtPr>
    <w:sdtContent>
      <w:p w14:paraId="3A56828A">
        <w:pPr>
          <w:pStyle w:val="16"/>
          <w:jc w:val="center"/>
        </w:pPr>
        <w:r>
          <w:fldChar w:fldCharType="begin"/>
        </w:r>
        <w:r>
          <w:instrText xml:space="preserve"> PAGE   \* MERGEFORMAT </w:instrText>
        </w:r>
        <w:r>
          <w:fldChar w:fldCharType="separate"/>
        </w:r>
        <w:r>
          <w:rPr>
            <w:lang w:val="zh-CN"/>
          </w:rPr>
          <w:t>51</w:t>
        </w:r>
        <w:r>
          <w:rPr>
            <w:lang w:val="zh-CN"/>
          </w:rPr>
          <w:fldChar w:fldCharType="end"/>
        </w:r>
      </w:p>
    </w:sdtContent>
  </w:sdt>
</w:ftr>
</file>

<file path=word/footer5.xml><?xml version="1.0" encoding="utf-8"?>
<w:ftr xmlns:wps="http://schemas.microsoft.com/office/word/2010/wordprocessingShape" xmlns:wne="http://schemas.microsoft.com/office/word/2006/wordml" xmlns:wpg="http://schemas.microsoft.com/office/word/2010/wordprocessingGroup" xmlns:w15="http://schemas.microsoft.com/office/word/2012/wordml"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p w14:paraId="3D1D6D09">
    <w:pPr>
      <w:pStyle w:val="16"/>
      <w:jc w:val="center"/>
    </w:pPr>
    <w:r>
      <w:fldChar w:fldCharType="begin"/>
    </w:r>
    <w:r>
      <w:instrText xml:space="preserve">PAGE   \* MERGEFORMAT</w:instrText>
    </w:r>
    <w:r>
      <w:fldChar w:fldCharType="separate"/>
    </w:r>
    <w:r>
      <w:rPr>
        <w:lang w:val="zh-CN"/>
      </w:rPr>
      <w:t>80</w:t>
    </w:r>
    <w:r>
      <w:rPr>
        <w:lang w:val="zh-CN"/>
      </w:rPr>
      <w:fldChar w:fldCharType="end"/>
    </w:r>
  </w:p>
</w:ftr>
</file>

<file path=word/header1.xml><?xml version="1.0" encoding="utf-8"?>
<w:hdr xmlns:wps="http://schemas.microsoft.com/office/word/2010/wordprocessingShape" xmlns:wne="http://schemas.microsoft.com/office/word/2006/wordml" xmlns:wpg="http://schemas.microsoft.com/office/word/2010/wordprocessingGroup" xmlns:w15="http://schemas.microsoft.com/office/word/2012/wordml"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p w14:paraId="53CE417B">
    <w:pPr>
      <w:pStyle w:val="17"/>
      <w:rPr>
        <w:szCs w:val="21"/>
      </w:rPr>
    </w:pPr>
  </w:p>
</w:hdr>
</file>

<file path=word/numbering.xml><?xml version="1.0" encoding="utf-8"?>
<w:numbering xmlns:wps="http://schemas.microsoft.com/office/word/2010/wordprocessingShape" xmlns:wne="http://schemas.microsoft.com/office/word/2006/wordml" xmlns:wpg="http://schemas.microsoft.com/office/word/2010/wordprocessingGroup"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p14">
  <w:abstractNum w:abstractNumId="0">
    <w:nsid w:val="CE4124FE"/>
    <w:multiLevelType w:val="singleLevel"/>
    <w:tmpl w:val="CE4124FE"/>
    <w:lvl w:ilvl="0" w:tentative="0">
      <w:start w:val="11"/>
      <w:numFmt w:val="upperLetter"/>
      <w:suff w:val="nothing"/>
      <w:lvlText w:val="%1-"/>
      <w:lvlJc w:val="left"/>
    </w:lvl>
  </w:abstractNum>
  <w:num w:numId="1">
    <w:abstractNumId w:val="0"/>
  </w:num>
</w:numbering>
</file>

<file path=word/settings.xml><?xml version="1.0" encoding="utf-8"?>
<w:settings xmlns:w14="http://schemas.microsoft.com/office/word/2010/wordml" xmlns:wpsCustomData="http://www.wps.cn/officeDocument/2013/wpsCustomData" xmlns:w10="urn:schemas-microsoft-com:office:word"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bordersDoNotSurroundHeader/>
  <w:bordersDoNotSurroundFooter/>
  <w:defaultTabStop w:val="420"/>
  <w:drawingGridVerticalSpacing w:val="156"/>
  <w:drawingGridHorizontalSpacing w:val="105"/>
  <w:displayHorizontalDrawingGridEvery w:val="1"/>
  <w:displayVerticalDrawingGridEvery w:val="1"/>
  <w:characterSpacingControl w:val="compressPunctuation"/>
  <w:zoom w:percent="130"/>
  <w:compat>
    <w:spaceForUL/>
    <w:balanceSingleByteDoubleByteWidth/>
    <w:doNotLeaveBackslashAlone/>
    <w:ulTrailSpace/>
    <w:doNotExpandShiftReturn/>
    <w:adjustLineHeightInTable/>
    <w:useFELayout/>
    <w:compatSetting w:val="12" w:uri="http://schemas.microsoft.com/office/word" w:name="compatibilityMode"/>
  </w:compat>
  <w:rsids>
    <w:rsidRoot w:val="00A14947"/>
    <w:rsid w:val="00000707"/>
    <w:rsid w:val="0000127A"/>
    <w:rsid w:val="000015B5"/>
    <w:rsid w:val="000016C7"/>
    <w:rsid w:val="00001E50"/>
    <w:rsid w:val="0000318D"/>
    <w:rsid w:val="000031D3"/>
    <w:rsid w:val="00003337"/>
    <w:rsid w:val="00004174"/>
    <w:rsid w:val="00004AB6"/>
    <w:rsid w:val="00005602"/>
    <w:rsid w:val="00005E7A"/>
    <w:rsid w:val="000060B3"/>
    <w:rsid w:val="000062A2"/>
    <w:rsid w:val="00007D50"/>
    <w:rsid w:val="0001018D"/>
    <w:rsid w:val="000106DC"/>
    <w:rsid w:val="000110F4"/>
    <w:rsid w:val="0001116B"/>
    <w:rsid w:val="00011539"/>
    <w:rsid w:val="00011836"/>
    <w:rsid w:val="000120B6"/>
    <w:rsid w:val="00012423"/>
    <w:rsid w:val="00012AB7"/>
    <w:rsid w:val="00013806"/>
    <w:rsid w:val="00013CFD"/>
    <w:rsid w:val="00017267"/>
    <w:rsid w:val="000174E4"/>
    <w:rsid w:val="00017516"/>
    <w:rsid w:val="000176B2"/>
    <w:rsid w:val="00017A8F"/>
    <w:rsid w:val="00017AA1"/>
    <w:rsid w:val="00017F35"/>
    <w:rsid w:val="0002070F"/>
    <w:rsid w:val="0002139D"/>
    <w:rsid w:val="00022F3D"/>
    <w:rsid w:val="00022F92"/>
    <w:rsid w:val="000233AA"/>
    <w:rsid w:val="00023988"/>
    <w:rsid w:val="00023DB3"/>
    <w:rsid w:val="00024768"/>
    <w:rsid w:val="00024B51"/>
    <w:rsid w:val="00024CD4"/>
    <w:rsid w:val="00025007"/>
    <w:rsid w:val="00025412"/>
    <w:rsid w:val="00025949"/>
    <w:rsid w:val="00027538"/>
    <w:rsid w:val="0002754F"/>
    <w:rsid w:val="00030DF8"/>
    <w:rsid w:val="00030E4B"/>
    <w:rsid w:val="000311AB"/>
    <w:rsid w:val="000314EB"/>
    <w:rsid w:val="00031B00"/>
    <w:rsid w:val="00031DF5"/>
    <w:rsid w:val="00033488"/>
    <w:rsid w:val="000340E1"/>
    <w:rsid w:val="00034753"/>
    <w:rsid w:val="00034DFD"/>
    <w:rsid w:val="00035572"/>
    <w:rsid w:val="0003583C"/>
    <w:rsid w:val="00035BAC"/>
    <w:rsid w:val="0003623C"/>
    <w:rsid w:val="00036CA6"/>
    <w:rsid w:val="00036CAA"/>
    <w:rsid w:val="00036F79"/>
    <w:rsid w:val="00037169"/>
    <w:rsid w:val="000373F5"/>
    <w:rsid w:val="000379C4"/>
    <w:rsid w:val="00037BC5"/>
    <w:rsid w:val="00040797"/>
    <w:rsid w:val="0004084C"/>
    <w:rsid w:val="000434CE"/>
    <w:rsid w:val="0004364B"/>
    <w:rsid w:val="00043B96"/>
    <w:rsid w:val="00043C7A"/>
    <w:rsid w:val="0004525E"/>
    <w:rsid w:val="000466A4"/>
    <w:rsid w:val="000470C2"/>
    <w:rsid w:val="00047209"/>
    <w:rsid w:val="0004743C"/>
    <w:rsid w:val="00047D5A"/>
    <w:rsid w:val="0005062B"/>
    <w:rsid w:val="00050B7A"/>
    <w:rsid w:val="0005188E"/>
    <w:rsid w:val="000518A5"/>
    <w:rsid w:val="00051AFC"/>
    <w:rsid w:val="00051DB5"/>
    <w:rsid w:val="00051FE2"/>
    <w:rsid w:val="00052070"/>
    <w:rsid w:val="00052117"/>
    <w:rsid w:val="00054A51"/>
    <w:rsid w:val="00055196"/>
    <w:rsid w:val="00055C7A"/>
    <w:rsid w:val="00056889"/>
    <w:rsid w:val="00057B77"/>
    <w:rsid w:val="00061AE7"/>
    <w:rsid w:val="00061B1F"/>
    <w:rsid w:val="00061DD6"/>
    <w:rsid w:val="00061E2F"/>
    <w:rsid w:val="00062042"/>
    <w:rsid w:val="00062698"/>
    <w:rsid w:val="000637D1"/>
    <w:rsid w:val="00063DE2"/>
    <w:rsid w:val="00063DFB"/>
    <w:rsid w:val="00063EF2"/>
    <w:rsid w:val="0006459B"/>
    <w:rsid w:val="000649D2"/>
    <w:rsid w:val="00064A51"/>
    <w:rsid w:val="0006570F"/>
    <w:rsid w:val="00065DEB"/>
    <w:rsid w:val="00066B20"/>
    <w:rsid w:val="00066F68"/>
    <w:rsid w:val="00067261"/>
    <w:rsid w:val="0006736B"/>
    <w:rsid w:val="0006740E"/>
    <w:rsid w:val="000674F8"/>
    <w:rsid w:val="00067D26"/>
    <w:rsid w:val="00071421"/>
    <w:rsid w:val="000719FF"/>
    <w:rsid w:val="00072944"/>
    <w:rsid w:val="00073229"/>
    <w:rsid w:val="000733C4"/>
    <w:rsid w:val="00073B79"/>
    <w:rsid w:val="00073C01"/>
    <w:rsid w:val="000746CA"/>
    <w:rsid w:val="00074783"/>
    <w:rsid w:val="00074D0A"/>
    <w:rsid w:val="00075589"/>
    <w:rsid w:val="00076219"/>
    <w:rsid w:val="00076B8B"/>
    <w:rsid w:val="000772EA"/>
    <w:rsid w:val="00077F74"/>
    <w:rsid w:val="0008070B"/>
    <w:rsid w:val="0008092C"/>
    <w:rsid w:val="000809FB"/>
    <w:rsid w:val="000810AC"/>
    <w:rsid w:val="00081367"/>
    <w:rsid w:val="00081A02"/>
    <w:rsid w:val="00081CDE"/>
    <w:rsid w:val="00081E1D"/>
    <w:rsid w:val="00082231"/>
    <w:rsid w:val="00082A2E"/>
    <w:rsid w:val="00082AB6"/>
    <w:rsid w:val="00082F11"/>
    <w:rsid w:val="00084799"/>
    <w:rsid w:val="000849E6"/>
    <w:rsid w:val="00084AC0"/>
    <w:rsid w:val="00084BFF"/>
    <w:rsid w:val="00084C05"/>
    <w:rsid w:val="00084CCD"/>
    <w:rsid w:val="0008533C"/>
    <w:rsid w:val="00085D80"/>
    <w:rsid w:val="00086B96"/>
    <w:rsid w:val="000872DD"/>
    <w:rsid w:val="00087501"/>
    <w:rsid w:val="00087657"/>
    <w:rsid w:val="00087B36"/>
    <w:rsid w:val="00092D38"/>
    <w:rsid w:val="00092D47"/>
    <w:rsid w:val="000932D8"/>
    <w:rsid w:val="0009377B"/>
    <w:rsid w:val="00093DFF"/>
    <w:rsid w:val="00093FBD"/>
    <w:rsid w:val="00094F50"/>
    <w:rsid w:val="00095EC8"/>
    <w:rsid w:val="000961F0"/>
    <w:rsid w:val="00097149"/>
    <w:rsid w:val="00097F36"/>
    <w:rsid w:val="000A1922"/>
    <w:rsid w:val="000A1E64"/>
    <w:rsid w:val="000A20C9"/>
    <w:rsid w:val="000A3A60"/>
    <w:rsid w:val="000A5851"/>
    <w:rsid w:val="000A5A60"/>
    <w:rsid w:val="000A6F65"/>
    <w:rsid w:val="000A7FE7"/>
    <w:rsid w:val="000B058F"/>
    <w:rsid w:val="000B0787"/>
    <w:rsid w:val="000B28AC"/>
    <w:rsid w:val="000B2BFE"/>
    <w:rsid w:val="000B3517"/>
    <w:rsid w:val="000B3C20"/>
    <w:rsid w:val="000B3FA6"/>
    <w:rsid w:val="000B43A4"/>
    <w:rsid w:val="000B4467"/>
    <w:rsid w:val="000B446A"/>
    <w:rsid w:val="000B463E"/>
    <w:rsid w:val="000B4A50"/>
    <w:rsid w:val="000B4DB9"/>
    <w:rsid w:val="000B4F43"/>
    <w:rsid w:val="000B4F8C"/>
    <w:rsid w:val="000B540D"/>
    <w:rsid w:val="000B6297"/>
    <w:rsid w:val="000B6740"/>
    <w:rsid w:val="000B722D"/>
    <w:rsid w:val="000B75ED"/>
    <w:rsid w:val="000B7A24"/>
    <w:rsid w:val="000C09AC"/>
    <w:rsid w:val="000C25D4"/>
    <w:rsid w:val="000C29BB"/>
    <w:rsid w:val="000C3E3E"/>
    <w:rsid w:val="000C52EB"/>
    <w:rsid w:val="000C637C"/>
    <w:rsid w:val="000C663E"/>
    <w:rsid w:val="000C68E5"/>
    <w:rsid w:val="000C6B81"/>
    <w:rsid w:val="000C6BB5"/>
    <w:rsid w:val="000C6D05"/>
    <w:rsid w:val="000C767F"/>
    <w:rsid w:val="000D09AF"/>
    <w:rsid w:val="000D2424"/>
    <w:rsid w:val="000D2492"/>
    <w:rsid w:val="000D2E91"/>
    <w:rsid w:val="000D34DD"/>
    <w:rsid w:val="000D3673"/>
    <w:rsid w:val="000D4DEB"/>
    <w:rsid w:val="000D5A44"/>
    <w:rsid w:val="000D674A"/>
    <w:rsid w:val="000E09AC"/>
    <w:rsid w:val="000E165D"/>
    <w:rsid w:val="000E16D0"/>
    <w:rsid w:val="000E1E6F"/>
    <w:rsid w:val="000E2572"/>
    <w:rsid w:val="000E2981"/>
    <w:rsid w:val="000E2C1B"/>
    <w:rsid w:val="000E3ED2"/>
    <w:rsid w:val="000E46CB"/>
    <w:rsid w:val="000E588A"/>
    <w:rsid w:val="000E5AD0"/>
    <w:rsid w:val="000E61C1"/>
    <w:rsid w:val="000E7E48"/>
    <w:rsid w:val="000F01A8"/>
    <w:rsid w:val="000F0551"/>
    <w:rsid w:val="000F0A9A"/>
    <w:rsid w:val="000F0B97"/>
    <w:rsid w:val="000F2362"/>
    <w:rsid w:val="000F32C8"/>
    <w:rsid w:val="000F46A5"/>
    <w:rsid w:val="000F47A0"/>
    <w:rsid w:val="000F47FF"/>
    <w:rsid w:val="000F4EB5"/>
    <w:rsid w:val="000F50E7"/>
    <w:rsid w:val="000F5585"/>
    <w:rsid w:val="000F5DA0"/>
    <w:rsid w:val="000F62EE"/>
    <w:rsid w:val="000F7222"/>
    <w:rsid w:val="000F7C2E"/>
    <w:rsid w:val="000F7DFE"/>
    <w:rsid w:val="0010098A"/>
    <w:rsid w:val="00100FC2"/>
    <w:rsid w:val="0010189C"/>
    <w:rsid w:val="00101F72"/>
    <w:rsid w:val="00102EC0"/>
    <w:rsid w:val="0010384D"/>
    <w:rsid w:val="001050E1"/>
    <w:rsid w:val="0010512C"/>
    <w:rsid w:val="001066FD"/>
    <w:rsid w:val="0011209E"/>
    <w:rsid w:val="001121B4"/>
    <w:rsid w:val="001131D7"/>
    <w:rsid w:val="00113E03"/>
    <w:rsid w:val="0011410B"/>
    <w:rsid w:val="00114479"/>
    <w:rsid w:val="00114D12"/>
    <w:rsid w:val="00114FF5"/>
    <w:rsid w:val="001155F1"/>
    <w:rsid w:val="001159B5"/>
    <w:rsid w:val="001161C3"/>
    <w:rsid w:val="001207E6"/>
    <w:rsid w:val="00120B30"/>
    <w:rsid w:val="00122709"/>
    <w:rsid w:val="0012337D"/>
    <w:rsid w:val="0012337F"/>
    <w:rsid w:val="00123BE5"/>
    <w:rsid w:val="00124193"/>
    <w:rsid w:val="0012422E"/>
    <w:rsid w:val="0012439D"/>
    <w:rsid w:val="001245AB"/>
    <w:rsid w:val="00124722"/>
    <w:rsid w:val="001251CA"/>
    <w:rsid w:val="001252E5"/>
    <w:rsid w:val="001258A3"/>
    <w:rsid w:val="00125D06"/>
    <w:rsid w:val="00125E25"/>
    <w:rsid w:val="00125EA3"/>
    <w:rsid w:val="00126B93"/>
    <w:rsid w:val="001272AC"/>
    <w:rsid w:val="001273FC"/>
    <w:rsid w:val="001274FF"/>
    <w:rsid w:val="0012765D"/>
    <w:rsid w:val="00131A89"/>
    <w:rsid w:val="00131F42"/>
    <w:rsid w:val="001327F4"/>
    <w:rsid w:val="00132BCF"/>
    <w:rsid w:val="00133CAA"/>
    <w:rsid w:val="001344E3"/>
    <w:rsid w:val="00135313"/>
    <w:rsid w:val="001357F1"/>
    <w:rsid w:val="00135D69"/>
    <w:rsid w:val="001360DC"/>
    <w:rsid w:val="00136436"/>
    <w:rsid w:val="00136CA4"/>
    <w:rsid w:val="00137170"/>
    <w:rsid w:val="00140BC0"/>
    <w:rsid w:val="00140FA8"/>
    <w:rsid w:val="0014109E"/>
    <w:rsid w:val="00141771"/>
    <w:rsid w:val="001418B6"/>
    <w:rsid w:val="00141DBD"/>
    <w:rsid w:val="00142FEB"/>
    <w:rsid w:val="00143048"/>
    <w:rsid w:val="00143557"/>
    <w:rsid w:val="00143766"/>
    <w:rsid w:val="00143A2D"/>
    <w:rsid w:val="00143EF5"/>
    <w:rsid w:val="001445A5"/>
    <w:rsid w:val="00145031"/>
    <w:rsid w:val="00145A41"/>
    <w:rsid w:val="00145CDD"/>
    <w:rsid w:val="001469F8"/>
    <w:rsid w:val="001503A7"/>
    <w:rsid w:val="00150BAC"/>
    <w:rsid w:val="00150BC1"/>
    <w:rsid w:val="00150BE7"/>
    <w:rsid w:val="001515F3"/>
    <w:rsid w:val="00151636"/>
    <w:rsid w:val="00151675"/>
    <w:rsid w:val="001528DE"/>
    <w:rsid w:val="001528E4"/>
    <w:rsid w:val="00155B7E"/>
    <w:rsid w:val="00155C42"/>
    <w:rsid w:val="00155FE4"/>
    <w:rsid w:val="00156F68"/>
    <w:rsid w:val="00157435"/>
    <w:rsid w:val="00157DBA"/>
    <w:rsid w:val="00161BD3"/>
    <w:rsid w:val="00162784"/>
    <w:rsid w:val="00163749"/>
    <w:rsid w:val="00163CBC"/>
    <w:rsid w:val="00165B36"/>
    <w:rsid w:val="00165E22"/>
    <w:rsid w:val="00166BA8"/>
    <w:rsid w:val="00167E58"/>
    <w:rsid w:val="00170654"/>
    <w:rsid w:val="001706D0"/>
    <w:rsid w:val="001710C3"/>
    <w:rsid w:val="00171878"/>
    <w:rsid w:val="00172205"/>
    <w:rsid w:val="00172904"/>
    <w:rsid w:val="00172D88"/>
    <w:rsid w:val="00172EBD"/>
    <w:rsid w:val="00173855"/>
    <w:rsid w:val="00173C77"/>
    <w:rsid w:val="00173EE0"/>
    <w:rsid w:val="0017414D"/>
    <w:rsid w:val="001744FC"/>
    <w:rsid w:val="00174846"/>
    <w:rsid w:val="0017504D"/>
    <w:rsid w:val="00175670"/>
    <w:rsid w:val="00175ACE"/>
    <w:rsid w:val="00175B5D"/>
    <w:rsid w:val="0017671A"/>
    <w:rsid w:val="00177422"/>
    <w:rsid w:val="00177B07"/>
    <w:rsid w:val="0018008F"/>
    <w:rsid w:val="00180602"/>
    <w:rsid w:val="00180C35"/>
    <w:rsid w:val="0018190C"/>
    <w:rsid w:val="00182763"/>
    <w:rsid w:val="00182AE8"/>
    <w:rsid w:val="00182CC4"/>
    <w:rsid w:val="001834AC"/>
    <w:rsid w:val="00183769"/>
    <w:rsid w:val="00183CB6"/>
    <w:rsid w:val="00184590"/>
    <w:rsid w:val="00184832"/>
    <w:rsid w:val="001870D1"/>
    <w:rsid w:val="0018781E"/>
    <w:rsid w:val="00190ED0"/>
    <w:rsid w:val="001922D7"/>
    <w:rsid w:val="00192555"/>
    <w:rsid w:val="0019262D"/>
    <w:rsid w:val="00192843"/>
    <w:rsid w:val="00193FD3"/>
    <w:rsid w:val="00194282"/>
    <w:rsid w:val="00194346"/>
    <w:rsid w:val="00194A21"/>
    <w:rsid w:val="00195950"/>
    <w:rsid w:val="001959AF"/>
    <w:rsid w:val="00195A26"/>
    <w:rsid w:val="00197BD5"/>
    <w:rsid w:val="00197D5C"/>
    <w:rsid w:val="001A02CA"/>
    <w:rsid w:val="001A10D5"/>
    <w:rsid w:val="001A14DD"/>
    <w:rsid w:val="001A1961"/>
    <w:rsid w:val="001A1B35"/>
    <w:rsid w:val="001A1F27"/>
    <w:rsid w:val="001A2474"/>
    <w:rsid w:val="001A2A61"/>
    <w:rsid w:val="001A48A2"/>
    <w:rsid w:val="001A56FF"/>
    <w:rsid w:val="001A666A"/>
    <w:rsid w:val="001A68C8"/>
    <w:rsid w:val="001A6942"/>
    <w:rsid w:val="001A6F61"/>
    <w:rsid w:val="001B01D4"/>
    <w:rsid w:val="001B0D48"/>
    <w:rsid w:val="001B18C1"/>
    <w:rsid w:val="001B2119"/>
    <w:rsid w:val="001B24FE"/>
    <w:rsid w:val="001B2C82"/>
    <w:rsid w:val="001B2C92"/>
    <w:rsid w:val="001B3B20"/>
    <w:rsid w:val="001B3E8F"/>
    <w:rsid w:val="001B3FC2"/>
    <w:rsid w:val="001B57B6"/>
    <w:rsid w:val="001B5B79"/>
    <w:rsid w:val="001B5F68"/>
    <w:rsid w:val="001B72B8"/>
    <w:rsid w:val="001B7A53"/>
    <w:rsid w:val="001B7C8E"/>
    <w:rsid w:val="001B7E50"/>
    <w:rsid w:val="001C049C"/>
    <w:rsid w:val="001C061D"/>
    <w:rsid w:val="001C0A99"/>
    <w:rsid w:val="001C1338"/>
    <w:rsid w:val="001C1B9B"/>
    <w:rsid w:val="001C27BF"/>
    <w:rsid w:val="001C2E82"/>
    <w:rsid w:val="001C2F59"/>
    <w:rsid w:val="001C3377"/>
    <w:rsid w:val="001C3A41"/>
    <w:rsid w:val="001C4125"/>
    <w:rsid w:val="001C4AB1"/>
    <w:rsid w:val="001C55E3"/>
    <w:rsid w:val="001C69B3"/>
    <w:rsid w:val="001C6B3A"/>
    <w:rsid w:val="001C72AC"/>
    <w:rsid w:val="001C77F9"/>
    <w:rsid w:val="001D001F"/>
    <w:rsid w:val="001D04F9"/>
    <w:rsid w:val="001D0E2E"/>
    <w:rsid w:val="001D1A19"/>
    <w:rsid w:val="001D2AC4"/>
    <w:rsid w:val="001D371E"/>
    <w:rsid w:val="001D37E0"/>
    <w:rsid w:val="001D411C"/>
    <w:rsid w:val="001D4D4E"/>
    <w:rsid w:val="001D5595"/>
    <w:rsid w:val="001D5823"/>
    <w:rsid w:val="001D63CE"/>
    <w:rsid w:val="001D6852"/>
    <w:rsid w:val="001D6A1E"/>
    <w:rsid w:val="001D7874"/>
    <w:rsid w:val="001D78A9"/>
    <w:rsid w:val="001D7F22"/>
    <w:rsid w:val="001D7F7A"/>
    <w:rsid w:val="001E0519"/>
    <w:rsid w:val="001E1C19"/>
    <w:rsid w:val="001E22CA"/>
    <w:rsid w:val="001E274E"/>
    <w:rsid w:val="001E29B2"/>
    <w:rsid w:val="001E3A41"/>
    <w:rsid w:val="001E502B"/>
    <w:rsid w:val="001E581E"/>
    <w:rsid w:val="001E6CB9"/>
    <w:rsid w:val="001E72BD"/>
    <w:rsid w:val="001E75CF"/>
    <w:rsid w:val="001F0BC6"/>
    <w:rsid w:val="001F0F17"/>
    <w:rsid w:val="001F1694"/>
    <w:rsid w:val="001F2014"/>
    <w:rsid w:val="001F25C8"/>
    <w:rsid w:val="001F3347"/>
    <w:rsid w:val="001F4706"/>
    <w:rsid w:val="001F4B06"/>
    <w:rsid w:val="001F561F"/>
    <w:rsid w:val="001F5B36"/>
    <w:rsid w:val="001F5CC9"/>
    <w:rsid w:val="001F6198"/>
    <w:rsid w:val="001F69E4"/>
    <w:rsid w:val="001F6F26"/>
    <w:rsid w:val="001F6FEE"/>
    <w:rsid w:val="001F7B09"/>
    <w:rsid w:val="001F7FC8"/>
    <w:rsid w:val="00200A1C"/>
    <w:rsid w:val="00200DA8"/>
    <w:rsid w:val="00201D0E"/>
    <w:rsid w:val="002020C5"/>
    <w:rsid w:val="00202CED"/>
    <w:rsid w:val="00202E95"/>
    <w:rsid w:val="00203FF0"/>
    <w:rsid w:val="00205E1F"/>
    <w:rsid w:val="00205F06"/>
    <w:rsid w:val="002065C6"/>
    <w:rsid w:val="00210025"/>
    <w:rsid w:val="00210077"/>
    <w:rsid w:val="0021188D"/>
    <w:rsid w:val="0021194B"/>
    <w:rsid w:val="00212454"/>
    <w:rsid w:val="002125B4"/>
    <w:rsid w:val="0021305D"/>
    <w:rsid w:val="002149F5"/>
    <w:rsid w:val="00215435"/>
    <w:rsid w:val="002155B8"/>
    <w:rsid w:val="00216447"/>
    <w:rsid w:val="00217523"/>
    <w:rsid w:val="002211BE"/>
    <w:rsid w:val="0022129B"/>
    <w:rsid w:val="00221D87"/>
    <w:rsid w:val="002224BF"/>
    <w:rsid w:val="002234DA"/>
    <w:rsid w:val="002246DB"/>
    <w:rsid w:val="00224839"/>
    <w:rsid w:val="002249B2"/>
    <w:rsid w:val="00224CE4"/>
    <w:rsid w:val="00225800"/>
    <w:rsid w:val="002258B8"/>
    <w:rsid w:val="002259A0"/>
    <w:rsid w:val="00225C87"/>
    <w:rsid w:val="00226574"/>
    <w:rsid w:val="002266FB"/>
    <w:rsid w:val="00226803"/>
    <w:rsid w:val="002278EC"/>
    <w:rsid w:val="002279C5"/>
    <w:rsid w:val="00227B69"/>
    <w:rsid w:val="00230FC0"/>
    <w:rsid w:val="00231DA7"/>
    <w:rsid w:val="0023280E"/>
    <w:rsid w:val="002329A4"/>
    <w:rsid w:val="00232C3D"/>
    <w:rsid w:val="00233291"/>
    <w:rsid w:val="0023485B"/>
    <w:rsid w:val="00234994"/>
    <w:rsid w:val="00234A58"/>
    <w:rsid w:val="00236045"/>
    <w:rsid w:val="002365A0"/>
    <w:rsid w:val="0023688B"/>
    <w:rsid w:val="00236A7D"/>
    <w:rsid w:val="002377D1"/>
    <w:rsid w:val="0024032F"/>
    <w:rsid w:val="00241609"/>
    <w:rsid w:val="00242549"/>
    <w:rsid w:val="00242C08"/>
    <w:rsid w:val="00243DFF"/>
    <w:rsid w:val="00245A1C"/>
    <w:rsid w:val="002473B5"/>
    <w:rsid w:val="00247555"/>
    <w:rsid w:val="00247F2F"/>
    <w:rsid w:val="002506BC"/>
    <w:rsid w:val="00251A93"/>
    <w:rsid w:val="00252360"/>
    <w:rsid w:val="00252677"/>
    <w:rsid w:val="00253481"/>
    <w:rsid w:val="00254345"/>
    <w:rsid w:val="002544BC"/>
    <w:rsid w:val="00254F75"/>
    <w:rsid w:val="00255363"/>
    <w:rsid w:val="00255E30"/>
    <w:rsid w:val="002568D6"/>
    <w:rsid w:val="00257E79"/>
    <w:rsid w:val="002601BD"/>
    <w:rsid w:val="00260B04"/>
    <w:rsid w:val="002623C4"/>
    <w:rsid w:val="00263505"/>
    <w:rsid w:val="00264557"/>
    <w:rsid w:val="002652E5"/>
    <w:rsid w:val="00265E9F"/>
    <w:rsid w:val="00266A46"/>
    <w:rsid w:val="00267520"/>
    <w:rsid w:val="00267DA8"/>
    <w:rsid w:val="00267E2B"/>
    <w:rsid w:val="002714E5"/>
    <w:rsid w:val="00271B02"/>
    <w:rsid w:val="002721BA"/>
    <w:rsid w:val="002728B8"/>
    <w:rsid w:val="00273912"/>
    <w:rsid w:val="00273ABA"/>
    <w:rsid w:val="00273C41"/>
    <w:rsid w:val="0027445F"/>
    <w:rsid w:val="002747AA"/>
    <w:rsid w:val="00275922"/>
    <w:rsid w:val="00275D6E"/>
    <w:rsid w:val="00276D50"/>
    <w:rsid w:val="00277F91"/>
    <w:rsid w:val="00277FE3"/>
    <w:rsid w:val="002803A0"/>
    <w:rsid w:val="002803EF"/>
    <w:rsid w:val="0028043E"/>
    <w:rsid w:val="002805AB"/>
    <w:rsid w:val="00282B81"/>
    <w:rsid w:val="00283BBB"/>
    <w:rsid w:val="00284204"/>
    <w:rsid w:val="00284F14"/>
    <w:rsid w:val="00286BC0"/>
    <w:rsid w:val="00286D6F"/>
    <w:rsid w:val="0028716C"/>
    <w:rsid w:val="002871B8"/>
    <w:rsid w:val="00287693"/>
    <w:rsid w:val="00287F4F"/>
    <w:rsid w:val="00287FFB"/>
    <w:rsid w:val="00290572"/>
    <w:rsid w:val="002906BD"/>
    <w:rsid w:val="00290E98"/>
    <w:rsid w:val="0029101A"/>
    <w:rsid w:val="0029124C"/>
    <w:rsid w:val="00291773"/>
    <w:rsid w:val="00291CE4"/>
    <w:rsid w:val="00291FF8"/>
    <w:rsid w:val="00292649"/>
    <w:rsid w:val="00293DE0"/>
    <w:rsid w:val="00294375"/>
    <w:rsid w:val="00295F08"/>
    <w:rsid w:val="0029616B"/>
    <w:rsid w:val="00296ECE"/>
    <w:rsid w:val="00297C17"/>
    <w:rsid w:val="00297FD7"/>
    <w:rsid w:val="002A0102"/>
    <w:rsid w:val="002A0469"/>
    <w:rsid w:val="002A0561"/>
    <w:rsid w:val="002A106B"/>
    <w:rsid w:val="002A168C"/>
    <w:rsid w:val="002A1B76"/>
    <w:rsid w:val="002A1DCD"/>
    <w:rsid w:val="002A1F2A"/>
    <w:rsid w:val="002A2919"/>
    <w:rsid w:val="002A326F"/>
    <w:rsid w:val="002A3665"/>
    <w:rsid w:val="002A3DC7"/>
    <w:rsid w:val="002A4614"/>
    <w:rsid w:val="002A4660"/>
    <w:rsid w:val="002A5938"/>
    <w:rsid w:val="002A5E83"/>
    <w:rsid w:val="002B1A4F"/>
    <w:rsid w:val="002B2E0A"/>
    <w:rsid w:val="002B337F"/>
    <w:rsid w:val="002B3886"/>
    <w:rsid w:val="002B3BEA"/>
    <w:rsid w:val="002B3CFE"/>
    <w:rsid w:val="002B3E1A"/>
    <w:rsid w:val="002B4795"/>
    <w:rsid w:val="002B49E2"/>
    <w:rsid w:val="002B4C7E"/>
    <w:rsid w:val="002B4DAD"/>
    <w:rsid w:val="002B5F78"/>
    <w:rsid w:val="002B69BD"/>
    <w:rsid w:val="002B6E28"/>
    <w:rsid w:val="002B7B00"/>
    <w:rsid w:val="002B7BD1"/>
    <w:rsid w:val="002B7C44"/>
    <w:rsid w:val="002C04B7"/>
    <w:rsid w:val="002C052D"/>
    <w:rsid w:val="002C07EF"/>
    <w:rsid w:val="002C1124"/>
    <w:rsid w:val="002C2012"/>
    <w:rsid w:val="002C22EF"/>
    <w:rsid w:val="002C2488"/>
    <w:rsid w:val="002C2B17"/>
    <w:rsid w:val="002C2D05"/>
    <w:rsid w:val="002C2D9C"/>
    <w:rsid w:val="002C34EC"/>
    <w:rsid w:val="002C3D94"/>
    <w:rsid w:val="002C48A9"/>
    <w:rsid w:val="002C498F"/>
    <w:rsid w:val="002C533D"/>
    <w:rsid w:val="002C5EE4"/>
    <w:rsid w:val="002C62DF"/>
    <w:rsid w:val="002C6AC0"/>
    <w:rsid w:val="002C6F80"/>
    <w:rsid w:val="002C78A6"/>
    <w:rsid w:val="002D025A"/>
    <w:rsid w:val="002D2156"/>
    <w:rsid w:val="002D257A"/>
    <w:rsid w:val="002D29DC"/>
    <w:rsid w:val="002D2AD8"/>
    <w:rsid w:val="002D2FD2"/>
    <w:rsid w:val="002D3243"/>
    <w:rsid w:val="002D3DD0"/>
    <w:rsid w:val="002D42B0"/>
    <w:rsid w:val="002D5A44"/>
    <w:rsid w:val="002D5B60"/>
    <w:rsid w:val="002D5CD6"/>
    <w:rsid w:val="002D5FBC"/>
    <w:rsid w:val="002D684A"/>
    <w:rsid w:val="002D69E2"/>
    <w:rsid w:val="002D6B55"/>
    <w:rsid w:val="002D7E9A"/>
    <w:rsid w:val="002E0A0F"/>
    <w:rsid w:val="002E1749"/>
    <w:rsid w:val="002E1F3A"/>
    <w:rsid w:val="002E237A"/>
    <w:rsid w:val="002E249E"/>
    <w:rsid w:val="002E26E4"/>
    <w:rsid w:val="002E298A"/>
    <w:rsid w:val="002E2CDD"/>
    <w:rsid w:val="002E2E20"/>
    <w:rsid w:val="002E32C5"/>
    <w:rsid w:val="002E371D"/>
    <w:rsid w:val="002E3D61"/>
    <w:rsid w:val="002E4B14"/>
    <w:rsid w:val="002E4B5C"/>
    <w:rsid w:val="002E4BDD"/>
    <w:rsid w:val="002E513A"/>
    <w:rsid w:val="002E5729"/>
    <w:rsid w:val="002E59E3"/>
    <w:rsid w:val="002E6C55"/>
    <w:rsid w:val="002F0CBD"/>
    <w:rsid w:val="002F1012"/>
    <w:rsid w:val="002F19B7"/>
    <w:rsid w:val="002F2B69"/>
    <w:rsid w:val="002F3186"/>
    <w:rsid w:val="002F39AB"/>
    <w:rsid w:val="002F52AC"/>
    <w:rsid w:val="002F5646"/>
    <w:rsid w:val="002F6711"/>
    <w:rsid w:val="002F6BC0"/>
    <w:rsid w:val="002F7440"/>
    <w:rsid w:val="002F7B90"/>
    <w:rsid w:val="003000EC"/>
    <w:rsid w:val="00300805"/>
    <w:rsid w:val="00300939"/>
    <w:rsid w:val="00301916"/>
    <w:rsid w:val="00301978"/>
    <w:rsid w:val="00301BA5"/>
    <w:rsid w:val="00302DEA"/>
    <w:rsid w:val="0030332C"/>
    <w:rsid w:val="00304243"/>
    <w:rsid w:val="003051C2"/>
    <w:rsid w:val="00306212"/>
    <w:rsid w:val="00306A5F"/>
    <w:rsid w:val="00306C41"/>
    <w:rsid w:val="00306C98"/>
    <w:rsid w:val="003070B9"/>
    <w:rsid w:val="00307B28"/>
    <w:rsid w:val="00310FBF"/>
    <w:rsid w:val="00311CFB"/>
    <w:rsid w:val="00312296"/>
    <w:rsid w:val="003135EB"/>
    <w:rsid w:val="00313EDE"/>
    <w:rsid w:val="0031408B"/>
    <w:rsid w:val="003149C4"/>
    <w:rsid w:val="00314F0E"/>
    <w:rsid w:val="003152B1"/>
    <w:rsid w:val="0031561F"/>
    <w:rsid w:val="00315774"/>
    <w:rsid w:val="003163A6"/>
    <w:rsid w:val="0031654C"/>
    <w:rsid w:val="0031766E"/>
    <w:rsid w:val="003179DD"/>
    <w:rsid w:val="00317F6E"/>
    <w:rsid w:val="00321C61"/>
    <w:rsid w:val="00321C85"/>
    <w:rsid w:val="00321D8E"/>
    <w:rsid w:val="00323002"/>
    <w:rsid w:val="003237C1"/>
    <w:rsid w:val="00323A8B"/>
    <w:rsid w:val="0032414A"/>
    <w:rsid w:val="003258E7"/>
    <w:rsid w:val="00325928"/>
    <w:rsid w:val="0032592B"/>
    <w:rsid w:val="00325C00"/>
    <w:rsid w:val="00326650"/>
    <w:rsid w:val="003268C4"/>
    <w:rsid w:val="00326E39"/>
    <w:rsid w:val="00326E49"/>
    <w:rsid w:val="0032720C"/>
    <w:rsid w:val="00327BDA"/>
    <w:rsid w:val="00330169"/>
    <w:rsid w:val="00330F92"/>
    <w:rsid w:val="00331760"/>
    <w:rsid w:val="00332863"/>
    <w:rsid w:val="00333475"/>
    <w:rsid w:val="00333E9A"/>
    <w:rsid w:val="0033401F"/>
    <w:rsid w:val="00334A59"/>
    <w:rsid w:val="00334B03"/>
    <w:rsid w:val="003350DF"/>
    <w:rsid w:val="003351ED"/>
    <w:rsid w:val="00335BCB"/>
    <w:rsid w:val="0033684D"/>
    <w:rsid w:val="00337B42"/>
    <w:rsid w:val="00337E2B"/>
    <w:rsid w:val="00337F77"/>
    <w:rsid w:val="00340699"/>
    <w:rsid w:val="00340C2A"/>
    <w:rsid w:val="00340DEB"/>
    <w:rsid w:val="00341571"/>
    <w:rsid w:val="003416E0"/>
    <w:rsid w:val="00341B42"/>
    <w:rsid w:val="00342198"/>
    <w:rsid w:val="003428BB"/>
    <w:rsid w:val="0034348F"/>
    <w:rsid w:val="00344407"/>
    <w:rsid w:val="003467BB"/>
    <w:rsid w:val="00346929"/>
    <w:rsid w:val="00347618"/>
    <w:rsid w:val="00347E8A"/>
    <w:rsid w:val="00347FAA"/>
    <w:rsid w:val="0035011B"/>
    <w:rsid w:val="0035188C"/>
    <w:rsid w:val="00351CB8"/>
    <w:rsid w:val="00351E63"/>
    <w:rsid w:val="00352370"/>
    <w:rsid w:val="00352A66"/>
    <w:rsid w:val="00353076"/>
    <w:rsid w:val="00354129"/>
    <w:rsid w:val="00354589"/>
    <w:rsid w:val="003555BF"/>
    <w:rsid w:val="00355835"/>
    <w:rsid w:val="0035619A"/>
    <w:rsid w:val="00356653"/>
    <w:rsid w:val="0035743F"/>
    <w:rsid w:val="00357BE2"/>
    <w:rsid w:val="0036065B"/>
    <w:rsid w:val="0036170C"/>
    <w:rsid w:val="003620DC"/>
    <w:rsid w:val="00362142"/>
    <w:rsid w:val="00362524"/>
    <w:rsid w:val="003630D5"/>
    <w:rsid w:val="00363818"/>
    <w:rsid w:val="00363E86"/>
    <w:rsid w:val="00365326"/>
    <w:rsid w:val="00366BA0"/>
    <w:rsid w:val="00366E0F"/>
    <w:rsid w:val="003672E4"/>
    <w:rsid w:val="00367E47"/>
    <w:rsid w:val="003702D3"/>
    <w:rsid w:val="00371415"/>
    <w:rsid w:val="00371989"/>
    <w:rsid w:val="00372756"/>
    <w:rsid w:val="0037293E"/>
    <w:rsid w:val="00373200"/>
    <w:rsid w:val="00373BD4"/>
    <w:rsid w:val="00374156"/>
    <w:rsid w:val="0037474F"/>
    <w:rsid w:val="00374799"/>
    <w:rsid w:val="0037493C"/>
    <w:rsid w:val="0038026D"/>
    <w:rsid w:val="00380EA2"/>
    <w:rsid w:val="00381187"/>
    <w:rsid w:val="00381362"/>
    <w:rsid w:val="00381A72"/>
    <w:rsid w:val="00382005"/>
    <w:rsid w:val="00383638"/>
    <w:rsid w:val="00384676"/>
    <w:rsid w:val="00384B0A"/>
    <w:rsid w:val="003852E2"/>
    <w:rsid w:val="003855FF"/>
    <w:rsid w:val="00387324"/>
    <w:rsid w:val="00387ED7"/>
    <w:rsid w:val="0039003B"/>
    <w:rsid w:val="00390857"/>
    <w:rsid w:val="00390B94"/>
    <w:rsid w:val="00391026"/>
    <w:rsid w:val="00391417"/>
    <w:rsid w:val="003917D5"/>
    <w:rsid w:val="003922A7"/>
    <w:rsid w:val="00392884"/>
    <w:rsid w:val="003959A7"/>
    <w:rsid w:val="00396B81"/>
    <w:rsid w:val="00396FC7"/>
    <w:rsid w:val="003976FF"/>
    <w:rsid w:val="003A050F"/>
    <w:rsid w:val="003A05AE"/>
    <w:rsid w:val="003A0794"/>
    <w:rsid w:val="003A215D"/>
    <w:rsid w:val="003A221D"/>
    <w:rsid w:val="003A26F8"/>
    <w:rsid w:val="003A3190"/>
    <w:rsid w:val="003A39E2"/>
    <w:rsid w:val="003A42B8"/>
    <w:rsid w:val="003A4BF3"/>
    <w:rsid w:val="003A529A"/>
    <w:rsid w:val="003A78DA"/>
    <w:rsid w:val="003A7F5F"/>
    <w:rsid w:val="003B061E"/>
    <w:rsid w:val="003B1A11"/>
    <w:rsid w:val="003B1D1C"/>
    <w:rsid w:val="003B1D8B"/>
    <w:rsid w:val="003B1DA0"/>
    <w:rsid w:val="003B1DEF"/>
    <w:rsid w:val="003B2390"/>
    <w:rsid w:val="003B2CD2"/>
    <w:rsid w:val="003B363E"/>
    <w:rsid w:val="003B3BE3"/>
    <w:rsid w:val="003B420D"/>
    <w:rsid w:val="003B51D9"/>
    <w:rsid w:val="003B5E19"/>
    <w:rsid w:val="003B63C6"/>
    <w:rsid w:val="003B7002"/>
    <w:rsid w:val="003C0B2D"/>
    <w:rsid w:val="003C0B9E"/>
    <w:rsid w:val="003C0C28"/>
    <w:rsid w:val="003C39BF"/>
    <w:rsid w:val="003C3A29"/>
    <w:rsid w:val="003C3C32"/>
    <w:rsid w:val="003C3D0A"/>
    <w:rsid w:val="003C428E"/>
    <w:rsid w:val="003C43EB"/>
    <w:rsid w:val="003C4DB5"/>
    <w:rsid w:val="003C5BDD"/>
    <w:rsid w:val="003C62E1"/>
    <w:rsid w:val="003C6A4C"/>
    <w:rsid w:val="003C6C16"/>
    <w:rsid w:val="003D0FB8"/>
    <w:rsid w:val="003D1104"/>
    <w:rsid w:val="003D1944"/>
    <w:rsid w:val="003D2E5D"/>
    <w:rsid w:val="003D327F"/>
    <w:rsid w:val="003D3C4A"/>
    <w:rsid w:val="003D4955"/>
    <w:rsid w:val="003D6264"/>
    <w:rsid w:val="003D72BB"/>
    <w:rsid w:val="003D794D"/>
    <w:rsid w:val="003D7E1C"/>
    <w:rsid w:val="003E02E0"/>
    <w:rsid w:val="003E05C6"/>
    <w:rsid w:val="003E13E3"/>
    <w:rsid w:val="003E216A"/>
    <w:rsid w:val="003E2CE5"/>
    <w:rsid w:val="003E3058"/>
    <w:rsid w:val="003E310F"/>
    <w:rsid w:val="003E3157"/>
    <w:rsid w:val="003E45DD"/>
    <w:rsid w:val="003E509B"/>
    <w:rsid w:val="003E5611"/>
    <w:rsid w:val="003E651C"/>
    <w:rsid w:val="003E6C3B"/>
    <w:rsid w:val="003E76A9"/>
    <w:rsid w:val="003F002C"/>
    <w:rsid w:val="003F0655"/>
    <w:rsid w:val="003F0809"/>
    <w:rsid w:val="003F0E94"/>
    <w:rsid w:val="003F1550"/>
    <w:rsid w:val="003F1ACE"/>
    <w:rsid w:val="003F22E0"/>
    <w:rsid w:val="003F3373"/>
    <w:rsid w:val="003F37CE"/>
    <w:rsid w:val="003F41EC"/>
    <w:rsid w:val="003F49AC"/>
    <w:rsid w:val="003F6A8C"/>
    <w:rsid w:val="003F6D4F"/>
    <w:rsid w:val="003F755C"/>
    <w:rsid w:val="003F7EE2"/>
    <w:rsid w:val="00400B8F"/>
    <w:rsid w:val="00401633"/>
    <w:rsid w:val="00401FF6"/>
    <w:rsid w:val="004020D9"/>
    <w:rsid w:val="00402169"/>
    <w:rsid w:val="00402241"/>
    <w:rsid w:val="00402256"/>
    <w:rsid w:val="00402A73"/>
    <w:rsid w:val="00403F3C"/>
    <w:rsid w:val="0040486C"/>
    <w:rsid w:val="00405F17"/>
    <w:rsid w:val="00406353"/>
    <w:rsid w:val="00406F01"/>
    <w:rsid w:val="00406FEF"/>
    <w:rsid w:val="0040735C"/>
    <w:rsid w:val="004075EE"/>
    <w:rsid w:val="004103C7"/>
    <w:rsid w:val="00410B74"/>
    <w:rsid w:val="0041176F"/>
    <w:rsid w:val="004119A9"/>
    <w:rsid w:val="00411F2C"/>
    <w:rsid w:val="00412731"/>
    <w:rsid w:val="0041293C"/>
    <w:rsid w:val="00412CB2"/>
    <w:rsid w:val="0041432F"/>
    <w:rsid w:val="004146AD"/>
    <w:rsid w:val="00414F20"/>
    <w:rsid w:val="00416255"/>
    <w:rsid w:val="00416406"/>
    <w:rsid w:val="00416589"/>
    <w:rsid w:val="00416D50"/>
    <w:rsid w:val="00416FD5"/>
    <w:rsid w:val="0041745C"/>
    <w:rsid w:val="00417772"/>
    <w:rsid w:val="00417AC5"/>
    <w:rsid w:val="00417B1D"/>
    <w:rsid w:val="00417F8A"/>
    <w:rsid w:val="00420795"/>
    <w:rsid w:val="00420E6A"/>
    <w:rsid w:val="00422C16"/>
    <w:rsid w:val="0042314B"/>
    <w:rsid w:val="00424198"/>
    <w:rsid w:val="00425A9E"/>
    <w:rsid w:val="0042654A"/>
    <w:rsid w:val="00426CF7"/>
    <w:rsid w:val="00426D6B"/>
    <w:rsid w:val="00426DAD"/>
    <w:rsid w:val="00427099"/>
    <w:rsid w:val="00430E52"/>
    <w:rsid w:val="00431172"/>
    <w:rsid w:val="004318FA"/>
    <w:rsid w:val="00431E6C"/>
    <w:rsid w:val="004325A5"/>
    <w:rsid w:val="00433308"/>
    <w:rsid w:val="00433CE7"/>
    <w:rsid w:val="00434BEC"/>
    <w:rsid w:val="004353C7"/>
    <w:rsid w:val="00435C8B"/>
    <w:rsid w:val="00435E3B"/>
    <w:rsid w:val="00435FF6"/>
    <w:rsid w:val="00436E93"/>
    <w:rsid w:val="004372F1"/>
    <w:rsid w:val="00437623"/>
    <w:rsid w:val="0044193D"/>
    <w:rsid w:val="0044227A"/>
    <w:rsid w:val="004429A3"/>
    <w:rsid w:val="004432BD"/>
    <w:rsid w:val="004439A4"/>
    <w:rsid w:val="00444E8E"/>
    <w:rsid w:val="00445517"/>
    <w:rsid w:val="00445A90"/>
    <w:rsid w:val="00445EDD"/>
    <w:rsid w:val="00446F5D"/>
    <w:rsid w:val="00450F52"/>
    <w:rsid w:val="00450F90"/>
    <w:rsid w:val="004523E5"/>
    <w:rsid w:val="004524F0"/>
    <w:rsid w:val="00452505"/>
    <w:rsid w:val="00452609"/>
    <w:rsid w:val="004526D2"/>
    <w:rsid w:val="00452738"/>
    <w:rsid w:val="004536EB"/>
    <w:rsid w:val="00453947"/>
    <w:rsid w:val="00453F57"/>
    <w:rsid w:val="00455637"/>
    <w:rsid w:val="00455735"/>
    <w:rsid w:val="00455FB3"/>
    <w:rsid w:val="00456091"/>
    <w:rsid w:val="0045653E"/>
    <w:rsid w:val="004579A4"/>
    <w:rsid w:val="00462656"/>
    <w:rsid w:val="004644F6"/>
    <w:rsid w:val="00464AAC"/>
    <w:rsid w:val="00464C47"/>
    <w:rsid w:val="00464E96"/>
    <w:rsid w:val="0046585F"/>
    <w:rsid w:val="00465FC3"/>
    <w:rsid w:val="00466321"/>
    <w:rsid w:val="00467E63"/>
    <w:rsid w:val="00467EB1"/>
    <w:rsid w:val="00470BBB"/>
    <w:rsid w:val="00471774"/>
    <w:rsid w:val="0047267D"/>
    <w:rsid w:val="004726B5"/>
    <w:rsid w:val="00473210"/>
    <w:rsid w:val="0047392A"/>
    <w:rsid w:val="004746C5"/>
    <w:rsid w:val="00474E48"/>
    <w:rsid w:val="004750FA"/>
    <w:rsid w:val="0047552F"/>
    <w:rsid w:val="00475A09"/>
    <w:rsid w:val="00475D5A"/>
    <w:rsid w:val="00476398"/>
    <w:rsid w:val="00480818"/>
    <w:rsid w:val="00481C64"/>
    <w:rsid w:val="0048275D"/>
    <w:rsid w:val="00482AF8"/>
    <w:rsid w:val="00482DF3"/>
    <w:rsid w:val="00482E69"/>
    <w:rsid w:val="00483D78"/>
    <w:rsid w:val="0048409E"/>
    <w:rsid w:val="00484356"/>
    <w:rsid w:val="00484364"/>
    <w:rsid w:val="0048486F"/>
    <w:rsid w:val="00484B9B"/>
    <w:rsid w:val="0048506A"/>
    <w:rsid w:val="004855F6"/>
    <w:rsid w:val="00485F90"/>
    <w:rsid w:val="004865A4"/>
    <w:rsid w:val="0048661E"/>
    <w:rsid w:val="004878A8"/>
    <w:rsid w:val="004879C1"/>
    <w:rsid w:val="004900CA"/>
    <w:rsid w:val="00490C41"/>
    <w:rsid w:val="00491170"/>
    <w:rsid w:val="004912EB"/>
    <w:rsid w:val="004916F7"/>
    <w:rsid w:val="00492D86"/>
    <w:rsid w:val="004939EE"/>
    <w:rsid w:val="00493D70"/>
    <w:rsid w:val="00494623"/>
    <w:rsid w:val="00494670"/>
    <w:rsid w:val="004947DD"/>
    <w:rsid w:val="00494E84"/>
    <w:rsid w:val="00495095"/>
    <w:rsid w:val="004951F7"/>
    <w:rsid w:val="004958AD"/>
    <w:rsid w:val="00495CA5"/>
    <w:rsid w:val="004A0617"/>
    <w:rsid w:val="004A0830"/>
    <w:rsid w:val="004A25C1"/>
    <w:rsid w:val="004A2AEE"/>
    <w:rsid w:val="004A3823"/>
    <w:rsid w:val="004A389A"/>
    <w:rsid w:val="004A4062"/>
    <w:rsid w:val="004A4A04"/>
    <w:rsid w:val="004A4ACD"/>
    <w:rsid w:val="004A5206"/>
    <w:rsid w:val="004A644F"/>
    <w:rsid w:val="004A65AA"/>
    <w:rsid w:val="004A65C1"/>
    <w:rsid w:val="004A66FC"/>
    <w:rsid w:val="004A6DAB"/>
    <w:rsid w:val="004A6ECA"/>
    <w:rsid w:val="004B0818"/>
    <w:rsid w:val="004B0AB5"/>
    <w:rsid w:val="004B0AE1"/>
    <w:rsid w:val="004B0BA7"/>
    <w:rsid w:val="004B4060"/>
    <w:rsid w:val="004B42B0"/>
    <w:rsid w:val="004B44EA"/>
    <w:rsid w:val="004B63CA"/>
    <w:rsid w:val="004C105A"/>
    <w:rsid w:val="004C15EB"/>
    <w:rsid w:val="004C19AB"/>
    <w:rsid w:val="004C2251"/>
    <w:rsid w:val="004C2436"/>
    <w:rsid w:val="004C26B9"/>
    <w:rsid w:val="004C28EB"/>
    <w:rsid w:val="004C31F7"/>
    <w:rsid w:val="004C3444"/>
    <w:rsid w:val="004C47FE"/>
    <w:rsid w:val="004C4934"/>
    <w:rsid w:val="004C4A56"/>
    <w:rsid w:val="004C4BFD"/>
    <w:rsid w:val="004C6084"/>
    <w:rsid w:val="004C75C6"/>
    <w:rsid w:val="004C79F8"/>
    <w:rsid w:val="004C7C2D"/>
    <w:rsid w:val="004D08EC"/>
    <w:rsid w:val="004D1B69"/>
    <w:rsid w:val="004D251C"/>
    <w:rsid w:val="004D3AFB"/>
    <w:rsid w:val="004D3AFD"/>
    <w:rsid w:val="004D42C7"/>
    <w:rsid w:val="004D5C41"/>
    <w:rsid w:val="004D6730"/>
    <w:rsid w:val="004D6B57"/>
    <w:rsid w:val="004D6E55"/>
    <w:rsid w:val="004D6FE2"/>
    <w:rsid w:val="004D7278"/>
    <w:rsid w:val="004D7D1E"/>
    <w:rsid w:val="004D7FF7"/>
    <w:rsid w:val="004E0866"/>
    <w:rsid w:val="004E1608"/>
    <w:rsid w:val="004E1655"/>
    <w:rsid w:val="004E169F"/>
    <w:rsid w:val="004E1ED4"/>
    <w:rsid w:val="004E2E7B"/>
    <w:rsid w:val="004E3100"/>
    <w:rsid w:val="004E3BA2"/>
    <w:rsid w:val="004E4858"/>
    <w:rsid w:val="004E503E"/>
    <w:rsid w:val="004E6946"/>
    <w:rsid w:val="004E6E80"/>
    <w:rsid w:val="004F0E41"/>
    <w:rsid w:val="004F1AD8"/>
    <w:rsid w:val="004F1CC7"/>
    <w:rsid w:val="004F24D1"/>
    <w:rsid w:val="004F2A5A"/>
    <w:rsid w:val="004F3054"/>
    <w:rsid w:val="004F3959"/>
    <w:rsid w:val="004F51FF"/>
    <w:rsid w:val="004F6530"/>
    <w:rsid w:val="004F7171"/>
    <w:rsid w:val="004F721A"/>
    <w:rsid w:val="004F7C09"/>
    <w:rsid w:val="004F7D44"/>
    <w:rsid w:val="004F7E89"/>
    <w:rsid w:val="005002A7"/>
    <w:rsid w:val="005007D5"/>
    <w:rsid w:val="00500C00"/>
    <w:rsid w:val="00500FC5"/>
    <w:rsid w:val="00502D30"/>
    <w:rsid w:val="00502FD4"/>
    <w:rsid w:val="005039CB"/>
    <w:rsid w:val="00503E09"/>
    <w:rsid w:val="0050558F"/>
    <w:rsid w:val="00506249"/>
    <w:rsid w:val="00506286"/>
    <w:rsid w:val="0050662F"/>
    <w:rsid w:val="005066E4"/>
    <w:rsid w:val="00510020"/>
    <w:rsid w:val="005104C3"/>
    <w:rsid w:val="00510813"/>
    <w:rsid w:val="00510CA3"/>
    <w:rsid w:val="00511990"/>
    <w:rsid w:val="00511AAF"/>
    <w:rsid w:val="00511DE0"/>
    <w:rsid w:val="00512150"/>
    <w:rsid w:val="005125B9"/>
    <w:rsid w:val="0051356B"/>
    <w:rsid w:val="005140C6"/>
    <w:rsid w:val="00514870"/>
    <w:rsid w:val="00514AC6"/>
    <w:rsid w:val="00514B9B"/>
    <w:rsid w:val="00514DA5"/>
    <w:rsid w:val="0051559B"/>
    <w:rsid w:val="005171BA"/>
    <w:rsid w:val="00517F02"/>
    <w:rsid w:val="00520553"/>
    <w:rsid w:val="00520FA7"/>
    <w:rsid w:val="00521BBA"/>
    <w:rsid w:val="0052246E"/>
    <w:rsid w:val="005228DF"/>
    <w:rsid w:val="00524303"/>
    <w:rsid w:val="00524D65"/>
    <w:rsid w:val="00525890"/>
    <w:rsid w:val="005258A2"/>
    <w:rsid w:val="005264CA"/>
    <w:rsid w:val="00526AEF"/>
    <w:rsid w:val="00526D31"/>
    <w:rsid w:val="00526EE9"/>
    <w:rsid w:val="005277CC"/>
    <w:rsid w:val="00527F8B"/>
    <w:rsid w:val="005304AC"/>
    <w:rsid w:val="00530957"/>
    <w:rsid w:val="00530A3A"/>
    <w:rsid w:val="0053246D"/>
    <w:rsid w:val="00532707"/>
    <w:rsid w:val="005334E8"/>
    <w:rsid w:val="00534996"/>
    <w:rsid w:val="00534EB8"/>
    <w:rsid w:val="00536610"/>
    <w:rsid w:val="0053670C"/>
    <w:rsid w:val="00536BDA"/>
    <w:rsid w:val="00536F77"/>
    <w:rsid w:val="00537757"/>
    <w:rsid w:val="005377F7"/>
    <w:rsid w:val="00537FE4"/>
    <w:rsid w:val="00540092"/>
    <w:rsid w:val="00540128"/>
    <w:rsid w:val="005401AE"/>
    <w:rsid w:val="00540A89"/>
    <w:rsid w:val="00540C84"/>
    <w:rsid w:val="00540CE4"/>
    <w:rsid w:val="005410D5"/>
    <w:rsid w:val="00541939"/>
    <w:rsid w:val="00541C44"/>
    <w:rsid w:val="00542E07"/>
    <w:rsid w:val="0054315B"/>
    <w:rsid w:val="005434F4"/>
    <w:rsid w:val="00544268"/>
    <w:rsid w:val="00545424"/>
    <w:rsid w:val="0054576D"/>
    <w:rsid w:val="0054589F"/>
    <w:rsid w:val="00545993"/>
    <w:rsid w:val="00545B69"/>
    <w:rsid w:val="00546B5F"/>
    <w:rsid w:val="0054775E"/>
    <w:rsid w:val="00550D46"/>
    <w:rsid w:val="00552C24"/>
    <w:rsid w:val="005538C9"/>
    <w:rsid w:val="00554A7B"/>
    <w:rsid w:val="0055572C"/>
    <w:rsid w:val="00556328"/>
    <w:rsid w:val="00557043"/>
    <w:rsid w:val="00560E62"/>
    <w:rsid w:val="0056106A"/>
    <w:rsid w:val="00561E01"/>
    <w:rsid w:val="005624A7"/>
    <w:rsid w:val="005624EC"/>
    <w:rsid w:val="005638BD"/>
    <w:rsid w:val="00563BA2"/>
    <w:rsid w:val="00564972"/>
    <w:rsid w:val="00566546"/>
    <w:rsid w:val="0056673D"/>
    <w:rsid w:val="0056766D"/>
    <w:rsid w:val="005715CE"/>
    <w:rsid w:val="005720AE"/>
    <w:rsid w:val="005725C7"/>
    <w:rsid w:val="00573163"/>
    <w:rsid w:val="005738F8"/>
    <w:rsid w:val="00574768"/>
    <w:rsid w:val="0057543F"/>
    <w:rsid w:val="0057560C"/>
    <w:rsid w:val="00576F0A"/>
    <w:rsid w:val="00577651"/>
    <w:rsid w:val="00577889"/>
    <w:rsid w:val="005805A2"/>
    <w:rsid w:val="00580C6E"/>
    <w:rsid w:val="0058229C"/>
    <w:rsid w:val="005835D7"/>
    <w:rsid w:val="00584F86"/>
    <w:rsid w:val="00585099"/>
    <w:rsid w:val="005857BF"/>
    <w:rsid w:val="00586290"/>
    <w:rsid w:val="0058723A"/>
    <w:rsid w:val="005902F1"/>
    <w:rsid w:val="0059159A"/>
    <w:rsid w:val="00591BD8"/>
    <w:rsid w:val="00591DB4"/>
    <w:rsid w:val="00591F6F"/>
    <w:rsid w:val="005925E1"/>
    <w:rsid w:val="00593E75"/>
    <w:rsid w:val="0059402A"/>
    <w:rsid w:val="00594194"/>
    <w:rsid w:val="005943B5"/>
    <w:rsid w:val="00594BF5"/>
    <w:rsid w:val="00594D77"/>
    <w:rsid w:val="00595B1E"/>
    <w:rsid w:val="005963F1"/>
    <w:rsid w:val="00596522"/>
    <w:rsid w:val="005969E4"/>
    <w:rsid w:val="00596C1D"/>
    <w:rsid w:val="0059734D"/>
    <w:rsid w:val="005A06B7"/>
    <w:rsid w:val="005A0B30"/>
    <w:rsid w:val="005A0E1D"/>
    <w:rsid w:val="005A1759"/>
    <w:rsid w:val="005A1BF3"/>
    <w:rsid w:val="005A2725"/>
    <w:rsid w:val="005A2BF4"/>
    <w:rsid w:val="005A4261"/>
    <w:rsid w:val="005A5450"/>
    <w:rsid w:val="005A68A7"/>
    <w:rsid w:val="005B1416"/>
    <w:rsid w:val="005B210F"/>
    <w:rsid w:val="005B2A10"/>
    <w:rsid w:val="005B2CD0"/>
    <w:rsid w:val="005B40B9"/>
    <w:rsid w:val="005B41FF"/>
    <w:rsid w:val="005B4CB8"/>
    <w:rsid w:val="005B5342"/>
    <w:rsid w:val="005B58B4"/>
    <w:rsid w:val="005B62F8"/>
    <w:rsid w:val="005B706C"/>
    <w:rsid w:val="005B77D0"/>
    <w:rsid w:val="005C0CC6"/>
    <w:rsid w:val="005C0CFD"/>
    <w:rsid w:val="005C0D21"/>
    <w:rsid w:val="005C1B63"/>
    <w:rsid w:val="005C22B5"/>
    <w:rsid w:val="005C38D0"/>
    <w:rsid w:val="005C408B"/>
    <w:rsid w:val="005C4446"/>
    <w:rsid w:val="005C497A"/>
    <w:rsid w:val="005C66E0"/>
    <w:rsid w:val="005C6D0C"/>
    <w:rsid w:val="005C73D4"/>
    <w:rsid w:val="005D0907"/>
    <w:rsid w:val="005D0F28"/>
    <w:rsid w:val="005D1076"/>
    <w:rsid w:val="005D17A2"/>
    <w:rsid w:val="005D193C"/>
    <w:rsid w:val="005D1D24"/>
    <w:rsid w:val="005D2888"/>
    <w:rsid w:val="005D36AB"/>
    <w:rsid w:val="005D3F37"/>
    <w:rsid w:val="005D4DA5"/>
    <w:rsid w:val="005D61D0"/>
    <w:rsid w:val="005D696B"/>
    <w:rsid w:val="005D6C0F"/>
    <w:rsid w:val="005E0F60"/>
    <w:rsid w:val="005E1FBF"/>
    <w:rsid w:val="005E2370"/>
    <w:rsid w:val="005E5430"/>
    <w:rsid w:val="005E5DFA"/>
    <w:rsid w:val="005E62BF"/>
    <w:rsid w:val="005E6B4E"/>
    <w:rsid w:val="005E70F8"/>
    <w:rsid w:val="005E7E75"/>
    <w:rsid w:val="005F06A7"/>
    <w:rsid w:val="005F0784"/>
    <w:rsid w:val="005F0C55"/>
    <w:rsid w:val="005F0EB3"/>
    <w:rsid w:val="005F11E4"/>
    <w:rsid w:val="005F174A"/>
    <w:rsid w:val="005F251F"/>
    <w:rsid w:val="005F42BF"/>
    <w:rsid w:val="005F4394"/>
    <w:rsid w:val="005F4BA2"/>
    <w:rsid w:val="005F5162"/>
    <w:rsid w:val="005F524F"/>
    <w:rsid w:val="005F5512"/>
    <w:rsid w:val="005F5993"/>
    <w:rsid w:val="005F5B5E"/>
    <w:rsid w:val="005F615E"/>
    <w:rsid w:val="005F66A5"/>
    <w:rsid w:val="005F712E"/>
    <w:rsid w:val="005F73EF"/>
    <w:rsid w:val="005F76BB"/>
    <w:rsid w:val="005F7AAA"/>
    <w:rsid w:val="005F7B97"/>
    <w:rsid w:val="006001F5"/>
    <w:rsid w:val="0060027F"/>
    <w:rsid w:val="00600904"/>
    <w:rsid w:val="00600F70"/>
    <w:rsid w:val="00601014"/>
    <w:rsid w:val="006034CB"/>
    <w:rsid w:val="00604B2A"/>
    <w:rsid w:val="006058E2"/>
    <w:rsid w:val="00606B08"/>
    <w:rsid w:val="00607622"/>
    <w:rsid w:val="00610128"/>
    <w:rsid w:val="0061107F"/>
    <w:rsid w:val="00611827"/>
    <w:rsid w:val="00612C5D"/>
    <w:rsid w:val="00612E56"/>
    <w:rsid w:val="006138AD"/>
    <w:rsid w:val="006144A2"/>
    <w:rsid w:val="00615156"/>
    <w:rsid w:val="00615F6A"/>
    <w:rsid w:val="0061638D"/>
    <w:rsid w:val="00616A8B"/>
    <w:rsid w:val="006172DB"/>
    <w:rsid w:val="00617A6C"/>
    <w:rsid w:val="00617CC3"/>
    <w:rsid w:val="00621E52"/>
    <w:rsid w:val="00623859"/>
    <w:rsid w:val="00623963"/>
    <w:rsid w:val="0062431F"/>
    <w:rsid w:val="00624630"/>
    <w:rsid w:val="0062511A"/>
    <w:rsid w:val="006258DF"/>
    <w:rsid w:val="00626015"/>
    <w:rsid w:val="00626830"/>
    <w:rsid w:val="00626EC4"/>
    <w:rsid w:val="0062745A"/>
    <w:rsid w:val="006306CD"/>
    <w:rsid w:val="006310AA"/>
    <w:rsid w:val="00631218"/>
    <w:rsid w:val="006317F3"/>
    <w:rsid w:val="00633730"/>
    <w:rsid w:val="00633C14"/>
    <w:rsid w:val="00634365"/>
    <w:rsid w:val="00634AF2"/>
    <w:rsid w:val="00636E81"/>
    <w:rsid w:val="00636FF2"/>
    <w:rsid w:val="006377A6"/>
    <w:rsid w:val="00637A3D"/>
    <w:rsid w:val="0064037A"/>
    <w:rsid w:val="00640670"/>
    <w:rsid w:val="006411EF"/>
    <w:rsid w:val="00641D4E"/>
    <w:rsid w:val="00641F69"/>
    <w:rsid w:val="006425FB"/>
    <w:rsid w:val="006432EE"/>
    <w:rsid w:val="006435C1"/>
    <w:rsid w:val="006439AC"/>
    <w:rsid w:val="00645269"/>
    <w:rsid w:val="006454B3"/>
    <w:rsid w:val="0064567B"/>
    <w:rsid w:val="00645D0D"/>
    <w:rsid w:val="00646160"/>
    <w:rsid w:val="00646267"/>
    <w:rsid w:val="006467AD"/>
    <w:rsid w:val="00646A20"/>
    <w:rsid w:val="006470E8"/>
    <w:rsid w:val="00650DE9"/>
    <w:rsid w:val="006518CB"/>
    <w:rsid w:val="00651CD4"/>
    <w:rsid w:val="00652CC1"/>
    <w:rsid w:val="006532D6"/>
    <w:rsid w:val="00653DD0"/>
    <w:rsid w:val="00654BBA"/>
    <w:rsid w:val="00654FF8"/>
    <w:rsid w:val="006562A8"/>
    <w:rsid w:val="006603A2"/>
    <w:rsid w:val="00660648"/>
    <w:rsid w:val="006606B1"/>
    <w:rsid w:val="00660775"/>
    <w:rsid w:val="00661770"/>
    <w:rsid w:val="00661ABA"/>
    <w:rsid w:val="0066215E"/>
    <w:rsid w:val="006626BE"/>
    <w:rsid w:val="00662ADB"/>
    <w:rsid w:val="00662BA8"/>
    <w:rsid w:val="00662D54"/>
    <w:rsid w:val="00663A99"/>
    <w:rsid w:val="006643B5"/>
    <w:rsid w:val="00664CE7"/>
    <w:rsid w:val="00665014"/>
    <w:rsid w:val="006654E1"/>
    <w:rsid w:val="00666085"/>
    <w:rsid w:val="00666854"/>
    <w:rsid w:val="00666EF2"/>
    <w:rsid w:val="006700A2"/>
    <w:rsid w:val="00670479"/>
    <w:rsid w:val="0067129C"/>
    <w:rsid w:val="0067136D"/>
    <w:rsid w:val="00671C94"/>
    <w:rsid w:val="0067247A"/>
    <w:rsid w:val="00672BA7"/>
    <w:rsid w:val="006748B8"/>
    <w:rsid w:val="0067538D"/>
    <w:rsid w:val="0067557C"/>
    <w:rsid w:val="0067601D"/>
    <w:rsid w:val="00676096"/>
    <w:rsid w:val="006762A4"/>
    <w:rsid w:val="00676A60"/>
    <w:rsid w:val="006775C3"/>
    <w:rsid w:val="00677954"/>
    <w:rsid w:val="00677AEB"/>
    <w:rsid w:val="00677BFE"/>
    <w:rsid w:val="00681640"/>
    <w:rsid w:val="006828C7"/>
    <w:rsid w:val="00682C76"/>
    <w:rsid w:val="006846B5"/>
    <w:rsid w:val="006866DE"/>
    <w:rsid w:val="00686D08"/>
    <w:rsid w:val="0068710F"/>
    <w:rsid w:val="006872CD"/>
    <w:rsid w:val="00687EE8"/>
    <w:rsid w:val="00690223"/>
    <w:rsid w:val="00690372"/>
    <w:rsid w:val="00692190"/>
    <w:rsid w:val="00692458"/>
    <w:rsid w:val="0069290A"/>
    <w:rsid w:val="00692DB0"/>
    <w:rsid w:val="00693675"/>
    <w:rsid w:val="00693812"/>
    <w:rsid w:val="00694260"/>
    <w:rsid w:val="00694513"/>
    <w:rsid w:val="00695A9A"/>
    <w:rsid w:val="006970C9"/>
    <w:rsid w:val="00697389"/>
    <w:rsid w:val="0069775A"/>
    <w:rsid w:val="00697813"/>
    <w:rsid w:val="006A03C2"/>
    <w:rsid w:val="006A109D"/>
    <w:rsid w:val="006A1EB4"/>
    <w:rsid w:val="006A2C2F"/>
    <w:rsid w:val="006A2F5B"/>
    <w:rsid w:val="006A32AE"/>
    <w:rsid w:val="006A3EE8"/>
    <w:rsid w:val="006A4081"/>
    <w:rsid w:val="006A42F9"/>
    <w:rsid w:val="006A453F"/>
    <w:rsid w:val="006A57ED"/>
    <w:rsid w:val="006A59F0"/>
    <w:rsid w:val="006A6A25"/>
    <w:rsid w:val="006A72BF"/>
    <w:rsid w:val="006A753D"/>
    <w:rsid w:val="006A7FF1"/>
    <w:rsid w:val="006B03F2"/>
    <w:rsid w:val="006B046B"/>
    <w:rsid w:val="006B12A1"/>
    <w:rsid w:val="006B16A8"/>
    <w:rsid w:val="006B1DED"/>
    <w:rsid w:val="006B2F9D"/>
    <w:rsid w:val="006B31BD"/>
    <w:rsid w:val="006B33D4"/>
    <w:rsid w:val="006B33EB"/>
    <w:rsid w:val="006B37DC"/>
    <w:rsid w:val="006B388E"/>
    <w:rsid w:val="006B4F68"/>
    <w:rsid w:val="006B5FC1"/>
    <w:rsid w:val="006B60D3"/>
    <w:rsid w:val="006B78FC"/>
    <w:rsid w:val="006B7AC6"/>
    <w:rsid w:val="006C0592"/>
    <w:rsid w:val="006C0617"/>
    <w:rsid w:val="006C1D12"/>
    <w:rsid w:val="006C272E"/>
    <w:rsid w:val="006C289C"/>
    <w:rsid w:val="006C2A95"/>
    <w:rsid w:val="006C327C"/>
    <w:rsid w:val="006C44A9"/>
    <w:rsid w:val="006C465E"/>
    <w:rsid w:val="006C4A2D"/>
    <w:rsid w:val="006C5338"/>
    <w:rsid w:val="006C5479"/>
    <w:rsid w:val="006C5847"/>
    <w:rsid w:val="006D08D1"/>
    <w:rsid w:val="006D08F3"/>
    <w:rsid w:val="006D0D8D"/>
    <w:rsid w:val="006D13B5"/>
    <w:rsid w:val="006D1687"/>
    <w:rsid w:val="006D30B3"/>
    <w:rsid w:val="006D35D3"/>
    <w:rsid w:val="006D5E33"/>
    <w:rsid w:val="006D72CD"/>
    <w:rsid w:val="006D7C2C"/>
    <w:rsid w:val="006E07CA"/>
    <w:rsid w:val="006E0D89"/>
    <w:rsid w:val="006E10A2"/>
    <w:rsid w:val="006E12FF"/>
    <w:rsid w:val="006E143F"/>
    <w:rsid w:val="006E1B8D"/>
    <w:rsid w:val="006E1F31"/>
    <w:rsid w:val="006E25C5"/>
    <w:rsid w:val="006E2B81"/>
    <w:rsid w:val="006E3E3C"/>
    <w:rsid w:val="006E40B2"/>
    <w:rsid w:val="006E57E9"/>
    <w:rsid w:val="006E5B53"/>
    <w:rsid w:val="006E5BCF"/>
    <w:rsid w:val="006E607E"/>
    <w:rsid w:val="006E6EC1"/>
    <w:rsid w:val="006E7113"/>
    <w:rsid w:val="006F1024"/>
    <w:rsid w:val="006F21B6"/>
    <w:rsid w:val="006F2A73"/>
    <w:rsid w:val="006F4100"/>
    <w:rsid w:val="006F4654"/>
    <w:rsid w:val="006F536C"/>
    <w:rsid w:val="006F5B9F"/>
    <w:rsid w:val="006F6726"/>
    <w:rsid w:val="006F6B18"/>
    <w:rsid w:val="006F6FE3"/>
    <w:rsid w:val="007003C4"/>
    <w:rsid w:val="00700492"/>
    <w:rsid w:val="0070067C"/>
    <w:rsid w:val="00700746"/>
    <w:rsid w:val="00700E0E"/>
    <w:rsid w:val="0070223F"/>
    <w:rsid w:val="007048F5"/>
    <w:rsid w:val="00704CBC"/>
    <w:rsid w:val="00704D39"/>
    <w:rsid w:val="00705AD7"/>
    <w:rsid w:val="00706290"/>
    <w:rsid w:val="00706B21"/>
    <w:rsid w:val="00706C5D"/>
    <w:rsid w:val="00706E7E"/>
    <w:rsid w:val="0071098A"/>
    <w:rsid w:val="00710B5D"/>
    <w:rsid w:val="007114E4"/>
    <w:rsid w:val="00711C75"/>
    <w:rsid w:val="00712020"/>
    <w:rsid w:val="00712EED"/>
    <w:rsid w:val="00712F3F"/>
    <w:rsid w:val="00713FA0"/>
    <w:rsid w:val="00714758"/>
    <w:rsid w:val="0071485A"/>
    <w:rsid w:val="0071780B"/>
    <w:rsid w:val="0072009A"/>
    <w:rsid w:val="007208DE"/>
    <w:rsid w:val="00721543"/>
    <w:rsid w:val="00721992"/>
    <w:rsid w:val="00721A4F"/>
    <w:rsid w:val="00721DBE"/>
    <w:rsid w:val="007232CB"/>
    <w:rsid w:val="00723E8E"/>
    <w:rsid w:val="00725658"/>
    <w:rsid w:val="00726B00"/>
    <w:rsid w:val="0072706A"/>
    <w:rsid w:val="00727217"/>
    <w:rsid w:val="00727EE8"/>
    <w:rsid w:val="00727EEB"/>
    <w:rsid w:val="007303E1"/>
    <w:rsid w:val="00730881"/>
    <w:rsid w:val="00731DC5"/>
    <w:rsid w:val="00732299"/>
    <w:rsid w:val="00732922"/>
    <w:rsid w:val="00732EFF"/>
    <w:rsid w:val="00732FEC"/>
    <w:rsid w:val="007333D1"/>
    <w:rsid w:val="00733A85"/>
    <w:rsid w:val="007343DD"/>
    <w:rsid w:val="00735149"/>
    <w:rsid w:val="00736262"/>
    <w:rsid w:val="0074022F"/>
    <w:rsid w:val="0074028E"/>
    <w:rsid w:val="0074198B"/>
    <w:rsid w:val="007422FF"/>
    <w:rsid w:val="0074264D"/>
    <w:rsid w:val="0074373B"/>
    <w:rsid w:val="007443F3"/>
    <w:rsid w:val="0074492B"/>
    <w:rsid w:val="00744F16"/>
    <w:rsid w:val="0074540C"/>
    <w:rsid w:val="00746303"/>
    <w:rsid w:val="00746D46"/>
    <w:rsid w:val="00746DF9"/>
    <w:rsid w:val="007475D0"/>
    <w:rsid w:val="007502D6"/>
    <w:rsid w:val="0075162E"/>
    <w:rsid w:val="007533A8"/>
    <w:rsid w:val="00754034"/>
    <w:rsid w:val="007549F2"/>
    <w:rsid w:val="00754A72"/>
    <w:rsid w:val="00755120"/>
    <w:rsid w:val="0075559C"/>
    <w:rsid w:val="00755975"/>
    <w:rsid w:val="00755A78"/>
    <w:rsid w:val="00756556"/>
    <w:rsid w:val="00756714"/>
    <w:rsid w:val="00756C16"/>
    <w:rsid w:val="00760B17"/>
    <w:rsid w:val="0076187F"/>
    <w:rsid w:val="007618C4"/>
    <w:rsid w:val="0076297D"/>
    <w:rsid w:val="00763550"/>
    <w:rsid w:val="0076373E"/>
    <w:rsid w:val="00763EDE"/>
    <w:rsid w:val="0076567D"/>
    <w:rsid w:val="00765DF2"/>
    <w:rsid w:val="00767980"/>
    <w:rsid w:val="00767BF8"/>
    <w:rsid w:val="00767DF5"/>
    <w:rsid w:val="007701B6"/>
    <w:rsid w:val="00770517"/>
    <w:rsid w:val="007707BF"/>
    <w:rsid w:val="00770B19"/>
    <w:rsid w:val="0077240E"/>
    <w:rsid w:val="0077296D"/>
    <w:rsid w:val="0077396C"/>
    <w:rsid w:val="0077463F"/>
    <w:rsid w:val="00776C46"/>
    <w:rsid w:val="007775B2"/>
    <w:rsid w:val="00777C49"/>
    <w:rsid w:val="00780774"/>
    <w:rsid w:val="00781531"/>
    <w:rsid w:val="007830BE"/>
    <w:rsid w:val="007836EA"/>
    <w:rsid w:val="00784121"/>
    <w:rsid w:val="0078487B"/>
    <w:rsid w:val="00784CDA"/>
    <w:rsid w:val="00784CFC"/>
    <w:rsid w:val="00785250"/>
    <w:rsid w:val="00785283"/>
    <w:rsid w:val="00785E9C"/>
    <w:rsid w:val="00786628"/>
    <w:rsid w:val="007868F1"/>
    <w:rsid w:val="00786A90"/>
    <w:rsid w:val="00786AA5"/>
    <w:rsid w:val="00786B5A"/>
    <w:rsid w:val="0078720F"/>
    <w:rsid w:val="007906C4"/>
    <w:rsid w:val="00790A48"/>
    <w:rsid w:val="00791703"/>
    <w:rsid w:val="007925FA"/>
    <w:rsid w:val="00792917"/>
    <w:rsid w:val="007929D1"/>
    <w:rsid w:val="00793549"/>
    <w:rsid w:val="00793FD8"/>
    <w:rsid w:val="007940EA"/>
    <w:rsid w:val="00794BE7"/>
    <w:rsid w:val="007967E8"/>
    <w:rsid w:val="0079683D"/>
    <w:rsid w:val="007A0300"/>
    <w:rsid w:val="007A0BAC"/>
    <w:rsid w:val="007A2170"/>
    <w:rsid w:val="007A22BF"/>
    <w:rsid w:val="007A2366"/>
    <w:rsid w:val="007A2EB3"/>
    <w:rsid w:val="007A2F84"/>
    <w:rsid w:val="007A3323"/>
    <w:rsid w:val="007A3FEE"/>
    <w:rsid w:val="007A426D"/>
    <w:rsid w:val="007A4452"/>
    <w:rsid w:val="007A4717"/>
    <w:rsid w:val="007A4B2F"/>
    <w:rsid w:val="007A50C3"/>
    <w:rsid w:val="007A5B7F"/>
    <w:rsid w:val="007A5B87"/>
    <w:rsid w:val="007A5FC7"/>
    <w:rsid w:val="007A64AB"/>
    <w:rsid w:val="007A65F5"/>
    <w:rsid w:val="007A6DEF"/>
    <w:rsid w:val="007A77ED"/>
    <w:rsid w:val="007A7B0B"/>
    <w:rsid w:val="007A7D61"/>
    <w:rsid w:val="007B07E7"/>
    <w:rsid w:val="007B0E3A"/>
    <w:rsid w:val="007B0EBB"/>
    <w:rsid w:val="007B1090"/>
    <w:rsid w:val="007B4E91"/>
    <w:rsid w:val="007B531D"/>
    <w:rsid w:val="007B5792"/>
    <w:rsid w:val="007B72B8"/>
    <w:rsid w:val="007B7A58"/>
    <w:rsid w:val="007C0743"/>
    <w:rsid w:val="007C15C2"/>
    <w:rsid w:val="007C1C28"/>
    <w:rsid w:val="007C21B5"/>
    <w:rsid w:val="007C2564"/>
    <w:rsid w:val="007C28C6"/>
    <w:rsid w:val="007C2C6B"/>
    <w:rsid w:val="007C3874"/>
    <w:rsid w:val="007C3E16"/>
    <w:rsid w:val="007C438A"/>
    <w:rsid w:val="007C5816"/>
    <w:rsid w:val="007C5AC3"/>
    <w:rsid w:val="007C5DFF"/>
    <w:rsid w:val="007C6E7F"/>
    <w:rsid w:val="007C71E2"/>
    <w:rsid w:val="007C7A93"/>
    <w:rsid w:val="007D1EF4"/>
    <w:rsid w:val="007D22D6"/>
    <w:rsid w:val="007D25BB"/>
    <w:rsid w:val="007D45BE"/>
    <w:rsid w:val="007D5717"/>
    <w:rsid w:val="007D59BB"/>
    <w:rsid w:val="007D651C"/>
    <w:rsid w:val="007D6C28"/>
    <w:rsid w:val="007E0FAB"/>
    <w:rsid w:val="007E14F0"/>
    <w:rsid w:val="007E174D"/>
    <w:rsid w:val="007E1863"/>
    <w:rsid w:val="007E2785"/>
    <w:rsid w:val="007E27F5"/>
    <w:rsid w:val="007E294E"/>
    <w:rsid w:val="007E2EEE"/>
    <w:rsid w:val="007E3AE3"/>
    <w:rsid w:val="007E49A9"/>
    <w:rsid w:val="007E4BD2"/>
    <w:rsid w:val="007E4D1D"/>
    <w:rsid w:val="007E6A54"/>
    <w:rsid w:val="007E78BD"/>
    <w:rsid w:val="007F0084"/>
    <w:rsid w:val="007F1D13"/>
    <w:rsid w:val="007F23F4"/>
    <w:rsid w:val="007F251E"/>
    <w:rsid w:val="007F283D"/>
    <w:rsid w:val="007F4A97"/>
    <w:rsid w:val="007F4C0F"/>
    <w:rsid w:val="007F5021"/>
    <w:rsid w:val="007F60D4"/>
    <w:rsid w:val="007F6A48"/>
    <w:rsid w:val="007F75F3"/>
    <w:rsid w:val="007F7721"/>
    <w:rsid w:val="00800957"/>
    <w:rsid w:val="00800F8B"/>
    <w:rsid w:val="00801135"/>
    <w:rsid w:val="00801393"/>
    <w:rsid w:val="008023A0"/>
    <w:rsid w:val="008024D0"/>
    <w:rsid w:val="008026B4"/>
    <w:rsid w:val="008026CA"/>
    <w:rsid w:val="00802DFD"/>
    <w:rsid w:val="00802F5F"/>
    <w:rsid w:val="00802F88"/>
    <w:rsid w:val="00803E96"/>
    <w:rsid w:val="00805554"/>
    <w:rsid w:val="00806047"/>
    <w:rsid w:val="00806560"/>
    <w:rsid w:val="00806CED"/>
    <w:rsid w:val="0080719A"/>
    <w:rsid w:val="00810472"/>
    <w:rsid w:val="00811B0E"/>
    <w:rsid w:val="00811FDE"/>
    <w:rsid w:val="0081218B"/>
    <w:rsid w:val="0081293E"/>
    <w:rsid w:val="00812C4A"/>
    <w:rsid w:val="008132DC"/>
    <w:rsid w:val="00814BFA"/>
    <w:rsid w:val="0081529B"/>
    <w:rsid w:val="00815465"/>
    <w:rsid w:val="00815A0E"/>
    <w:rsid w:val="00815EA5"/>
    <w:rsid w:val="00815ED6"/>
    <w:rsid w:val="00817C0A"/>
    <w:rsid w:val="00817E9A"/>
    <w:rsid w:val="0082050E"/>
    <w:rsid w:val="00821013"/>
    <w:rsid w:val="00821941"/>
    <w:rsid w:val="0082208D"/>
    <w:rsid w:val="008229DA"/>
    <w:rsid w:val="00822A9B"/>
    <w:rsid w:val="00822F57"/>
    <w:rsid w:val="00822F6B"/>
    <w:rsid w:val="00823748"/>
    <w:rsid w:val="00824003"/>
    <w:rsid w:val="00824A80"/>
    <w:rsid w:val="008258DD"/>
    <w:rsid w:val="00825AEB"/>
    <w:rsid w:val="00826C63"/>
    <w:rsid w:val="00827445"/>
    <w:rsid w:val="00827B0C"/>
    <w:rsid w:val="00830072"/>
    <w:rsid w:val="008306BD"/>
    <w:rsid w:val="00830770"/>
    <w:rsid w:val="00830ABF"/>
    <w:rsid w:val="00830FDB"/>
    <w:rsid w:val="00831A80"/>
    <w:rsid w:val="00831C21"/>
    <w:rsid w:val="00831D3E"/>
    <w:rsid w:val="008331A9"/>
    <w:rsid w:val="008332A9"/>
    <w:rsid w:val="00833743"/>
    <w:rsid w:val="0083374A"/>
    <w:rsid w:val="00833FA1"/>
    <w:rsid w:val="00833FFB"/>
    <w:rsid w:val="008340A4"/>
    <w:rsid w:val="0083441D"/>
    <w:rsid w:val="0083487A"/>
    <w:rsid w:val="00835B75"/>
    <w:rsid w:val="00835EF1"/>
    <w:rsid w:val="00836467"/>
    <w:rsid w:val="00836967"/>
    <w:rsid w:val="00837298"/>
    <w:rsid w:val="00837880"/>
    <w:rsid w:val="00841E00"/>
    <w:rsid w:val="00842425"/>
    <w:rsid w:val="0084267C"/>
    <w:rsid w:val="00842E69"/>
    <w:rsid w:val="00842FB7"/>
    <w:rsid w:val="00843216"/>
    <w:rsid w:val="0084422B"/>
    <w:rsid w:val="008442C2"/>
    <w:rsid w:val="0084475C"/>
    <w:rsid w:val="00845DB3"/>
    <w:rsid w:val="00846442"/>
    <w:rsid w:val="00846618"/>
    <w:rsid w:val="008470AE"/>
    <w:rsid w:val="00847BE7"/>
    <w:rsid w:val="0085195B"/>
    <w:rsid w:val="008525C4"/>
    <w:rsid w:val="008528CC"/>
    <w:rsid w:val="008539D6"/>
    <w:rsid w:val="0085478E"/>
    <w:rsid w:val="00855A63"/>
    <w:rsid w:val="00856045"/>
    <w:rsid w:val="008600AA"/>
    <w:rsid w:val="00860751"/>
    <w:rsid w:val="008624E9"/>
    <w:rsid w:val="00862934"/>
    <w:rsid w:val="008636F4"/>
    <w:rsid w:val="00863D4E"/>
    <w:rsid w:val="00863D5A"/>
    <w:rsid w:val="00865187"/>
    <w:rsid w:val="008676BC"/>
    <w:rsid w:val="00867873"/>
    <w:rsid w:val="008712A7"/>
    <w:rsid w:val="00871313"/>
    <w:rsid w:val="0087135F"/>
    <w:rsid w:val="00871C85"/>
    <w:rsid w:val="00872D94"/>
    <w:rsid w:val="008737CD"/>
    <w:rsid w:val="00873C4F"/>
    <w:rsid w:val="0087413A"/>
    <w:rsid w:val="00875B10"/>
    <w:rsid w:val="00877723"/>
    <w:rsid w:val="00877F78"/>
    <w:rsid w:val="00880364"/>
    <w:rsid w:val="00880DAB"/>
    <w:rsid w:val="00881DC2"/>
    <w:rsid w:val="00882E5E"/>
    <w:rsid w:val="00884866"/>
    <w:rsid w:val="00884F6A"/>
    <w:rsid w:val="008855C6"/>
    <w:rsid w:val="008862D4"/>
    <w:rsid w:val="00890370"/>
    <w:rsid w:val="008914B5"/>
    <w:rsid w:val="00891592"/>
    <w:rsid w:val="008917FB"/>
    <w:rsid w:val="0089199B"/>
    <w:rsid w:val="00891D07"/>
    <w:rsid w:val="00891E9E"/>
    <w:rsid w:val="008925EB"/>
    <w:rsid w:val="008933B9"/>
    <w:rsid w:val="008953BC"/>
    <w:rsid w:val="00895F4C"/>
    <w:rsid w:val="0089608F"/>
    <w:rsid w:val="008965E5"/>
    <w:rsid w:val="0089741D"/>
    <w:rsid w:val="00897C38"/>
    <w:rsid w:val="008A11DF"/>
    <w:rsid w:val="008A2CF4"/>
    <w:rsid w:val="008A2F68"/>
    <w:rsid w:val="008A3C86"/>
    <w:rsid w:val="008A4037"/>
    <w:rsid w:val="008A467F"/>
    <w:rsid w:val="008A4B13"/>
    <w:rsid w:val="008A60E3"/>
    <w:rsid w:val="008A7F87"/>
    <w:rsid w:val="008B019E"/>
    <w:rsid w:val="008B097E"/>
    <w:rsid w:val="008B0BAE"/>
    <w:rsid w:val="008B0C73"/>
    <w:rsid w:val="008B231A"/>
    <w:rsid w:val="008B4FA6"/>
    <w:rsid w:val="008B5234"/>
    <w:rsid w:val="008B5282"/>
    <w:rsid w:val="008B54EC"/>
    <w:rsid w:val="008B5640"/>
    <w:rsid w:val="008B5ACD"/>
    <w:rsid w:val="008B602A"/>
    <w:rsid w:val="008B7C17"/>
    <w:rsid w:val="008B7DD6"/>
    <w:rsid w:val="008B7E97"/>
    <w:rsid w:val="008C0277"/>
    <w:rsid w:val="008C08C4"/>
    <w:rsid w:val="008C1132"/>
    <w:rsid w:val="008C1DD6"/>
    <w:rsid w:val="008C2D01"/>
    <w:rsid w:val="008C40E6"/>
    <w:rsid w:val="008C4612"/>
    <w:rsid w:val="008C4E85"/>
    <w:rsid w:val="008C4FE2"/>
    <w:rsid w:val="008C51D3"/>
    <w:rsid w:val="008C5292"/>
    <w:rsid w:val="008C5777"/>
    <w:rsid w:val="008C66B2"/>
    <w:rsid w:val="008C68E5"/>
    <w:rsid w:val="008C75AB"/>
    <w:rsid w:val="008D0F7A"/>
    <w:rsid w:val="008D0FD6"/>
    <w:rsid w:val="008D163A"/>
    <w:rsid w:val="008D1D33"/>
    <w:rsid w:val="008D1FE1"/>
    <w:rsid w:val="008D2C24"/>
    <w:rsid w:val="008D3141"/>
    <w:rsid w:val="008D3FC6"/>
    <w:rsid w:val="008D51BA"/>
    <w:rsid w:val="008D5439"/>
    <w:rsid w:val="008D57F1"/>
    <w:rsid w:val="008D5F98"/>
    <w:rsid w:val="008D68E4"/>
    <w:rsid w:val="008D70E3"/>
    <w:rsid w:val="008D74D5"/>
    <w:rsid w:val="008E03B4"/>
    <w:rsid w:val="008E04D2"/>
    <w:rsid w:val="008E0506"/>
    <w:rsid w:val="008E0831"/>
    <w:rsid w:val="008E0CEE"/>
    <w:rsid w:val="008E0CFF"/>
    <w:rsid w:val="008E2F55"/>
    <w:rsid w:val="008E34E7"/>
    <w:rsid w:val="008E39F1"/>
    <w:rsid w:val="008E3FA0"/>
    <w:rsid w:val="008E41E1"/>
    <w:rsid w:val="008E4F45"/>
    <w:rsid w:val="008E5585"/>
    <w:rsid w:val="008E5934"/>
    <w:rsid w:val="008E5D6B"/>
    <w:rsid w:val="008E5E70"/>
    <w:rsid w:val="008E6BB3"/>
    <w:rsid w:val="008E76F0"/>
    <w:rsid w:val="008E7B2F"/>
    <w:rsid w:val="008F0755"/>
    <w:rsid w:val="008F1515"/>
    <w:rsid w:val="008F1523"/>
    <w:rsid w:val="008F15FE"/>
    <w:rsid w:val="008F1BE4"/>
    <w:rsid w:val="008F2B69"/>
    <w:rsid w:val="008F2D29"/>
    <w:rsid w:val="008F309D"/>
    <w:rsid w:val="008F4671"/>
    <w:rsid w:val="008F4BD2"/>
    <w:rsid w:val="008F4E87"/>
    <w:rsid w:val="008F5187"/>
    <w:rsid w:val="008F5347"/>
    <w:rsid w:val="008F586B"/>
    <w:rsid w:val="008F60D8"/>
    <w:rsid w:val="008F6286"/>
    <w:rsid w:val="008F6505"/>
    <w:rsid w:val="008F6A22"/>
    <w:rsid w:val="00900B78"/>
    <w:rsid w:val="00900F0B"/>
    <w:rsid w:val="00901544"/>
    <w:rsid w:val="00902727"/>
    <w:rsid w:val="00902AA1"/>
    <w:rsid w:val="0090312B"/>
    <w:rsid w:val="009040EF"/>
    <w:rsid w:val="00905A26"/>
    <w:rsid w:val="00905E16"/>
    <w:rsid w:val="00906EEB"/>
    <w:rsid w:val="009070CE"/>
    <w:rsid w:val="009071C3"/>
    <w:rsid w:val="00907BEF"/>
    <w:rsid w:val="00907DBD"/>
    <w:rsid w:val="00907FA5"/>
    <w:rsid w:val="009129CF"/>
    <w:rsid w:val="00912B98"/>
    <w:rsid w:val="00912C2C"/>
    <w:rsid w:val="0091395A"/>
    <w:rsid w:val="00914D48"/>
    <w:rsid w:val="009154B9"/>
    <w:rsid w:val="00916B76"/>
    <w:rsid w:val="00916F7F"/>
    <w:rsid w:val="00917322"/>
    <w:rsid w:val="0091736D"/>
    <w:rsid w:val="00917655"/>
    <w:rsid w:val="00917DA6"/>
    <w:rsid w:val="00920439"/>
    <w:rsid w:val="00920733"/>
    <w:rsid w:val="00921B6C"/>
    <w:rsid w:val="00921EF1"/>
    <w:rsid w:val="009223BD"/>
    <w:rsid w:val="00922DE8"/>
    <w:rsid w:val="0092301C"/>
    <w:rsid w:val="0092362D"/>
    <w:rsid w:val="00923790"/>
    <w:rsid w:val="0092459A"/>
    <w:rsid w:val="009265F1"/>
    <w:rsid w:val="0092680A"/>
    <w:rsid w:val="00926A25"/>
    <w:rsid w:val="0092776B"/>
    <w:rsid w:val="00927CA8"/>
    <w:rsid w:val="009300C3"/>
    <w:rsid w:val="0093037A"/>
    <w:rsid w:val="00930A49"/>
    <w:rsid w:val="00930B06"/>
    <w:rsid w:val="00930BA1"/>
    <w:rsid w:val="00930FED"/>
    <w:rsid w:val="0093148B"/>
    <w:rsid w:val="00931BF2"/>
    <w:rsid w:val="00931C66"/>
    <w:rsid w:val="00932369"/>
    <w:rsid w:val="00932696"/>
    <w:rsid w:val="00932B3D"/>
    <w:rsid w:val="00932EE0"/>
    <w:rsid w:val="00933012"/>
    <w:rsid w:val="0093315F"/>
    <w:rsid w:val="00933911"/>
    <w:rsid w:val="009341FF"/>
    <w:rsid w:val="00934B27"/>
    <w:rsid w:val="00935601"/>
    <w:rsid w:val="00935E7D"/>
    <w:rsid w:val="00936525"/>
    <w:rsid w:val="009365E7"/>
    <w:rsid w:val="00936675"/>
    <w:rsid w:val="00937B33"/>
    <w:rsid w:val="00937BAC"/>
    <w:rsid w:val="00937FD2"/>
    <w:rsid w:val="009404F5"/>
    <w:rsid w:val="009405E2"/>
    <w:rsid w:val="00940C3B"/>
    <w:rsid w:val="00940F15"/>
    <w:rsid w:val="0094154D"/>
    <w:rsid w:val="00941B5E"/>
    <w:rsid w:val="009436F0"/>
    <w:rsid w:val="0094397A"/>
    <w:rsid w:val="009445A4"/>
    <w:rsid w:val="00947BCE"/>
    <w:rsid w:val="00950452"/>
    <w:rsid w:val="00950520"/>
    <w:rsid w:val="00950BDF"/>
    <w:rsid w:val="0095135E"/>
    <w:rsid w:val="0095155F"/>
    <w:rsid w:val="00953C7D"/>
    <w:rsid w:val="00954198"/>
    <w:rsid w:val="00954380"/>
    <w:rsid w:val="00954429"/>
    <w:rsid w:val="00954DBC"/>
    <w:rsid w:val="00954E7C"/>
    <w:rsid w:val="00955A47"/>
    <w:rsid w:val="00955E4A"/>
    <w:rsid w:val="009563CE"/>
    <w:rsid w:val="009576CF"/>
    <w:rsid w:val="009609DB"/>
    <w:rsid w:val="00960AB7"/>
    <w:rsid w:val="00960D1A"/>
    <w:rsid w:val="009617BB"/>
    <w:rsid w:val="00961853"/>
    <w:rsid w:val="009618CB"/>
    <w:rsid w:val="009629AC"/>
    <w:rsid w:val="00962BA2"/>
    <w:rsid w:val="00962F6F"/>
    <w:rsid w:val="009630C4"/>
    <w:rsid w:val="0096335C"/>
    <w:rsid w:val="0096464C"/>
    <w:rsid w:val="00964A38"/>
    <w:rsid w:val="009658A4"/>
    <w:rsid w:val="00967365"/>
    <w:rsid w:val="00967B76"/>
    <w:rsid w:val="00967C16"/>
    <w:rsid w:val="0097084E"/>
    <w:rsid w:val="00971277"/>
    <w:rsid w:val="009714B5"/>
    <w:rsid w:val="00971BFA"/>
    <w:rsid w:val="00972217"/>
    <w:rsid w:val="0097276B"/>
    <w:rsid w:val="00972C52"/>
    <w:rsid w:val="009747AA"/>
    <w:rsid w:val="00975920"/>
    <w:rsid w:val="00975C1C"/>
    <w:rsid w:val="00976328"/>
    <w:rsid w:val="00976795"/>
    <w:rsid w:val="0097680D"/>
    <w:rsid w:val="00976B81"/>
    <w:rsid w:val="009775E8"/>
    <w:rsid w:val="00977A62"/>
    <w:rsid w:val="00980674"/>
    <w:rsid w:val="009806C4"/>
    <w:rsid w:val="00980BA5"/>
    <w:rsid w:val="00981899"/>
    <w:rsid w:val="00982438"/>
    <w:rsid w:val="00982981"/>
    <w:rsid w:val="0098404C"/>
    <w:rsid w:val="00985283"/>
    <w:rsid w:val="00985AB5"/>
    <w:rsid w:val="00985D7A"/>
    <w:rsid w:val="009870C5"/>
    <w:rsid w:val="00991052"/>
    <w:rsid w:val="00991099"/>
    <w:rsid w:val="0099151E"/>
    <w:rsid w:val="009919BA"/>
    <w:rsid w:val="0099262F"/>
    <w:rsid w:val="00992B32"/>
    <w:rsid w:val="00992FA1"/>
    <w:rsid w:val="0099345E"/>
    <w:rsid w:val="00993EA3"/>
    <w:rsid w:val="009945FC"/>
    <w:rsid w:val="00994DC2"/>
    <w:rsid w:val="0099580E"/>
    <w:rsid w:val="00995992"/>
    <w:rsid w:val="00995C80"/>
    <w:rsid w:val="00995EF4"/>
    <w:rsid w:val="009978FC"/>
    <w:rsid w:val="00997C3D"/>
    <w:rsid w:val="009A0276"/>
    <w:rsid w:val="009A03E5"/>
    <w:rsid w:val="009A0C64"/>
    <w:rsid w:val="009A0CEF"/>
    <w:rsid w:val="009A0F3B"/>
    <w:rsid w:val="009A1B6F"/>
    <w:rsid w:val="009A1BB4"/>
    <w:rsid w:val="009A1D31"/>
    <w:rsid w:val="009A1E05"/>
    <w:rsid w:val="009A22E6"/>
    <w:rsid w:val="009A2628"/>
    <w:rsid w:val="009A30DE"/>
    <w:rsid w:val="009A3200"/>
    <w:rsid w:val="009A32F1"/>
    <w:rsid w:val="009A3358"/>
    <w:rsid w:val="009A3B55"/>
    <w:rsid w:val="009A43A2"/>
    <w:rsid w:val="009A4BFD"/>
    <w:rsid w:val="009A5746"/>
    <w:rsid w:val="009A59B3"/>
    <w:rsid w:val="009A5A0B"/>
    <w:rsid w:val="009A70CB"/>
    <w:rsid w:val="009A75EE"/>
    <w:rsid w:val="009A7C4D"/>
    <w:rsid w:val="009B0897"/>
    <w:rsid w:val="009B0FAE"/>
    <w:rsid w:val="009B1222"/>
    <w:rsid w:val="009B15F8"/>
    <w:rsid w:val="009B1BF7"/>
    <w:rsid w:val="009B23D6"/>
    <w:rsid w:val="009B2C37"/>
    <w:rsid w:val="009B34D1"/>
    <w:rsid w:val="009B3AD7"/>
    <w:rsid w:val="009B3ECB"/>
    <w:rsid w:val="009B428D"/>
    <w:rsid w:val="009B55CC"/>
    <w:rsid w:val="009B631F"/>
    <w:rsid w:val="009B6407"/>
    <w:rsid w:val="009B66E2"/>
    <w:rsid w:val="009B6E6C"/>
    <w:rsid w:val="009B7ABC"/>
    <w:rsid w:val="009B7BD9"/>
    <w:rsid w:val="009B7DAC"/>
    <w:rsid w:val="009C0682"/>
    <w:rsid w:val="009C18D3"/>
    <w:rsid w:val="009C1E86"/>
    <w:rsid w:val="009C1F59"/>
    <w:rsid w:val="009C2CAD"/>
    <w:rsid w:val="009C2F1C"/>
    <w:rsid w:val="009C39F2"/>
    <w:rsid w:val="009C4B53"/>
    <w:rsid w:val="009C5021"/>
    <w:rsid w:val="009C503E"/>
    <w:rsid w:val="009C5F98"/>
    <w:rsid w:val="009C6666"/>
    <w:rsid w:val="009C6F74"/>
    <w:rsid w:val="009C7029"/>
    <w:rsid w:val="009C709A"/>
    <w:rsid w:val="009C7DD5"/>
    <w:rsid w:val="009D01A9"/>
    <w:rsid w:val="009D059C"/>
    <w:rsid w:val="009D0985"/>
    <w:rsid w:val="009D232C"/>
    <w:rsid w:val="009D31A4"/>
    <w:rsid w:val="009D55E5"/>
    <w:rsid w:val="009D60DA"/>
    <w:rsid w:val="009D702C"/>
    <w:rsid w:val="009D768C"/>
    <w:rsid w:val="009D7F20"/>
    <w:rsid w:val="009E107D"/>
    <w:rsid w:val="009E1D5C"/>
    <w:rsid w:val="009E227D"/>
    <w:rsid w:val="009E2595"/>
    <w:rsid w:val="009E28E7"/>
    <w:rsid w:val="009E291E"/>
    <w:rsid w:val="009E4404"/>
    <w:rsid w:val="009E4CDC"/>
    <w:rsid w:val="009E5019"/>
    <w:rsid w:val="009E5E6B"/>
    <w:rsid w:val="009E6199"/>
    <w:rsid w:val="009E723C"/>
    <w:rsid w:val="009E7964"/>
    <w:rsid w:val="009E7C66"/>
    <w:rsid w:val="009F4433"/>
    <w:rsid w:val="009F6633"/>
    <w:rsid w:val="009F6653"/>
    <w:rsid w:val="009F7EB4"/>
    <w:rsid w:val="00A00F34"/>
    <w:rsid w:val="00A01F5C"/>
    <w:rsid w:val="00A02189"/>
    <w:rsid w:val="00A02795"/>
    <w:rsid w:val="00A02FF0"/>
    <w:rsid w:val="00A03452"/>
    <w:rsid w:val="00A0445B"/>
    <w:rsid w:val="00A04731"/>
    <w:rsid w:val="00A04ED5"/>
    <w:rsid w:val="00A04F1B"/>
    <w:rsid w:val="00A0501B"/>
    <w:rsid w:val="00A05761"/>
    <w:rsid w:val="00A079CF"/>
    <w:rsid w:val="00A07D9F"/>
    <w:rsid w:val="00A10A53"/>
    <w:rsid w:val="00A116C9"/>
    <w:rsid w:val="00A11763"/>
    <w:rsid w:val="00A11B28"/>
    <w:rsid w:val="00A12B08"/>
    <w:rsid w:val="00A12D02"/>
    <w:rsid w:val="00A133F4"/>
    <w:rsid w:val="00A13C41"/>
    <w:rsid w:val="00A146C2"/>
    <w:rsid w:val="00A14947"/>
    <w:rsid w:val="00A14C44"/>
    <w:rsid w:val="00A151D9"/>
    <w:rsid w:val="00A155E9"/>
    <w:rsid w:val="00A157BD"/>
    <w:rsid w:val="00A17796"/>
    <w:rsid w:val="00A17F8A"/>
    <w:rsid w:val="00A203C6"/>
    <w:rsid w:val="00A20A27"/>
    <w:rsid w:val="00A2180C"/>
    <w:rsid w:val="00A2239A"/>
    <w:rsid w:val="00A22E4A"/>
    <w:rsid w:val="00A24E3B"/>
    <w:rsid w:val="00A25FF3"/>
    <w:rsid w:val="00A26C7A"/>
    <w:rsid w:val="00A278E7"/>
    <w:rsid w:val="00A311BD"/>
    <w:rsid w:val="00A31438"/>
    <w:rsid w:val="00A31A13"/>
    <w:rsid w:val="00A32A50"/>
    <w:rsid w:val="00A32A83"/>
    <w:rsid w:val="00A32AE4"/>
    <w:rsid w:val="00A36852"/>
    <w:rsid w:val="00A368DB"/>
    <w:rsid w:val="00A3699E"/>
    <w:rsid w:val="00A36C21"/>
    <w:rsid w:val="00A36DAF"/>
    <w:rsid w:val="00A371E2"/>
    <w:rsid w:val="00A37B3B"/>
    <w:rsid w:val="00A41B99"/>
    <w:rsid w:val="00A423AA"/>
    <w:rsid w:val="00A42B5C"/>
    <w:rsid w:val="00A43061"/>
    <w:rsid w:val="00A4322D"/>
    <w:rsid w:val="00A44583"/>
    <w:rsid w:val="00A5074B"/>
    <w:rsid w:val="00A519C2"/>
    <w:rsid w:val="00A527F7"/>
    <w:rsid w:val="00A5366C"/>
    <w:rsid w:val="00A53C74"/>
    <w:rsid w:val="00A53EC6"/>
    <w:rsid w:val="00A548BE"/>
    <w:rsid w:val="00A54C48"/>
    <w:rsid w:val="00A54F6C"/>
    <w:rsid w:val="00A55C0F"/>
    <w:rsid w:val="00A55DFB"/>
    <w:rsid w:val="00A56424"/>
    <w:rsid w:val="00A60539"/>
    <w:rsid w:val="00A637BA"/>
    <w:rsid w:val="00A6449C"/>
    <w:rsid w:val="00A647AC"/>
    <w:rsid w:val="00A6537D"/>
    <w:rsid w:val="00A65482"/>
    <w:rsid w:val="00A65939"/>
    <w:rsid w:val="00A7097F"/>
    <w:rsid w:val="00A70E14"/>
    <w:rsid w:val="00A7224F"/>
    <w:rsid w:val="00A72474"/>
    <w:rsid w:val="00A72E17"/>
    <w:rsid w:val="00A73AB4"/>
    <w:rsid w:val="00A73D73"/>
    <w:rsid w:val="00A75FD0"/>
    <w:rsid w:val="00A8023F"/>
    <w:rsid w:val="00A802E7"/>
    <w:rsid w:val="00A8056A"/>
    <w:rsid w:val="00A80CDE"/>
    <w:rsid w:val="00A80D61"/>
    <w:rsid w:val="00A81674"/>
    <w:rsid w:val="00A82AC4"/>
    <w:rsid w:val="00A834D3"/>
    <w:rsid w:val="00A847BA"/>
    <w:rsid w:val="00A861C5"/>
    <w:rsid w:val="00A8645D"/>
    <w:rsid w:val="00A86464"/>
    <w:rsid w:val="00A8713F"/>
    <w:rsid w:val="00A87C89"/>
    <w:rsid w:val="00A87DC7"/>
    <w:rsid w:val="00A90BA1"/>
    <w:rsid w:val="00A90C09"/>
    <w:rsid w:val="00A90C89"/>
    <w:rsid w:val="00A90EDD"/>
    <w:rsid w:val="00A92243"/>
    <w:rsid w:val="00A92A7B"/>
    <w:rsid w:val="00A92E87"/>
    <w:rsid w:val="00A93C11"/>
    <w:rsid w:val="00A9403B"/>
    <w:rsid w:val="00A9439C"/>
    <w:rsid w:val="00A945FA"/>
    <w:rsid w:val="00A94954"/>
    <w:rsid w:val="00A95B35"/>
    <w:rsid w:val="00A95D4F"/>
    <w:rsid w:val="00A9672B"/>
    <w:rsid w:val="00A96906"/>
    <w:rsid w:val="00A97A9A"/>
    <w:rsid w:val="00AA0156"/>
    <w:rsid w:val="00AA017F"/>
    <w:rsid w:val="00AA0671"/>
    <w:rsid w:val="00AA0B7B"/>
    <w:rsid w:val="00AA18B3"/>
    <w:rsid w:val="00AA2531"/>
    <w:rsid w:val="00AA3137"/>
    <w:rsid w:val="00AA4B0C"/>
    <w:rsid w:val="00AA52A5"/>
    <w:rsid w:val="00AA589B"/>
    <w:rsid w:val="00AA5ACD"/>
    <w:rsid w:val="00AA6712"/>
    <w:rsid w:val="00AA6D58"/>
    <w:rsid w:val="00AA74CF"/>
    <w:rsid w:val="00AA7B62"/>
    <w:rsid w:val="00AB0913"/>
    <w:rsid w:val="00AB0F36"/>
    <w:rsid w:val="00AB148E"/>
    <w:rsid w:val="00AB1DD5"/>
    <w:rsid w:val="00AB1E09"/>
    <w:rsid w:val="00AB33B0"/>
    <w:rsid w:val="00AB3E3F"/>
    <w:rsid w:val="00AB5330"/>
    <w:rsid w:val="00AB59A4"/>
    <w:rsid w:val="00AB7747"/>
    <w:rsid w:val="00AB7987"/>
    <w:rsid w:val="00AB7E83"/>
    <w:rsid w:val="00AC0371"/>
    <w:rsid w:val="00AC1407"/>
    <w:rsid w:val="00AC14CE"/>
    <w:rsid w:val="00AC1AAA"/>
    <w:rsid w:val="00AC2A56"/>
    <w:rsid w:val="00AC2F77"/>
    <w:rsid w:val="00AC3EDD"/>
    <w:rsid w:val="00AC528A"/>
    <w:rsid w:val="00AC656B"/>
    <w:rsid w:val="00AD055E"/>
    <w:rsid w:val="00AD0E1A"/>
    <w:rsid w:val="00AD11EF"/>
    <w:rsid w:val="00AD12D7"/>
    <w:rsid w:val="00AD14CD"/>
    <w:rsid w:val="00AD1DC3"/>
    <w:rsid w:val="00AD23BC"/>
    <w:rsid w:val="00AD2633"/>
    <w:rsid w:val="00AD3822"/>
    <w:rsid w:val="00AD39E2"/>
    <w:rsid w:val="00AD42DA"/>
    <w:rsid w:val="00AD43F4"/>
    <w:rsid w:val="00AD47A7"/>
    <w:rsid w:val="00AD57F7"/>
    <w:rsid w:val="00AD5D52"/>
    <w:rsid w:val="00AD76D8"/>
    <w:rsid w:val="00AD786C"/>
    <w:rsid w:val="00AD7F83"/>
    <w:rsid w:val="00AE04B3"/>
    <w:rsid w:val="00AE05D3"/>
    <w:rsid w:val="00AE096D"/>
    <w:rsid w:val="00AE0FB9"/>
    <w:rsid w:val="00AE1985"/>
    <w:rsid w:val="00AE2593"/>
    <w:rsid w:val="00AE25D0"/>
    <w:rsid w:val="00AE379D"/>
    <w:rsid w:val="00AE394F"/>
    <w:rsid w:val="00AE3A39"/>
    <w:rsid w:val="00AE3E63"/>
    <w:rsid w:val="00AE3F49"/>
    <w:rsid w:val="00AE435D"/>
    <w:rsid w:val="00AE55D8"/>
    <w:rsid w:val="00AE599B"/>
    <w:rsid w:val="00AE5B7F"/>
    <w:rsid w:val="00AE7338"/>
    <w:rsid w:val="00AF0978"/>
    <w:rsid w:val="00AF0CBF"/>
    <w:rsid w:val="00AF1115"/>
    <w:rsid w:val="00AF1899"/>
    <w:rsid w:val="00AF257F"/>
    <w:rsid w:val="00AF2F4E"/>
    <w:rsid w:val="00AF33CF"/>
    <w:rsid w:val="00AF4784"/>
    <w:rsid w:val="00AF4D50"/>
    <w:rsid w:val="00AF5581"/>
    <w:rsid w:val="00AF5F6E"/>
    <w:rsid w:val="00AF6179"/>
    <w:rsid w:val="00AF626A"/>
    <w:rsid w:val="00B0075A"/>
    <w:rsid w:val="00B0077B"/>
    <w:rsid w:val="00B00FE7"/>
    <w:rsid w:val="00B010DB"/>
    <w:rsid w:val="00B0143A"/>
    <w:rsid w:val="00B01F55"/>
    <w:rsid w:val="00B02C28"/>
    <w:rsid w:val="00B03FA7"/>
    <w:rsid w:val="00B04518"/>
    <w:rsid w:val="00B051E0"/>
    <w:rsid w:val="00B0531F"/>
    <w:rsid w:val="00B05926"/>
    <w:rsid w:val="00B05A45"/>
    <w:rsid w:val="00B06567"/>
    <w:rsid w:val="00B06B08"/>
    <w:rsid w:val="00B104BF"/>
    <w:rsid w:val="00B10599"/>
    <w:rsid w:val="00B105D1"/>
    <w:rsid w:val="00B10A8B"/>
    <w:rsid w:val="00B1221C"/>
    <w:rsid w:val="00B1295A"/>
    <w:rsid w:val="00B133F3"/>
    <w:rsid w:val="00B141DC"/>
    <w:rsid w:val="00B1465C"/>
    <w:rsid w:val="00B1599B"/>
    <w:rsid w:val="00B16321"/>
    <w:rsid w:val="00B16417"/>
    <w:rsid w:val="00B16545"/>
    <w:rsid w:val="00B16765"/>
    <w:rsid w:val="00B200C2"/>
    <w:rsid w:val="00B20202"/>
    <w:rsid w:val="00B20A2B"/>
    <w:rsid w:val="00B20A45"/>
    <w:rsid w:val="00B21D4A"/>
    <w:rsid w:val="00B220B2"/>
    <w:rsid w:val="00B22AA1"/>
    <w:rsid w:val="00B22C5C"/>
    <w:rsid w:val="00B2324B"/>
    <w:rsid w:val="00B24260"/>
    <w:rsid w:val="00B24C4D"/>
    <w:rsid w:val="00B24F30"/>
    <w:rsid w:val="00B24FD2"/>
    <w:rsid w:val="00B25431"/>
    <w:rsid w:val="00B2543E"/>
    <w:rsid w:val="00B25910"/>
    <w:rsid w:val="00B25B9E"/>
    <w:rsid w:val="00B26843"/>
    <w:rsid w:val="00B277D8"/>
    <w:rsid w:val="00B277E2"/>
    <w:rsid w:val="00B30939"/>
    <w:rsid w:val="00B3106F"/>
    <w:rsid w:val="00B315E0"/>
    <w:rsid w:val="00B31ABF"/>
    <w:rsid w:val="00B325A2"/>
    <w:rsid w:val="00B32A27"/>
    <w:rsid w:val="00B32C7D"/>
    <w:rsid w:val="00B33558"/>
    <w:rsid w:val="00B33751"/>
    <w:rsid w:val="00B33BE3"/>
    <w:rsid w:val="00B3406E"/>
    <w:rsid w:val="00B3541C"/>
    <w:rsid w:val="00B3579D"/>
    <w:rsid w:val="00B3636F"/>
    <w:rsid w:val="00B364F3"/>
    <w:rsid w:val="00B36DBA"/>
    <w:rsid w:val="00B4033B"/>
    <w:rsid w:val="00B41067"/>
    <w:rsid w:val="00B41C0D"/>
    <w:rsid w:val="00B41D26"/>
    <w:rsid w:val="00B425CF"/>
    <w:rsid w:val="00B42DDF"/>
    <w:rsid w:val="00B43472"/>
    <w:rsid w:val="00B435B9"/>
    <w:rsid w:val="00B4364D"/>
    <w:rsid w:val="00B43916"/>
    <w:rsid w:val="00B4463A"/>
    <w:rsid w:val="00B44CCB"/>
    <w:rsid w:val="00B4568C"/>
    <w:rsid w:val="00B4570D"/>
    <w:rsid w:val="00B464FA"/>
    <w:rsid w:val="00B466A9"/>
    <w:rsid w:val="00B47032"/>
    <w:rsid w:val="00B47CF2"/>
    <w:rsid w:val="00B47D82"/>
    <w:rsid w:val="00B500C0"/>
    <w:rsid w:val="00B5062E"/>
    <w:rsid w:val="00B509F7"/>
    <w:rsid w:val="00B50A85"/>
    <w:rsid w:val="00B50BD8"/>
    <w:rsid w:val="00B50E47"/>
    <w:rsid w:val="00B50F83"/>
    <w:rsid w:val="00B51955"/>
    <w:rsid w:val="00B52F7E"/>
    <w:rsid w:val="00B5342E"/>
    <w:rsid w:val="00B53911"/>
    <w:rsid w:val="00B53B5D"/>
    <w:rsid w:val="00B53DCF"/>
    <w:rsid w:val="00B54161"/>
    <w:rsid w:val="00B54D77"/>
    <w:rsid w:val="00B5591C"/>
    <w:rsid w:val="00B55CF1"/>
    <w:rsid w:val="00B60128"/>
    <w:rsid w:val="00B6055E"/>
    <w:rsid w:val="00B6169C"/>
    <w:rsid w:val="00B6177A"/>
    <w:rsid w:val="00B61AFC"/>
    <w:rsid w:val="00B6317D"/>
    <w:rsid w:val="00B6576B"/>
    <w:rsid w:val="00B6624B"/>
    <w:rsid w:val="00B66F93"/>
    <w:rsid w:val="00B707F7"/>
    <w:rsid w:val="00B717F2"/>
    <w:rsid w:val="00B71BED"/>
    <w:rsid w:val="00B72DBA"/>
    <w:rsid w:val="00B734FD"/>
    <w:rsid w:val="00B74B42"/>
    <w:rsid w:val="00B76686"/>
    <w:rsid w:val="00B7720B"/>
    <w:rsid w:val="00B7723F"/>
    <w:rsid w:val="00B775D2"/>
    <w:rsid w:val="00B77CF4"/>
    <w:rsid w:val="00B801F0"/>
    <w:rsid w:val="00B80533"/>
    <w:rsid w:val="00B80534"/>
    <w:rsid w:val="00B80BF1"/>
    <w:rsid w:val="00B81526"/>
    <w:rsid w:val="00B8156F"/>
    <w:rsid w:val="00B8160D"/>
    <w:rsid w:val="00B81F5D"/>
    <w:rsid w:val="00B8237E"/>
    <w:rsid w:val="00B8319E"/>
    <w:rsid w:val="00B83E62"/>
    <w:rsid w:val="00B83F75"/>
    <w:rsid w:val="00B8427A"/>
    <w:rsid w:val="00B8433C"/>
    <w:rsid w:val="00B84A5F"/>
    <w:rsid w:val="00B85A5D"/>
    <w:rsid w:val="00B864DE"/>
    <w:rsid w:val="00B8670E"/>
    <w:rsid w:val="00B8686E"/>
    <w:rsid w:val="00B87063"/>
    <w:rsid w:val="00B87491"/>
    <w:rsid w:val="00B87C5C"/>
    <w:rsid w:val="00B902EE"/>
    <w:rsid w:val="00B90344"/>
    <w:rsid w:val="00B904AB"/>
    <w:rsid w:val="00B91CA6"/>
    <w:rsid w:val="00B9239D"/>
    <w:rsid w:val="00B92443"/>
    <w:rsid w:val="00B92DF6"/>
    <w:rsid w:val="00B93692"/>
    <w:rsid w:val="00B939FC"/>
    <w:rsid w:val="00B94D24"/>
    <w:rsid w:val="00B94F83"/>
    <w:rsid w:val="00B95DC1"/>
    <w:rsid w:val="00B96368"/>
    <w:rsid w:val="00B963F8"/>
    <w:rsid w:val="00B97061"/>
    <w:rsid w:val="00B97C26"/>
    <w:rsid w:val="00BA0369"/>
    <w:rsid w:val="00BA0652"/>
    <w:rsid w:val="00BA1395"/>
    <w:rsid w:val="00BA221C"/>
    <w:rsid w:val="00BA29E9"/>
    <w:rsid w:val="00BA3AA8"/>
    <w:rsid w:val="00BA3C6D"/>
    <w:rsid w:val="00BA40EF"/>
    <w:rsid w:val="00BA4B5F"/>
    <w:rsid w:val="00BA4C5F"/>
    <w:rsid w:val="00BA4E3C"/>
    <w:rsid w:val="00BA556E"/>
    <w:rsid w:val="00BA66B8"/>
    <w:rsid w:val="00BA7142"/>
    <w:rsid w:val="00BA7149"/>
    <w:rsid w:val="00BA7644"/>
    <w:rsid w:val="00BA7E79"/>
    <w:rsid w:val="00BB001A"/>
    <w:rsid w:val="00BB18EF"/>
    <w:rsid w:val="00BB1ED9"/>
    <w:rsid w:val="00BB237C"/>
    <w:rsid w:val="00BB300D"/>
    <w:rsid w:val="00BB3A65"/>
    <w:rsid w:val="00BB41A3"/>
    <w:rsid w:val="00BB5059"/>
    <w:rsid w:val="00BB5743"/>
    <w:rsid w:val="00BB578D"/>
    <w:rsid w:val="00BB69A8"/>
    <w:rsid w:val="00BB6BD8"/>
    <w:rsid w:val="00BB6EFA"/>
    <w:rsid w:val="00BC01C5"/>
    <w:rsid w:val="00BC32DC"/>
    <w:rsid w:val="00BC35B6"/>
    <w:rsid w:val="00BC387B"/>
    <w:rsid w:val="00BC4FE1"/>
    <w:rsid w:val="00BC5144"/>
    <w:rsid w:val="00BC516C"/>
    <w:rsid w:val="00BC5919"/>
    <w:rsid w:val="00BC61F0"/>
    <w:rsid w:val="00BC672E"/>
    <w:rsid w:val="00BC7582"/>
    <w:rsid w:val="00BC78DA"/>
    <w:rsid w:val="00BD0005"/>
    <w:rsid w:val="00BD0541"/>
    <w:rsid w:val="00BD05FB"/>
    <w:rsid w:val="00BD121C"/>
    <w:rsid w:val="00BD17B0"/>
    <w:rsid w:val="00BD1964"/>
    <w:rsid w:val="00BD1B51"/>
    <w:rsid w:val="00BD20B0"/>
    <w:rsid w:val="00BD277C"/>
    <w:rsid w:val="00BD28D3"/>
    <w:rsid w:val="00BD2DA8"/>
    <w:rsid w:val="00BD2F74"/>
    <w:rsid w:val="00BD3334"/>
    <w:rsid w:val="00BD357D"/>
    <w:rsid w:val="00BD3665"/>
    <w:rsid w:val="00BD4596"/>
    <w:rsid w:val="00BD5AA0"/>
    <w:rsid w:val="00BD64F8"/>
    <w:rsid w:val="00BD72D2"/>
    <w:rsid w:val="00BD7F5E"/>
    <w:rsid w:val="00BE1405"/>
    <w:rsid w:val="00BE1851"/>
    <w:rsid w:val="00BE1AD5"/>
    <w:rsid w:val="00BE312D"/>
    <w:rsid w:val="00BE35DB"/>
    <w:rsid w:val="00BE3F82"/>
    <w:rsid w:val="00BE52B5"/>
    <w:rsid w:val="00BE57F3"/>
    <w:rsid w:val="00BF0804"/>
    <w:rsid w:val="00BF12B1"/>
    <w:rsid w:val="00BF1C20"/>
    <w:rsid w:val="00BF2EEC"/>
    <w:rsid w:val="00BF338E"/>
    <w:rsid w:val="00BF4992"/>
    <w:rsid w:val="00BF4EFF"/>
    <w:rsid w:val="00BF5538"/>
    <w:rsid w:val="00BF572B"/>
    <w:rsid w:val="00BF6F1E"/>
    <w:rsid w:val="00BF75CD"/>
    <w:rsid w:val="00BF7917"/>
    <w:rsid w:val="00C00973"/>
    <w:rsid w:val="00C00B24"/>
    <w:rsid w:val="00C00D62"/>
    <w:rsid w:val="00C00E5A"/>
    <w:rsid w:val="00C02148"/>
    <w:rsid w:val="00C02463"/>
    <w:rsid w:val="00C0304D"/>
    <w:rsid w:val="00C03536"/>
    <w:rsid w:val="00C03725"/>
    <w:rsid w:val="00C041F9"/>
    <w:rsid w:val="00C046D2"/>
    <w:rsid w:val="00C0525D"/>
    <w:rsid w:val="00C05FA1"/>
    <w:rsid w:val="00C06430"/>
    <w:rsid w:val="00C10578"/>
    <w:rsid w:val="00C10783"/>
    <w:rsid w:val="00C108AC"/>
    <w:rsid w:val="00C12DE9"/>
    <w:rsid w:val="00C12EE1"/>
    <w:rsid w:val="00C135BC"/>
    <w:rsid w:val="00C149A1"/>
    <w:rsid w:val="00C1567F"/>
    <w:rsid w:val="00C158D8"/>
    <w:rsid w:val="00C15C95"/>
    <w:rsid w:val="00C16751"/>
    <w:rsid w:val="00C202A9"/>
    <w:rsid w:val="00C202B0"/>
    <w:rsid w:val="00C21B7E"/>
    <w:rsid w:val="00C22632"/>
    <w:rsid w:val="00C2285F"/>
    <w:rsid w:val="00C2324B"/>
    <w:rsid w:val="00C2596A"/>
    <w:rsid w:val="00C2597B"/>
    <w:rsid w:val="00C26756"/>
    <w:rsid w:val="00C27537"/>
    <w:rsid w:val="00C27E73"/>
    <w:rsid w:val="00C30DA0"/>
    <w:rsid w:val="00C328FE"/>
    <w:rsid w:val="00C32B76"/>
    <w:rsid w:val="00C32CEE"/>
    <w:rsid w:val="00C33507"/>
    <w:rsid w:val="00C34762"/>
    <w:rsid w:val="00C3497F"/>
    <w:rsid w:val="00C350EB"/>
    <w:rsid w:val="00C36712"/>
    <w:rsid w:val="00C36A9E"/>
    <w:rsid w:val="00C3771C"/>
    <w:rsid w:val="00C377C1"/>
    <w:rsid w:val="00C37FB3"/>
    <w:rsid w:val="00C40983"/>
    <w:rsid w:val="00C40F20"/>
    <w:rsid w:val="00C41C19"/>
    <w:rsid w:val="00C41FC7"/>
    <w:rsid w:val="00C4204B"/>
    <w:rsid w:val="00C4352B"/>
    <w:rsid w:val="00C43AAF"/>
    <w:rsid w:val="00C4409D"/>
    <w:rsid w:val="00C44B67"/>
    <w:rsid w:val="00C44E72"/>
    <w:rsid w:val="00C452E6"/>
    <w:rsid w:val="00C45826"/>
    <w:rsid w:val="00C45A06"/>
    <w:rsid w:val="00C45A84"/>
    <w:rsid w:val="00C46576"/>
    <w:rsid w:val="00C46836"/>
    <w:rsid w:val="00C46C57"/>
    <w:rsid w:val="00C47BFD"/>
    <w:rsid w:val="00C47D79"/>
    <w:rsid w:val="00C47E5B"/>
    <w:rsid w:val="00C5096C"/>
    <w:rsid w:val="00C50CD0"/>
    <w:rsid w:val="00C51944"/>
    <w:rsid w:val="00C51F56"/>
    <w:rsid w:val="00C52819"/>
    <w:rsid w:val="00C52F36"/>
    <w:rsid w:val="00C536D4"/>
    <w:rsid w:val="00C53738"/>
    <w:rsid w:val="00C53D4C"/>
    <w:rsid w:val="00C54B27"/>
    <w:rsid w:val="00C5538A"/>
    <w:rsid w:val="00C55555"/>
    <w:rsid w:val="00C56576"/>
    <w:rsid w:val="00C57157"/>
    <w:rsid w:val="00C5725F"/>
    <w:rsid w:val="00C6050C"/>
    <w:rsid w:val="00C607F3"/>
    <w:rsid w:val="00C61E4B"/>
    <w:rsid w:val="00C62024"/>
    <w:rsid w:val="00C625FD"/>
    <w:rsid w:val="00C626B0"/>
    <w:rsid w:val="00C63C0E"/>
    <w:rsid w:val="00C64591"/>
    <w:rsid w:val="00C649C2"/>
    <w:rsid w:val="00C64BFF"/>
    <w:rsid w:val="00C65441"/>
    <w:rsid w:val="00C65597"/>
    <w:rsid w:val="00C704E9"/>
    <w:rsid w:val="00C707CD"/>
    <w:rsid w:val="00C70836"/>
    <w:rsid w:val="00C73A55"/>
    <w:rsid w:val="00C74066"/>
    <w:rsid w:val="00C748C5"/>
    <w:rsid w:val="00C75565"/>
    <w:rsid w:val="00C759C4"/>
    <w:rsid w:val="00C75CCF"/>
    <w:rsid w:val="00C75DFB"/>
    <w:rsid w:val="00C763C9"/>
    <w:rsid w:val="00C767C4"/>
    <w:rsid w:val="00C768C7"/>
    <w:rsid w:val="00C76B84"/>
    <w:rsid w:val="00C777FF"/>
    <w:rsid w:val="00C77DCF"/>
    <w:rsid w:val="00C80057"/>
    <w:rsid w:val="00C801AC"/>
    <w:rsid w:val="00C8124A"/>
    <w:rsid w:val="00C81471"/>
    <w:rsid w:val="00C81A2A"/>
    <w:rsid w:val="00C82232"/>
    <w:rsid w:val="00C825FA"/>
    <w:rsid w:val="00C82913"/>
    <w:rsid w:val="00C82A7A"/>
    <w:rsid w:val="00C82C7A"/>
    <w:rsid w:val="00C83A18"/>
    <w:rsid w:val="00C84D8E"/>
    <w:rsid w:val="00C85415"/>
    <w:rsid w:val="00C86F45"/>
    <w:rsid w:val="00C87136"/>
    <w:rsid w:val="00C90179"/>
    <w:rsid w:val="00C903A3"/>
    <w:rsid w:val="00C907CB"/>
    <w:rsid w:val="00C9106C"/>
    <w:rsid w:val="00C9136F"/>
    <w:rsid w:val="00C91792"/>
    <w:rsid w:val="00C91854"/>
    <w:rsid w:val="00C9294A"/>
    <w:rsid w:val="00C93DFF"/>
    <w:rsid w:val="00C940EC"/>
    <w:rsid w:val="00C94728"/>
    <w:rsid w:val="00C9496E"/>
    <w:rsid w:val="00C94A9C"/>
    <w:rsid w:val="00C94DA2"/>
    <w:rsid w:val="00C95526"/>
    <w:rsid w:val="00C96385"/>
    <w:rsid w:val="00C963EE"/>
    <w:rsid w:val="00C9682D"/>
    <w:rsid w:val="00C96A6D"/>
    <w:rsid w:val="00C972B1"/>
    <w:rsid w:val="00C97A83"/>
    <w:rsid w:val="00CA1AFE"/>
    <w:rsid w:val="00CA1C36"/>
    <w:rsid w:val="00CA252A"/>
    <w:rsid w:val="00CA29D6"/>
    <w:rsid w:val="00CA2CCE"/>
    <w:rsid w:val="00CA43FD"/>
    <w:rsid w:val="00CA4A35"/>
    <w:rsid w:val="00CA5D74"/>
    <w:rsid w:val="00CA77A2"/>
    <w:rsid w:val="00CA7EF8"/>
    <w:rsid w:val="00CB077A"/>
    <w:rsid w:val="00CB0D7C"/>
    <w:rsid w:val="00CB36C1"/>
    <w:rsid w:val="00CB3818"/>
    <w:rsid w:val="00CB3FB5"/>
    <w:rsid w:val="00CB4317"/>
    <w:rsid w:val="00CB439C"/>
    <w:rsid w:val="00CB56B0"/>
    <w:rsid w:val="00CB5879"/>
    <w:rsid w:val="00CB5C9B"/>
    <w:rsid w:val="00CB5D75"/>
    <w:rsid w:val="00CB5F2F"/>
    <w:rsid w:val="00CB5FF9"/>
    <w:rsid w:val="00CB65E0"/>
    <w:rsid w:val="00CB663C"/>
    <w:rsid w:val="00CB707C"/>
    <w:rsid w:val="00CC000F"/>
    <w:rsid w:val="00CC2106"/>
    <w:rsid w:val="00CC23DC"/>
    <w:rsid w:val="00CC3003"/>
    <w:rsid w:val="00CC30C6"/>
    <w:rsid w:val="00CC489B"/>
    <w:rsid w:val="00CC497A"/>
    <w:rsid w:val="00CC497E"/>
    <w:rsid w:val="00CC567A"/>
    <w:rsid w:val="00CC5E83"/>
    <w:rsid w:val="00CC6E0E"/>
    <w:rsid w:val="00CC6F80"/>
    <w:rsid w:val="00CC7565"/>
    <w:rsid w:val="00CC7615"/>
    <w:rsid w:val="00CD0532"/>
    <w:rsid w:val="00CD0ACA"/>
    <w:rsid w:val="00CD21EE"/>
    <w:rsid w:val="00CD2325"/>
    <w:rsid w:val="00CD2377"/>
    <w:rsid w:val="00CD285C"/>
    <w:rsid w:val="00CD2BCD"/>
    <w:rsid w:val="00CD2C57"/>
    <w:rsid w:val="00CD3A4C"/>
    <w:rsid w:val="00CD4119"/>
    <w:rsid w:val="00CD43CA"/>
    <w:rsid w:val="00CD44A5"/>
    <w:rsid w:val="00CD47DD"/>
    <w:rsid w:val="00CD48B9"/>
    <w:rsid w:val="00CD5450"/>
    <w:rsid w:val="00CD5551"/>
    <w:rsid w:val="00CE0E19"/>
    <w:rsid w:val="00CE0FAA"/>
    <w:rsid w:val="00CE10E9"/>
    <w:rsid w:val="00CE184F"/>
    <w:rsid w:val="00CE2910"/>
    <w:rsid w:val="00CE2BF9"/>
    <w:rsid w:val="00CE3069"/>
    <w:rsid w:val="00CE34BB"/>
    <w:rsid w:val="00CE3CD4"/>
    <w:rsid w:val="00CE3E24"/>
    <w:rsid w:val="00CE4068"/>
    <w:rsid w:val="00CE47DD"/>
    <w:rsid w:val="00CE5393"/>
    <w:rsid w:val="00CE575D"/>
    <w:rsid w:val="00CE5BD1"/>
    <w:rsid w:val="00CE5EA7"/>
    <w:rsid w:val="00CE6267"/>
    <w:rsid w:val="00CE70F0"/>
    <w:rsid w:val="00CE7497"/>
    <w:rsid w:val="00CE7587"/>
    <w:rsid w:val="00CE7716"/>
    <w:rsid w:val="00CE7D67"/>
    <w:rsid w:val="00CE7F9E"/>
    <w:rsid w:val="00CF0B44"/>
    <w:rsid w:val="00CF0BEE"/>
    <w:rsid w:val="00CF141A"/>
    <w:rsid w:val="00CF143E"/>
    <w:rsid w:val="00CF18AF"/>
    <w:rsid w:val="00CF18C8"/>
    <w:rsid w:val="00CF2DAE"/>
    <w:rsid w:val="00CF3256"/>
    <w:rsid w:val="00CF36BE"/>
    <w:rsid w:val="00CF3DA0"/>
    <w:rsid w:val="00CF5FA2"/>
    <w:rsid w:val="00CF6000"/>
    <w:rsid w:val="00CF62EF"/>
    <w:rsid w:val="00CF6A86"/>
    <w:rsid w:val="00CF6B9E"/>
    <w:rsid w:val="00CF6EBA"/>
    <w:rsid w:val="00D003F3"/>
    <w:rsid w:val="00D00A3F"/>
    <w:rsid w:val="00D00D58"/>
    <w:rsid w:val="00D018FD"/>
    <w:rsid w:val="00D019B9"/>
    <w:rsid w:val="00D0364F"/>
    <w:rsid w:val="00D045D5"/>
    <w:rsid w:val="00D06834"/>
    <w:rsid w:val="00D06B30"/>
    <w:rsid w:val="00D06DC9"/>
    <w:rsid w:val="00D070E7"/>
    <w:rsid w:val="00D104EC"/>
    <w:rsid w:val="00D10853"/>
    <w:rsid w:val="00D10855"/>
    <w:rsid w:val="00D1164D"/>
    <w:rsid w:val="00D11C76"/>
    <w:rsid w:val="00D143A0"/>
    <w:rsid w:val="00D14672"/>
    <w:rsid w:val="00D14D7D"/>
    <w:rsid w:val="00D15736"/>
    <w:rsid w:val="00D16365"/>
    <w:rsid w:val="00D16522"/>
    <w:rsid w:val="00D16E9D"/>
    <w:rsid w:val="00D200AD"/>
    <w:rsid w:val="00D223BB"/>
    <w:rsid w:val="00D2463D"/>
    <w:rsid w:val="00D25268"/>
    <w:rsid w:val="00D26D12"/>
    <w:rsid w:val="00D30815"/>
    <w:rsid w:val="00D308ED"/>
    <w:rsid w:val="00D313C3"/>
    <w:rsid w:val="00D313FA"/>
    <w:rsid w:val="00D3145B"/>
    <w:rsid w:val="00D32619"/>
    <w:rsid w:val="00D32797"/>
    <w:rsid w:val="00D3280A"/>
    <w:rsid w:val="00D3345E"/>
    <w:rsid w:val="00D3361E"/>
    <w:rsid w:val="00D339BD"/>
    <w:rsid w:val="00D3450D"/>
    <w:rsid w:val="00D36D86"/>
    <w:rsid w:val="00D37467"/>
    <w:rsid w:val="00D37DAF"/>
    <w:rsid w:val="00D405CE"/>
    <w:rsid w:val="00D40B63"/>
    <w:rsid w:val="00D40C61"/>
    <w:rsid w:val="00D4176F"/>
    <w:rsid w:val="00D41988"/>
    <w:rsid w:val="00D41BFE"/>
    <w:rsid w:val="00D41CA5"/>
    <w:rsid w:val="00D4201B"/>
    <w:rsid w:val="00D42549"/>
    <w:rsid w:val="00D428AA"/>
    <w:rsid w:val="00D43BD4"/>
    <w:rsid w:val="00D441AC"/>
    <w:rsid w:val="00D446CF"/>
    <w:rsid w:val="00D44FC0"/>
    <w:rsid w:val="00D4549E"/>
    <w:rsid w:val="00D4629B"/>
    <w:rsid w:val="00D4651D"/>
    <w:rsid w:val="00D46857"/>
    <w:rsid w:val="00D4729C"/>
    <w:rsid w:val="00D47ED8"/>
    <w:rsid w:val="00D501B7"/>
    <w:rsid w:val="00D50A34"/>
    <w:rsid w:val="00D50E8D"/>
    <w:rsid w:val="00D50F12"/>
    <w:rsid w:val="00D5105C"/>
    <w:rsid w:val="00D51629"/>
    <w:rsid w:val="00D5172B"/>
    <w:rsid w:val="00D53605"/>
    <w:rsid w:val="00D53846"/>
    <w:rsid w:val="00D53CE8"/>
    <w:rsid w:val="00D53EFA"/>
    <w:rsid w:val="00D540DF"/>
    <w:rsid w:val="00D54B84"/>
    <w:rsid w:val="00D56EEA"/>
    <w:rsid w:val="00D576DC"/>
    <w:rsid w:val="00D6092C"/>
    <w:rsid w:val="00D6099E"/>
    <w:rsid w:val="00D62400"/>
    <w:rsid w:val="00D629C3"/>
    <w:rsid w:val="00D63236"/>
    <w:rsid w:val="00D63750"/>
    <w:rsid w:val="00D6386B"/>
    <w:rsid w:val="00D65D0B"/>
    <w:rsid w:val="00D66136"/>
    <w:rsid w:val="00D673C2"/>
    <w:rsid w:val="00D702BF"/>
    <w:rsid w:val="00D702D8"/>
    <w:rsid w:val="00D70BC4"/>
    <w:rsid w:val="00D70C21"/>
    <w:rsid w:val="00D73589"/>
    <w:rsid w:val="00D73782"/>
    <w:rsid w:val="00D73994"/>
    <w:rsid w:val="00D73B35"/>
    <w:rsid w:val="00D74BB8"/>
    <w:rsid w:val="00D753C3"/>
    <w:rsid w:val="00D759B6"/>
    <w:rsid w:val="00D76D75"/>
    <w:rsid w:val="00D77489"/>
    <w:rsid w:val="00D80818"/>
    <w:rsid w:val="00D80A50"/>
    <w:rsid w:val="00D82937"/>
    <w:rsid w:val="00D842FD"/>
    <w:rsid w:val="00D843B0"/>
    <w:rsid w:val="00D849D7"/>
    <w:rsid w:val="00D852ED"/>
    <w:rsid w:val="00D86E34"/>
    <w:rsid w:val="00D90508"/>
    <w:rsid w:val="00D910D9"/>
    <w:rsid w:val="00D920F7"/>
    <w:rsid w:val="00D92313"/>
    <w:rsid w:val="00D92AD0"/>
    <w:rsid w:val="00D92D19"/>
    <w:rsid w:val="00D93099"/>
    <w:rsid w:val="00D94A7C"/>
    <w:rsid w:val="00D95896"/>
    <w:rsid w:val="00D95D74"/>
    <w:rsid w:val="00D969A6"/>
    <w:rsid w:val="00D96AC7"/>
    <w:rsid w:val="00D96B62"/>
    <w:rsid w:val="00D9755C"/>
    <w:rsid w:val="00D97F7C"/>
    <w:rsid w:val="00DA0A96"/>
    <w:rsid w:val="00DA190D"/>
    <w:rsid w:val="00DA2203"/>
    <w:rsid w:val="00DA2E6D"/>
    <w:rsid w:val="00DA2E9F"/>
    <w:rsid w:val="00DA2F61"/>
    <w:rsid w:val="00DA4474"/>
    <w:rsid w:val="00DA49CA"/>
    <w:rsid w:val="00DA4BAB"/>
    <w:rsid w:val="00DA55DA"/>
    <w:rsid w:val="00DA7CC6"/>
    <w:rsid w:val="00DA7CDE"/>
    <w:rsid w:val="00DB0114"/>
    <w:rsid w:val="00DB058E"/>
    <w:rsid w:val="00DB08E6"/>
    <w:rsid w:val="00DB0C7C"/>
    <w:rsid w:val="00DB23F4"/>
    <w:rsid w:val="00DB24D9"/>
    <w:rsid w:val="00DB2983"/>
    <w:rsid w:val="00DB2B44"/>
    <w:rsid w:val="00DB2D80"/>
    <w:rsid w:val="00DB3288"/>
    <w:rsid w:val="00DB3CF7"/>
    <w:rsid w:val="00DB5F85"/>
    <w:rsid w:val="00DB679C"/>
    <w:rsid w:val="00DC1257"/>
    <w:rsid w:val="00DC161C"/>
    <w:rsid w:val="00DC1F21"/>
    <w:rsid w:val="00DC1FD0"/>
    <w:rsid w:val="00DC1FDD"/>
    <w:rsid w:val="00DC2A14"/>
    <w:rsid w:val="00DC2DC2"/>
    <w:rsid w:val="00DC3145"/>
    <w:rsid w:val="00DC394A"/>
    <w:rsid w:val="00DC3B4E"/>
    <w:rsid w:val="00DC3DC0"/>
    <w:rsid w:val="00DC3EFE"/>
    <w:rsid w:val="00DC4874"/>
    <w:rsid w:val="00DC4F49"/>
    <w:rsid w:val="00DC5B2B"/>
    <w:rsid w:val="00DC631A"/>
    <w:rsid w:val="00DC6420"/>
    <w:rsid w:val="00DC7219"/>
    <w:rsid w:val="00DD0FD2"/>
    <w:rsid w:val="00DD14DB"/>
    <w:rsid w:val="00DD24F8"/>
    <w:rsid w:val="00DD2D5E"/>
    <w:rsid w:val="00DD318D"/>
    <w:rsid w:val="00DD35E1"/>
    <w:rsid w:val="00DD36E6"/>
    <w:rsid w:val="00DD444D"/>
    <w:rsid w:val="00DD4ACA"/>
    <w:rsid w:val="00DD4C55"/>
    <w:rsid w:val="00DD4E2D"/>
    <w:rsid w:val="00DD504A"/>
    <w:rsid w:val="00DD62FD"/>
    <w:rsid w:val="00DD7007"/>
    <w:rsid w:val="00DD74BC"/>
    <w:rsid w:val="00DD74FA"/>
    <w:rsid w:val="00DE0619"/>
    <w:rsid w:val="00DE0E32"/>
    <w:rsid w:val="00DE10BE"/>
    <w:rsid w:val="00DE1409"/>
    <w:rsid w:val="00DE1E60"/>
    <w:rsid w:val="00DE2013"/>
    <w:rsid w:val="00DE26C3"/>
    <w:rsid w:val="00DE2B10"/>
    <w:rsid w:val="00DE3102"/>
    <w:rsid w:val="00DE339F"/>
    <w:rsid w:val="00DE3BA8"/>
    <w:rsid w:val="00DE4506"/>
    <w:rsid w:val="00DE51A1"/>
    <w:rsid w:val="00DE5211"/>
    <w:rsid w:val="00DE5543"/>
    <w:rsid w:val="00DE5992"/>
    <w:rsid w:val="00DE59F9"/>
    <w:rsid w:val="00DE6030"/>
    <w:rsid w:val="00DE7F7B"/>
    <w:rsid w:val="00DF125C"/>
    <w:rsid w:val="00DF140C"/>
    <w:rsid w:val="00DF14B5"/>
    <w:rsid w:val="00DF1692"/>
    <w:rsid w:val="00DF1D4D"/>
    <w:rsid w:val="00DF2221"/>
    <w:rsid w:val="00DF2618"/>
    <w:rsid w:val="00DF2E12"/>
    <w:rsid w:val="00DF372F"/>
    <w:rsid w:val="00DF3FA7"/>
    <w:rsid w:val="00DF514A"/>
    <w:rsid w:val="00DF5580"/>
    <w:rsid w:val="00DF5938"/>
    <w:rsid w:val="00DF6690"/>
    <w:rsid w:val="00DF67C6"/>
    <w:rsid w:val="00DF6804"/>
    <w:rsid w:val="00DF70A5"/>
    <w:rsid w:val="00DF7810"/>
    <w:rsid w:val="00E004CC"/>
    <w:rsid w:val="00E00A72"/>
    <w:rsid w:val="00E0358D"/>
    <w:rsid w:val="00E0363D"/>
    <w:rsid w:val="00E04304"/>
    <w:rsid w:val="00E04323"/>
    <w:rsid w:val="00E04E76"/>
    <w:rsid w:val="00E05002"/>
    <w:rsid w:val="00E05977"/>
    <w:rsid w:val="00E064DD"/>
    <w:rsid w:val="00E070A2"/>
    <w:rsid w:val="00E07E3F"/>
    <w:rsid w:val="00E10B53"/>
    <w:rsid w:val="00E140D1"/>
    <w:rsid w:val="00E1458C"/>
    <w:rsid w:val="00E1470B"/>
    <w:rsid w:val="00E14E50"/>
    <w:rsid w:val="00E14F4A"/>
    <w:rsid w:val="00E14FB1"/>
    <w:rsid w:val="00E15028"/>
    <w:rsid w:val="00E158BE"/>
    <w:rsid w:val="00E162EA"/>
    <w:rsid w:val="00E174EB"/>
    <w:rsid w:val="00E177E1"/>
    <w:rsid w:val="00E17FF2"/>
    <w:rsid w:val="00E209A5"/>
    <w:rsid w:val="00E209BE"/>
    <w:rsid w:val="00E21D1D"/>
    <w:rsid w:val="00E22B75"/>
    <w:rsid w:val="00E22EEA"/>
    <w:rsid w:val="00E23A04"/>
    <w:rsid w:val="00E245B3"/>
    <w:rsid w:val="00E25813"/>
    <w:rsid w:val="00E25B1E"/>
    <w:rsid w:val="00E2656A"/>
    <w:rsid w:val="00E26680"/>
    <w:rsid w:val="00E27EF2"/>
    <w:rsid w:val="00E31FC4"/>
    <w:rsid w:val="00E325BF"/>
    <w:rsid w:val="00E32E3D"/>
    <w:rsid w:val="00E330E7"/>
    <w:rsid w:val="00E33831"/>
    <w:rsid w:val="00E34120"/>
    <w:rsid w:val="00E3437F"/>
    <w:rsid w:val="00E34E04"/>
    <w:rsid w:val="00E34E5C"/>
    <w:rsid w:val="00E358D3"/>
    <w:rsid w:val="00E35A86"/>
    <w:rsid w:val="00E37775"/>
    <w:rsid w:val="00E37F2C"/>
    <w:rsid w:val="00E409D7"/>
    <w:rsid w:val="00E40E35"/>
    <w:rsid w:val="00E412D0"/>
    <w:rsid w:val="00E42352"/>
    <w:rsid w:val="00E42A49"/>
    <w:rsid w:val="00E42F8C"/>
    <w:rsid w:val="00E43078"/>
    <w:rsid w:val="00E438FA"/>
    <w:rsid w:val="00E43FE5"/>
    <w:rsid w:val="00E46B74"/>
    <w:rsid w:val="00E47036"/>
    <w:rsid w:val="00E47122"/>
    <w:rsid w:val="00E506BA"/>
    <w:rsid w:val="00E50C6B"/>
    <w:rsid w:val="00E51DDC"/>
    <w:rsid w:val="00E51ECF"/>
    <w:rsid w:val="00E51F25"/>
    <w:rsid w:val="00E52D98"/>
    <w:rsid w:val="00E52F38"/>
    <w:rsid w:val="00E53AB7"/>
    <w:rsid w:val="00E53F52"/>
    <w:rsid w:val="00E550D0"/>
    <w:rsid w:val="00E5574D"/>
    <w:rsid w:val="00E55DB5"/>
    <w:rsid w:val="00E561C5"/>
    <w:rsid w:val="00E5620D"/>
    <w:rsid w:val="00E56322"/>
    <w:rsid w:val="00E57C19"/>
    <w:rsid w:val="00E605DF"/>
    <w:rsid w:val="00E6070B"/>
    <w:rsid w:val="00E60770"/>
    <w:rsid w:val="00E60982"/>
    <w:rsid w:val="00E60DF7"/>
    <w:rsid w:val="00E61192"/>
    <w:rsid w:val="00E61877"/>
    <w:rsid w:val="00E618B4"/>
    <w:rsid w:val="00E61C3A"/>
    <w:rsid w:val="00E62C62"/>
    <w:rsid w:val="00E62F77"/>
    <w:rsid w:val="00E630A9"/>
    <w:rsid w:val="00E6314D"/>
    <w:rsid w:val="00E64739"/>
    <w:rsid w:val="00E654C1"/>
    <w:rsid w:val="00E65D97"/>
    <w:rsid w:val="00E66D01"/>
    <w:rsid w:val="00E67128"/>
    <w:rsid w:val="00E67200"/>
    <w:rsid w:val="00E719ED"/>
    <w:rsid w:val="00E71B12"/>
    <w:rsid w:val="00E725BB"/>
    <w:rsid w:val="00E7284A"/>
    <w:rsid w:val="00E72A5A"/>
    <w:rsid w:val="00E73354"/>
    <w:rsid w:val="00E73D68"/>
    <w:rsid w:val="00E75EBD"/>
    <w:rsid w:val="00E76360"/>
    <w:rsid w:val="00E76B5B"/>
    <w:rsid w:val="00E77172"/>
    <w:rsid w:val="00E80E3E"/>
    <w:rsid w:val="00E819E2"/>
    <w:rsid w:val="00E8238C"/>
    <w:rsid w:val="00E82788"/>
    <w:rsid w:val="00E84CB8"/>
    <w:rsid w:val="00E84DE6"/>
    <w:rsid w:val="00E8646B"/>
    <w:rsid w:val="00E86982"/>
    <w:rsid w:val="00E86FC7"/>
    <w:rsid w:val="00E90580"/>
    <w:rsid w:val="00E9123A"/>
    <w:rsid w:val="00E921B6"/>
    <w:rsid w:val="00E9242D"/>
    <w:rsid w:val="00E93245"/>
    <w:rsid w:val="00E93B64"/>
    <w:rsid w:val="00E93F7A"/>
    <w:rsid w:val="00E955EF"/>
    <w:rsid w:val="00E96E3E"/>
    <w:rsid w:val="00E974AB"/>
    <w:rsid w:val="00E9775E"/>
    <w:rsid w:val="00E97D25"/>
    <w:rsid w:val="00EA03FC"/>
    <w:rsid w:val="00EA067F"/>
    <w:rsid w:val="00EA09A0"/>
    <w:rsid w:val="00EA1093"/>
    <w:rsid w:val="00EA2D6A"/>
    <w:rsid w:val="00EA2EE8"/>
    <w:rsid w:val="00EA3795"/>
    <w:rsid w:val="00EA39A7"/>
    <w:rsid w:val="00EA4201"/>
    <w:rsid w:val="00EA503E"/>
    <w:rsid w:val="00EA5DEF"/>
    <w:rsid w:val="00EA71AF"/>
    <w:rsid w:val="00EB015B"/>
    <w:rsid w:val="00EB137B"/>
    <w:rsid w:val="00EB2E56"/>
    <w:rsid w:val="00EB4563"/>
    <w:rsid w:val="00EB4AAA"/>
    <w:rsid w:val="00EB5255"/>
    <w:rsid w:val="00EB55C3"/>
    <w:rsid w:val="00EB5C47"/>
    <w:rsid w:val="00EB5FFE"/>
    <w:rsid w:val="00EB63D2"/>
    <w:rsid w:val="00EB7BCE"/>
    <w:rsid w:val="00EC0197"/>
    <w:rsid w:val="00EC054F"/>
    <w:rsid w:val="00EC1B70"/>
    <w:rsid w:val="00EC1D16"/>
    <w:rsid w:val="00EC2439"/>
    <w:rsid w:val="00EC24FD"/>
    <w:rsid w:val="00EC3183"/>
    <w:rsid w:val="00EC3305"/>
    <w:rsid w:val="00EC3AAB"/>
    <w:rsid w:val="00EC488D"/>
    <w:rsid w:val="00EC496B"/>
    <w:rsid w:val="00EC57E2"/>
    <w:rsid w:val="00EC609B"/>
    <w:rsid w:val="00EC67FA"/>
    <w:rsid w:val="00EC6CA2"/>
    <w:rsid w:val="00EC6E17"/>
    <w:rsid w:val="00EC6E4F"/>
    <w:rsid w:val="00EC7548"/>
    <w:rsid w:val="00EC77EA"/>
    <w:rsid w:val="00ED0639"/>
    <w:rsid w:val="00ED07DB"/>
    <w:rsid w:val="00ED08BF"/>
    <w:rsid w:val="00ED0ACA"/>
    <w:rsid w:val="00ED1251"/>
    <w:rsid w:val="00ED1C2E"/>
    <w:rsid w:val="00ED2B38"/>
    <w:rsid w:val="00ED30CD"/>
    <w:rsid w:val="00ED3DF5"/>
    <w:rsid w:val="00ED5007"/>
    <w:rsid w:val="00ED56E1"/>
    <w:rsid w:val="00ED5E55"/>
    <w:rsid w:val="00ED5F21"/>
    <w:rsid w:val="00ED6233"/>
    <w:rsid w:val="00ED626B"/>
    <w:rsid w:val="00ED6A8C"/>
    <w:rsid w:val="00ED6B58"/>
    <w:rsid w:val="00ED6B69"/>
    <w:rsid w:val="00ED741C"/>
    <w:rsid w:val="00EE179B"/>
    <w:rsid w:val="00EE1C3F"/>
    <w:rsid w:val="00EE1FA9"/>
    <w:rsid w:val="00EE24E5"/>
    <w:rsid w:val="00EE2D78"/>
    <w:rsid w:val="00EE31BE"/>
    <w:rsid w:val="00EE3B2A"/>
    <w:rsid w:val="00EE4368"/>
    <w:rsid w:val="00EE52B7"/>
    <w:rsid w:val="00EE5C11"/>
    <w:rsid w:val="00EE5D68"/>
    <w:rsid w:val="00EE6158"/>
    <w:rsid w:val="00EE6929"/>
    <w:rsid w:val="00EE767C"/>
    <w:rsid w:val="00EF0672"/>
    <w:rsid w:val="00EF0CF4"/>
    <w:rsid w:val="00EF165F"/>
    <w:rsid w:val="00EF18F1"/>
    <w:rsid w:val="00EF21B9"/>
    <w:rsid w:val="00EF24D3"/>
    <w:rsid w:val="00EF2782"/>
    <w:rsid w:val="00EF3067"/>
    <w:rsid w:val="00EF34FC"/>
    <w:rsid w:val="00EF379F"/>
    <w:rsid w:val="00EF3CA8"/>
    <w:rsid w:val="00EF431E"/>
    <w:rsid w:val="00EF4755"/>
    <w:rsid w:val="00EF4E27"/>
    <w:rsid w:val="00EF569A"/>
    <w:rsid w:val="00EF63B3"/>
    <w:rsid w:val="00EF6A99"/>
    <w:rsid w:val="00EF6EBF"/>
    <w:rsid w:val="00EF7135"/>
    <w:rsid w:val="00F00881"/>
    <w:rsid w:val="00F00B02"/>
    <w:rsid w:val="00F010C0"/>
    <w:rsid w:val="00F01BE5"/>
    <w:rsid w:val="00F01D8C"/>
    <w:rsid w:val="00F01ECA"/>
    <w:rsid w:val="00F025A4"/>
    <w:rsid w:val="00F027DB"/>
    <w:rsid w:val="00F0281A"/>
    <w:rsid w:val="00F02C00"/>
    <w:rsid w:val="00F03685"/>
    <w:rsid w:val="00F041FB"/>
    <w:rsid w:val="00F04A44"/>
    <w:rsid w:val="00F05793"/>
    <w:rsid w:val="00F05AA8"/>
    <w:rsid w:val="00F05BFF"/>
    <w:rsid w:val="00F07462"/>
    <w:rsid w:val="00F07903"/>
    <w:rsid w:val="00F07C0E"/>
    <w:rsid w:val="00F07F5E"/>
    <w:rsid w:val="00F10398"/>
    <w:rsid w:val="00F1084C"/>
    <w:rsid w:val="00F10FF6"/>
    <w:rsid w:val="00F11C4A"/>
    <w:rsid w:val="00F13F03"/>
    <w:rsid w:val="00F13F5C"/>
    <w:rsid w:val="00F14511"/>
    <w:rsid w:val="00F14A7A"/>
    <w:rsid w:val="00F14E47"/>
    <w:rsid w:val="00F165CD"/>
    <w:rsid w:val="00F16716"/>
    <w:rsid w:val="00F16B1B"/>
    <w:rsid w:val="00F1763A"/>
    <w:rsid w:val="00F1778D"/>
    <w:rsid w:val="00F21369"/>
    <w:rsid w:val="00F215C4"/>
    <w:rsid w:val="00F22558"/>
    <w:rsid w:val="00F22597"/>
    <w:rsid w:val="00F226E8"/>
    <w:rsid w:val="00F22985"/>
    <w:rsid w:val="00F22D16"/>
    <w:rsid w:val="00F234CF"/>
    <w:rsid w:val="00F24FB4"/>
    <w:rsid w:val="00F24FF0"/>
    <w:rsid w:val="00F26B6B"/>
    <w:rsid w:val="00F27619"/>
    <w:rsid w:val="00F300AD"/>
    <w:rsid w:val="00F30D52"/>
    <w:rsid w:val="00F314A7"/>
    <w:rsid w:val="00F31C43"/>
    <w:rsid w:val="00F31D30"/>
    <w:rsid w:val="00F3246B"/>
    <w:rsid w:val="00F326DB"/>
    <w:rsid w:val="00F3383E"/>
    <w:rsid w:val="00F34F55"/>
    <w:rsid w:val="00F35C81"/>
    <w:rsid w:val="00F35D6E"/>
    <w:rsid w:val="00F36586"/>
    <w:rsid w:val="00F36F83"/>
    <w:rsid w:val="00F41349"/>
    <w:rsid w:val="00F41B5B"/>
    <w:rsid w:val="00F42905"/>
    <w:rsid w:val="00F429B7"/>
    <w:rsid w:val="00F4348A"/>
    <w:rsid w:val="00F43841"/>
    <w:rsid w:val="00F4408D"/>
    <w:rsid w:val="00F44481"/>
    <w:rsid w:val="00F454A5"/>
    <w:rsid w:val="00F459E4"/>
    <w:rsid w:val="00F465A7"/>
    <w:rsid w:val="00F46BE5"/>
    <w:rsid w:val="00F47910"/>
    <w:rsid w:val="00F47D71"/>
    <w:rsid w:val="00F50B7C"/>
    <w:rsid w:val="00F50E2A"/>
    <w:rsid w:val="00F51BD2"/>
    <w:rsid w:val="00F52408"/>
    <w:rsid w:val="00F5241E"/>
    <w:rsid w:val="00F52E29"/>
    <w:rsid w:val="00F53A58"/>
    <w:rsid w:val="00F54776"/>
    <w:rsid w:val="00F54FB7"/>
    <w:rsid w:val="00F550BF"/>
    <w:rsid w:val="00F550E6"/>
    <w:rsid w:val="00F55ACF"/>
    <w:rsid w:val="00F56F1F"/>
    <w:rsid w:val="00F6094F"/>
    <w:rsid w:val="00F6145E"/>
    <w:rsid w:val="00F61C29"/>
    <w:rsid w:val="00F6285F"/>
    <w:rsid w:val="00F642FA"/>
    <w:rsid w:val="00F649C3"/>
    <w:rsid w:val="00F65E4D"/>
    <w:rsid w:val="00F671CE"/>
    <w:rsid w:val="00F67D12"/>
    <w:rsid w:val="00F71147"/>
    <w:rsid w:val="00F717B2"/>
    <w:rsid w:val="00F718C7"/>
    <w:rsid w:val="00F72B8C"/>
    <w:rsid w:val="00F73770"/>
    <w:rsid w:val="00F73B9D"/>
    <w:rsid w:val="00F74114"/>
    <w:rsid w:val="00F74345"/>
    <w:rsid w:val="00F7514A"/>
    <w:rsid w:val="00F759BC"/>
    <w:rsid w:val="00F76D83"/>
    <w:rsid w:val="00F77912"/>
    <w:rsid w:val="00F80A0A"/>
    <w:rsid w:val="00F80EE4"/>
    <w:rsid w:val="00F81B22"/>
    <w:rsid w:val="00F822F0"/>
    <w:rsid w:val="00F82B19"/>
    <w:rsid w:val="00F8361B"/>
    <w:rsid w:val="00F84AF9"/>
    <w:rsid w:val="00F85DAD"/>
    <w:rsid w:val="00F867C3"/>
    <w:rsid w:val="00F87523"/>
    <w:rsid w:val="00F87B10"/>
    <w:rsid w:val="00F91738"/>
    <w:rsid w:val="00F91BFA"/>
    <w:rsid w:val="00F920D0"/>
    <w:rsid w:val="00F9212D"/>
    <w:rsid w:val="00F92CC6"/>
    <w:rsid w:val="00F93107"/>
    <w:rsid w:val="00F93497"/>
    <w:rsid w:val="00F93980"/>
    <w:rsid w:val="00F94481"/>
    <w:rsid w:val="00F95083"/>
    <w:rsid w:val="00F96110"/>
    <w:rsid w:val="00F965DA"/>
    <w:rsid w:val="00F96B9E"/>
    <w:rsid w:val="00F97219"/>
    <w:rsid w:val="00F975C3"/>
    <w:rsid w:val="00F977CA"/>
    <w:rsid w:val="00F978A4"/>
    <w:rsid w:val="00F97F36"/>
    <w:rsid w:val="00FA088D"/>
    <w:rsid w:val="00FA1B8F"/>
    <w:rsid w:val="00FA257A"/>
    <w:rsid w:val="00FA3874"/>
    <w:rsid w:val="00FA3BA9"/>
    <w:rsid w:val="00FA406A"/>
    <w:rsid w:val="00FA42E1"/>
    <w:rsid w:val="00FA48F2"/>
    <w:rsid w:val="00FA4F89"/>
    <w:rsid w:val="00FA563A"/>
    <w:rsid w:val="00FA5B0D"/>
    <w:rsid w:val="00FA5B9E"/>
    <w:rsid w:val="00FA623D"/>
    <w:rsid w:val="00FA6394"/>
    <w:rsid w:val="00FA70B4"/>
    <w:rsid w:val="00FA7700"/>
    <w:rsid w:val="00FA7C27"/>
    <w:rsid w:val="00FB081A"/>
    <w:rsid w:val="00FB314A"/>
    <w:rsid w:val="00FB40D8"/>
    <w:rsid w:val="00FB443F"/>
    <w:rsid w:val="00FB4547"/>
    <w:rsid w:val="00FB471F"/>
    <w:rsid w:val="00FB4F7D"/>
    <w:rsid w:val="00FB503A"/>
    <w:rsid w:val="00FB516C"/>
    <w:rsid w:val="00FB5F29"/>
    <w:rsid w:val="00FB7680"/>
    <w:rsid w:val="00FB7D9F"/>
    <w:rsid w:val="00FC0251"/>
    <w:rsid w:val="00FC09D9"/>
    <w:rsid w:val="00FC0D85"/>
    <w:rsid w:val="00FC28F8"/>
    <w:rsid w:val="00FC3CA7"/>
    <w:rsid w:val="00FC4074"/>
    <w:rsid w:val="00FC4087"/>
    <w:rsid w:val="00FC41A9"/>
    <w:rsid w:val="00FC52F8"/>
    <w:rsid w:val="00FC56DE"/>
    <w:rsid w:val="00FC7628"/>
    <w:rsid w:val="00FC78E7"/>
    <w:rsid w:val="00FC7D3A"/>
    <w:rsid w:val="00FD0211"/>
    <w:rsid w:val="00FD0236"/>
    <w:rsid w:val="00FD0714"/>
    <w:rsid w:val="00FD0754"/>
    <w:rsid w:val="00FD1049"/>
    <w:rsid w:val="00FD18F4"/>
    <w:rsid w:val="00FD1E76"/>
    <w:rsid w:val="00FD2D0D"/>
    <w:rsid w:val="00FD3969"/>
    <w:rsid w:val="00FD46C5"/>
    <w:rsid w:val="00FD4A08"/>
    <w:rsid w:val="00FD530A"/>
    <w:rsid w:val="00FD54DB"/>
    <w:rsid w:val="00FD5E22"/>
    <w:rsid w:val="00FD619F"/>
    <w:rsid w:val="00FD68CF"/>
    <w:rsid w:val="00FD7B76"/>
    <w:rsid w:val="00FD7EB0"/>
    <w:rsid w:val="00FE027C"/>
    <w:rsid w:val="00FE0EE8"/>
    <w:rsid w:val="00FE1286"/>
    <w:rsid w:val="00FE2704"/>
    <w:rsid w:val="00FE3319"/>
    <w:rsid w:val="00FE3AC4"/>
    <w:rsid w:val="00FE44DB"/>
    <w:rsid w:val="00FE4D81"/>
    <w:rsid w:val="00FE4EE6"/>
    <w:rsid w:val="00FE555A"/>
    <w:rsid w:val="00FE59A7"/>
    <w:rsid w:val="00FE75D2"/>
    <w:rsid w:val="00FF0909"/>
    <w:rsid w:val="00FF1C33"/>
    <w:rsid w:val="00FF1C86"/>
    <w:rsid w:val="00FF1F5B"/>
    <w:rsid w:val="00FF34F3"/>
    <w:rsid w:val="00FF401C"/>
    <w:rsid w:val="00FF4939"/>
    <w:rsid w:val="00FF4B90"/>
    <w:rsid w:val="00FF6E39"/>
    <w:rsid w:val="00FF77B7"/>
    <w:rsid w:val="01290F7E"/>
    <w:rsid w:val="015D1E09"/>
    <w:rsid w:val="02697903"/>
    <w:rsid w:val="02F96569"/>
    <w:rsid w:val="02FB12BE"/>
    <w:rsid w:val="03EA7B21"/>
    <w:rsid w:val="051A6F66"/>
    <w:rsid w:val="05724E4C"/>
    <w:rsid w:val="05F83EAE"/>
    <w:rsid w:val="063E7D85"/>
    <w:rsid w:val="066659CB"/>
    <w:rsid w:val="07293586"/>
    <w:rsid w:val="07295285"/>
    <w:rsid w:val="07636392"/>
    <w:rsid w:val="07770C56"/>
    <w:rsid w:val="08BF40AC"/>
    <w:rsid w:val="090E1068"/>
    <w:rsid w:val="092217DD"/>
    <w:rsid w:val="093A7294"/>
    <w:rsid w:val="09B47989"/>
    <w:rsid w:val="0A263993"/>
    <w:rsid w:val="0A2D3AC2"/>
    <w:rsid w:val="0AA755DF"/>
    <w:rsid w:val="0B120D44"/>
    <w:rsid w:val="0B51154E"/>
    <w:rsid w:val="0BD27BF6"/>
    <w:rsid w:val="0C3B3C7D"/>
    <w:rsid w:val="0CAB2EAE"/>
    <w:rsid w:val="0D621C7D"/>
    <w:rsid w:val="0DF90060"/>
    <w:rsid w:val="0E73034D"/>
    <w:rsid w:val="0F112DF3"/>
    <w:rsid w:val="0F13775A"/>
    <w:rsid w:val="0F5F45FE"/>
    <w:rsid w:val="0F9A112B"/>
    <w:rsid w:val="0F9C2874"/>
    <w:rsid w:val="106D2F64"/>
    <w:rsid w:val="10B63710"/>
    <w:rsid w:val="10F10820"/>
    <w:rsid w:val="111C2F7A"/>
    <w:rsid w:val="115F510E"/>
    <w:rsid w:val="11665CA1"/>
    <w:rsid w:val="11C049F1"/>
    <w:rsid w:val="12B56C0A"/>
    <w:rsid w:val="1367781A"/>
    <w:rsid w:val="13951726"/>
    <w:rsid w:val="14396509"/>
    <w:rsid w:val="14DD2C3C"/>
    <w:rsid w:val="16087E1D"/>
    <w:rsid w:val="17701D14"/>
    <w:rsid w:val="17735226"/>
    <w:rsid w:val="17DD360F"/>
    <w:rsid w:val="189F624C"/>
    <w:rsid w:val="193B777F"/>
    <w:rsid w:val="1A1C66C0"/>
    <w:rsid w:val="1A42393B"/>
    <w:rsid w:val="1A8011C2"/>
    <w:rsid w:val="1A8962C8"/>
    <w:rsid w:val="1AAD45DE"/>
    <w:rsid w:val="1B046F80"/>
    <w:rsid w:val="1B3267B5"/>
    <w:rsid w:val="1B40161D"/>
    <w:rsid w:val="1B441859"/>
    <w:rsid w:val="1B6606B1"/>
    <w:rsid w:val="1BC75406"/>
    <w:rsid w:val="1C5E7925"/>
    <w:rsid w:val="1CFD070F"/>
    <w:rsid w:val="1D1A71AE"/>
    <w:rsid w:val="1D5F6196"/>
    <w:rsid w:val="1D6132A5"/>
    <w:rsid w:val="1D8E56D5"/>
    <w:rsid w:val="1DC51D0D"/>
    <w:rsid w:val="1E6A2A46"/>
    <w:rsid w:val="1E7A43DA"/>
    <w:rsid w:val="1FE7539E"/>
    <w:rsid w:val="20671BE0"/>
    <w:rsid w:val="20963CB8"/>
    <w:rsid w:val="20A81A1B"/>
    <w:rsid w:val="20B07FB6"/>
    <w:rsid w:val="20B646FB"/>
    <w:rsid w:val="213B74B1"/>
    <w:rsid w:val="215A2310"/>
    <w:rsid w:val="21DE318A"/>
    <w:rsid w:val="21EF5B80"/>
    <w:rsid w:val="222B7F3A"/>
    <w:rsid w:val="22576990"/>
    <w:rsid w:val="22D73147"/>
    <w:rsid w:val="22F47480"/>
    <w:rsid w:val="22F705CE"/>
    <w:rsid w:val="23DE1C48"/>
    <w:rsid w:val="240210CD"/>
    <w:rsid w:val="24BF09F7"/>
    <w:rsid w:val="252D53FE"/>
    <w:rsid w:val="253F4153"/>
    <w:rsid w:val="25EC2D81"/>
    <w:rsid w:val="26A650A8"/>
    <w:rsid w:val="27600313"/>
    <w:rsid w:val="277057A2"/>
    <w:rsid w:val="27BC1FD7"/>
    <w:rsid w:val="29206EB8"/>
    <w:rsid w:val="29595666"/>
    <w:rsid w:val="29874881"/>
    <w:rsid w:val="298962E5"/>
    <w:rsid w:val="29E325E0"/>
    <w:rsid w:val="2A452503"/>
    <w:rsid w:val="2B442468"/>
    <w:rsid w:val="2BA936A8"/>
    <w:rsid w:val="2C315A5A"/>
    <w:rsid w:val="2C4B1C25"/>
    <w:rsid w:val="2C5561DE"/>
    <w:rsid w:val="2D9E56F5"/>
    <w:rsid w:val="2DDF4725"/>
    <w:rsid w:val="2E667F96"/>
    <w:rsid w:val="2E8226AB"/>
    <w:rsid w:val="2FD065E6"/>
    <w:rsid w:val="2FD96870"/>
    <w:rsid w:val="30580BC9"/>
    <w:rsid w:val="30C1719A"/>
    <w:rsid w:val="311E2ED7"/>
    <w:rsid w:val="315619EE"/>
    <w:rsid w:val="315C449C"/>
    <w:rsid w:val="31B82709"/>
    <w:rsid w:val="31D05482"/>
    <w:rsid w:val="3216448E"/>
    <w:rsid w:val="32400B34"/>
    <w:rsid w:val="329E6876"/>
    <w:rsid w:val="32DF6EDB"/>
    <w:rsid w:val="333015F2"/>
    <w:rsid w:val="334B6320"/>
    <w:rsid w:val="33D934D4"/>
    <w:rsid w:val="33FE2F6A"/>
    <w:rsid w:val="340E07E5"/>
    <w:rsid w:val="34235BF7"/>
    <w:rsid w:val="348002E4"/>
    <w:rsid w:val="358C5FA8"/>
    <w:rsid w:val="35C15DF1"/>
    <w:rsid w:val="36074A7F"/>
    <w:rsid w:val="36923549"/>
    <w:rsid w:val="36B75FBF"/>
    <w:rsid w:val="36BD0C45"/>
    <w:rsid w:val="37E00298"/>
    <w:rsid w:val="38865FD0"/>
    <w:rsid w:val="38B302F9"/>
    <w:rsid w:val="38F12CD3"/>
    <w:rsid w:val="38F94775"/>
    <w:rsid w:val="392971ED"/>
    <w:rsid w:val="39325651"/>
    <w:rsid w:val="3951224F"/>
    <w:rsid w:val="39FB0B75"/>
    <w:rsid w:val="3A872856"/>
    <w:rsid w:val="3AAC1E33"/>
    <w:rsid w:val="3B3763D1"/>
    <w:rsid w:val="3B822B94"/>
    <w:rsid w:val="3C2F6E1E"/>
    <w:rsid w:val="3C4121AF"/>
    <w:rsid w:val="3C4F64BA"/>
    <w:rsid w:val="3CDA245A"/>
    <w:rsid w:val="3D1E06B7"/>
    <w:rsid w:val="3E7E3AE6"/>
    <w:rsid w:val="3E9818D8"/>
    <w:rsid w:val="3EDA0523"/>
    <w:rsid w:val="403A001F"/>
    <w:rsid w:val="407A6407"/>
    <w:rsid w:val="4140157C"/>
    <w:rsid w:val="415F3F89"/>
    <w:rsid w:val="41C619F5"/>
    <w:rsid w:val="4200449D"/>
    <w:rsid w:val="423A3BCC"/>
    <w:rsid w:val="424E57D2"/>
    <w:rsid w:val="42B26C49"/>
    <w:rsid w:val="433A6FE6"/>
    <w:rsid w:val="43480868"/>
    <w:rsid w:val="4350713C"/>
    <w:rsid w:val="436653E0"/>
    <w:rsid w:val="43C4431A"/>
    <w:rsid w:val="43DC5420"/>
    <w:rsid w:val="44B951CC"/>
    <w:rsid w:val="44CD14E0"/>
    <w:rsid w:val="44F20B0B"/>
    <w:rsid w:val="452E5F4C"/>
    <w:rsid w:val="45612018"/>
    <w:rsid w:val="458946E9"/>
    <w:rsid w:val="45A47C0E"/>
    <w:rsid w:val="46577FD6"/>
    <w:rsid w:val="46A3795D"/>
    <w:rsid w:val="46D955A7"/>
    <w:rsid w:val="47133957"/>
    <w:rsid w:val="47A07E0C"/>
    <w:rsid w:val="4870272E"/>
    <w:rsid w:val="49DC7715"/>
    <w:rsid w:val="4A023139"/>
    <w:rsid w:val="4A7B576F"/>
    <w:rsid w:val="4AB024C8"/>
    <w:rsid w:val="4AF561A9"/>
    <w:rsid w:val="4C243D45"/>
    <w:rsid w:val="4C4A0649"/>
    <w:rsid w:val="4C7E5ECA"/>
    <w:rsid w:val="4C876AA5"/>
    <w:rsid w:val="4D0E00FB"/>
    <w:rsid w:val="4D176606"/>
    <w:rsid w:val="4DEC4FB0"/>
    <w:rsid w:val="4E075D8A"/>
    <w:rsid w:val="4E5562EE"/>
    <w:rsid w:val="4EC00FAD"/>
    <w:rsid w:val="4EEE4CA5"/>
    <w:rsid w:val="4F9843DC"/>
    <w:rsid w:val="4FC62A8C"/>
    <w:rsid w:val="4FE20F0D"/>
    <w:rsid w:val="4FE51552"/>
    <w:rsid w:val="5005195A"/>
    <w:rsid w:val="50504C4B"/>
    <w:rsid w:val="509C6E7C"/>
    <w:rsid w:val="5162104E"/>
    <w:rsid w:val="529140CD"/>
    <w:rsid w:val="52EF4B5B"/>
    <w:rsid w:val="53A039CC"/>
    <w:rsid w:val="53A1505A"/>
    <w:rsid w:val="54063E08"/>
    <w:rsid w:val="543437E8"/>
    <w:rsid w:val="54E577FA"/>
    <w:rsid w:val="54F73313"/>
    <w:rsid w:val="54F80955"/>
    <w:rsid w:val="555170A7"/>
    <w:rsid w:val="5587536D"/>
    <w:rsid w:val="55992B5C"/>
    <w:rsid w:val="559B174B"/>
    <w:rsid w:val="55CE0CF4"/>
    <w:rsid w:val="56B22A9C"/>
    <w:rsid w:val="57B72A76"/>
    <w:rsid w:val="57C3426C"/>
    <w:rsid w:val="57CE1F93"/>
    <w:rsid w:val="588743D1"/>
    <w:rsid w:val="5887701A"/>
    <w:rsid w:val="58C3123D"/>
    <w:rsid w:val="598C4EB2"/>
    <w:rsid w:val="59C0439F"/>
    <w:rsid w:val="5ABE2233"/>
    <w:rsid w:val="5B3B69FE"/>
    <w:rsid w:val="5BDF5D95"/>
    <w:rsid w:val="5BFE7528"/>
    <w:rsid w:val="5CED3EB9"/>
    <w:rsid w:val="5CF214D0"/>
    <w:rsid w:val="5E2467F1"/>
    <w:rsid w:val="5EC211BE"/>
    <w:rsid w:val="5F1A2B43"/>
    <w:rsid w:val="5FB837BB"/>
    <w:rsid w:val="605A5EE4"/>
    <w:rsid w:val="60CC405A"/>
    <w:rsid w:val="61494ACF"/>
    <w:rsid w:val="61E215D8"/>
    <w:rsid w:val="621B3775"/>
    <w:rsid w:val="62364782"/>
    <w:rsid w:val="62BC0B61"/>
    <w:rsid w:val="6394356A"/>
    <w:rsid w:val="63C61B2C"/>
    <w:rsid w:val="63D40BE9"/>
    <w:rsid w:val="64102431"/>
    <w:rsid w:val="64923598"/>
    <w:rsid w:val="64A5243A"/>
    <w:rsid w:val="64BA14AA"/>
    <w:rsid w:val="64F531DE"/>
    <w:rsid w:val="65373578"/>
    <w:rsid w:val="6622578E"/>
    <w:rsid w:val="671F124A"/>
    <w:rsid w:val="677A33C6"/>
    <w:rsid w:val="681F6961"/>
    <w:rsid w:val="68610A2F"/>
    <w:rsid w:val="68805514"/>
    <w:rsid w:val="69316E2F"/>
    <w:rsid w:val="694E2071"/>
    <w:rsid w:val="69766163"/>
    <w:rsid w:val="697A3B33"/>
    <w:rsid w:val="69D44760"/>
    <w:rsid w:val="6A097E59"/>
    <w:rsid w:val="6A520EC7"/>
    <w:rsid w:val="6AF87E20"/>
    <w:rsid w:val="6B322639"/>
    <w:rsid w:val="6C636C38"/>
    <w:rsid w:val="6D740E83"/>
    <w:rsid w:val="6DB34098"/>
    <w:rsid w:val="6DB545B6"/>
    <w:rsid w:val="6DE02FB4"/>
    <w:rsid w:val="6E055881"/>
    <w:rsid w:val="6E514CED"/>
    <w:rsid w:val="6EB563D5"/>
    <w:rsid w:val="6ED92677"/>
    <w:rsid w:val="6F225983"/>
    <w:rsid w:val="6FBA25F9"/>
    <w:rsid w:val="6FFC5590"/>
    <w:rsid w:val="700510C2"/>
    <w:rsid w:val="706D1DD0"/>
    <w:rsid w:val="70856B87"/>
    <w:rsid w:val="70D527EE"/>
    <w:rsid w:val="715B5300"/>
    <w:rsid w:val="71733880"/>
    <w:rsid w:val="71D27F8A"/>
    <w:rsid w:val="72553024"/>
    <w:rsid w:val="73122968"/>
    <w:rsid w:val="731F5D5E"/>
    <w:rsid w:val="735B7814"/>
    <w:rsid w:val="73C51AD5"/>
    <w:rsid w:val="741E793C"/>
    <w:rsid w:val="745E3944"/>
    <w:rsid w:val="74B01B4A"/>
    <w:rsid w:val="74E24EB6"/>
    <w:rsid w:val="75B46A60"/>
    <w:rsid w:val="761C7166"/>
    <w:rsid w:val="7635099D"/>
    <w:rsid w:val="76926834"/>
    <w:rsid w:val="76D0242A"/>
    <w:rsid w:val="77762421"/>
    <w:rsid w:val="77B56B1F"/>
    <w:rsid w:val="780F09F4"/>
    <w:rsid w:val="78A90480"/>
    <w:rsid w:val="794706D4"/>
    <w:rsid w:val="7A364017"/>
    <w:rsid w:val="7A8265E1"/>
    <w:rsid w:val="7ACC115A"/>
    <w:rsid w:val="7B2B4F1E"/>
    <w:rsid w:val="7B686D42"/>
    <w:rsid w:val="7B841746"/>
    <w:rsid w:val="7BF53A86"/>
    <w:rsid w:val="7C6C5AC7"/>
    <w:rsid w:val="7CC6544B"/>
    <w:rsid w:val="7D0239FF"/>
    <w:rsid w:val="7D5E40CD"/>
    <w:rsid w:val="7DC3502D"/>
    <w:rsid w:val="7DCD56F2"/>
    <w:rsid w:val="7DDA033E"/>
    <w:rsid w:val="7EB641EE"/>
    <w:rsid w:val="7F001CE7"/>
    <w:rsid w:val="7FE47E50"/>
  </w:rsids>
  <m:mathPr>
    <m:mathFont val="Cambria Math"/>
    <m:brkBin val="before"/>
    <m:brkBinSub val="--"/>
    <m:smallFrac val="0"/>
    <m:dispDef/>
    <m:lMargin val="0"/>
    <m:rMargin val="0"/>
    <m:defJc val="centerGroup"/>
    <m:wrapIndent val="1440"/>
    <m:intLim val="subSup"/>
    <m:naryLim val="undOvr"/>
  </m:mathPr>
  <w:themeFontLang w:eastAsia="zh-CN" w:val="en-US"/>
  <w:shapeDefaults>
    <o:shapedefaults spidmax="0" fill="t" fillcolor="#FFFFFF" stroke="t"/>
    <o:shapelayout v:ext="edit">
      <o:idmap v:ext="edit" data="2"/>
    </o:shapelayout>
  </w:shapeDefaults>
  <w:clrSchemeMapping w:bg1="lt1" w:t1="dark1" w:bg2="lt2" w:t2="dark2" w:accent1="accent1" w:accent2="accent2" w:accent3="accent3" w:accent4="accent4" w:accent5="accent5" w:accent6="accent6" w:hyperlink="hyperlink" w:followedHyperlink="followedHyperlink" tx1="dk1" tx2="dk2"/>
  <w:decimalSymbol/>
  <w:listSeparator/>
</w:settings>
</file>

<file path=word/styles.xml><?xml version="1.0" encoding="utf-8"?>
<w:styles xmlns:wpsCustomData="http://www.wps.cn/officeDocument/2013/wpsCustomData" xmlns:w10="urn:schemas-microsoft-com:office:word" xmlns:w14="http://schemas.microsoft.com/office/word/2010/wordml"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docDefaults>
    <w:rPrDefault>
      <w:rPr>
        <w:rFonts w:ascii="Times New Roman" w:hAnsi="Times New Roman" w:eastAsia="宋体" w:cs="Times New Roman"/>
      </w:rPr>
    </w:rPrDefault>
    <w:pPrDefault/>
  </w:docDefaults>
  <w:latentStyles w:defLockedState="0" w:defSemiHidden="1" w:defUnhideWhenUsed="1" w:defQFormat="0" w:defUIPriority="99" w:count="260">
    <w:lsdException w:name="Balloon Text" w:semiHidden="0" w:unhideWhenUsed="0"/>
    <w:lsdException w:name="Block Text" w:locked="1" w:semiHidden="0" w:unhideWhenUsed="0"/>
    <w:lsdException w:name="Body Text" w:semiHidden="0" w:unhideWhenUsed="0"/>
    <w:lsdException w:name="Body Text 2" w:locked="1" w:semiHidden="0" w:unhideWhenUsed="0"/>
    <w:lsdException w:name="Body Text 3" w:locked="1" w:semiHidden="0" w:unhideWhenUsed="0"/>
    <w:lsdException w:name="Body Text First Indent" w:locked="1" w:semiHidden="0" w:unhideWhenUsed="0"/>
    <w:lsdException w:name="Body Text First Indent 2" w:locked="1" w:semiHidden="0" w:unhideWhenUsed="0"/>
    <w:lsdException w:name="Body Text Indent" w:semiHidden="0" w:unhideWhenUsed="0"/>
    <w:lsdException w:name="Body Text Indent 2" w:locked="1" w:semiHidden="0" w:unhideWhenUsed="0"/>
    <w:lsdException w:name="Body Text Indent 3" w:locked="1" w:semiHidden="0" w:unhideWhenUsed="0"/>
    <w:lsdException w:name="Closing" w:locked="1" w:semiHidden="0" w:unhideWhenUsed="0"/>
    <w:lsdException w:name="Colorful Grid" w:semiHidden="0" w:unhideWhenUsed="0"/>
    <w:lsdException w:name="Colorful Grid Accent 1" w:semiHidden="0" w:unhideWhenUsed="0"/>
    <w:lsdException w:name="Colorful Grid Accent 2" w:semiHidden="0" w:unhideWhenUsed="0"/>
    <w:lsdException w:name="Colorful Grid Accent 3" w:semiHidden="0" w:unhideWhenUsed="0"/>
    <w:lsdException w:name="Colorful Grid Accent 4" w:semiHidden="0" w:unhideWhenUsed="0"/>
    <w:lsdException w:name="Colorful Grid Accent 5" w:semiHidden="0" w:unhideWhenUsed="0"/>
    <w:lsdException w:name="Colorful Grid Accent 6" w:semiHidden="0" w:unhideWhenUsed="0"/>
    <w:lsdException w:name="Colorful List" w:semiHidden="0" w:unhideWhenUsed="0"/>
    <w:lsdException w:name="Colorful List Accent 1" w:semiHidden="0" w:unhideWhenUsed="0"/>
    <w:lsdException w:name="Colorful List Accent 2" w:semiHidden="0" w:unhideWhenUsed="0"/>
    <w:lsdException w:name="Colorful List Accent 3" w:semiHidden="0" w:unhideWhenUsed="0"/>
    <w:lsdException w:name="Colorful List Accent 4" w:semiHidden="0" w:unhideWhenUsed="0"/>
    <w:lsdException w:name="Colorful List Accent 5" w:semiHidden="0" w:unhideWhenUsed="0"/>
    <w:lsdException w:name="Colorful List Accent 6" w:semiHidden="0" w:unhideWhenUsed="0"/>
    <w:lsdException w:name="Colorful Shading" w:semiHidden="0" w:unhideWhenUsed="0"/>
    <w:lsdException w:name="Colorful Shading Accent 1" w:semiHidden="0" w:unhideWhenUsed="0"/>
    <w:lsdException w:name="Colorful Shading Accent 2" w:semiHidden="0" w:unhideWhenUsed="0"/>
    <w:lsdException w:name="Colorful Shading Accent 3" w:semiHidden="0" w:unhideWhenUsed="0"/>
    <w:lsdException w:name="Colorful Shading Accent 4" w:semiHidden="0" w:unhideWhenUsed="0"/>
    <w:lsdException w:name="Colorful Shading Accent 5" w:semiHidden="0" w:unhideWhenUsed="0"/>
    <w:lsdException w:name="Colorful Shading Accent 6" w:semiHidden="0" w:unhideWhenUsed="0"/>
    <w:lsdException w:name="Dark List" w:semiHidden="0" w:unhideWhenUsed="0"/>
    <w:lsdException w:name="Dark List Accent 1" w:semiHidden="0" w:unhideWhenUsed="0"/>
    <w:lsdException w:name="Dark List Accent 2" w:semiHidden="0" w:unhideWhenUsed="0"/>
    <w:lsdException w:name="Dark List Accent 3" w:semiHidden="0" w:unhideWhenUsed="0"/>
    <w:lsdException w:name="Dark List Accent 4" w:semiHidden="0" w:unhideWhenUsed="0"/>
    <w:lsdException w:name="Dark List Accent 5" w:semiHidden="0" w:unhideWhenUsed="0"/>
    <w:lsdException w:name="Dark List Accent 6" w:semiHidden="0" w:unhideWhenUsed="0"/>
    <w:lsdException w:name="Date" w:semiHidden="0" w:unhideWhenUsed="0"/>
    <w:lsdException w:name="Default Paragraph Font"/>
    <w:lsdException w:name="Document Map" w:locked="1" w:semiHidden="0" w:unhideWhenUsed="0"/>
    <w:lsdException w:name="E-mail Signature" w:locked="1" w:semiHidden="0" w:unhideWhenUsed="0"/>
    <w:lsdException w:name="Emphasis" w:locked="1" w:semiHidden="0" w:unhideWhenUsed="0"/>
    <w:lsdException w:name="FollowedHyperlink" w:locked="1" w:semiHidden="0"/>
    <w:lsdException w:name="HTML Acronym" w:locked="1" w:semiHidden="0" w:unhideWhenUsed="0"/>
    <w:lsdException w:name="HTML Address" w:locked="1" w:semiHidden="0" w:unhideWhenUsed="0"/>
    <w:lsdException w:name="HTML Cite" w:locked="1" w:semiHidden="0" w:unhideWhenUsed="0"/>
    <w:lsdException w:name="HTML Code" w:locked="1" w:semiHidden="0" w:unhideWhenUsed="0"/>
    <w:lsdException w:name="HTML Definition" w:locked="1" w:semiHidden="0" w:unhideWhenUsed="0"/>
    <w:lsdException w:name="HTML Keyboard" w:locked="1" w:semiHidden="0" w:unhideWhenUsed="0"/>
    <w:lsdException w:name="HTML Preformatted" w:locked="1" w:semiHidden="0" w:unhideWhenUsed="0"/>
    <w:lsdException w:name="HTML Sample" w:locked="1" w:semiHidden="0" w:unhideWhenUsed="0"/>
    <w:lsdException w:name="HTML Typewriter" w:locked="1" w:semiHidden="0" w:unhideWhenUsed="0"/>
    <w:lsdException w:name="HTML Variable" w:locked="1" w:semiHidden="0" w:unhideWhenUsed="0"/>
    <w:lsdException w:name="Hyperlink" w:locked="1" w:semiHidden="0" w:unhideWhenUsed="0"/>
    <w:lsdException w:name="Light Grid" w:semiHidden="0" w:unhideWhenUsed="0"/>
    <w:lsdException w:name="Light Grid Accent 1" w:semiHidden="0" w:unhideWhenUsed="0"/>
    <w:lsdException w:name="Light Grid Accent 2" w:semiHidden="0" w:unhideWhenUsed="0"/>
    <w:lsdException w:name="Light Grid Accent 3" w:semiHidden="0" w:unhideWhenUsed="0"/>
    <w:lsdException w:name="Light Grid Accent 4" w:semiHidden="0" w:unhideWhenUsed="0"/>
    <w:lsdException w:name="Light Grid Accent 5" w:semiHidden="0" w:unhideWhenUsed="0"/>
    <w:lsdException w:name="Light Grid Accent 6" w:semiHidden="0" w:unhideWhenUsed="0"/>
    <w:lsdException w:name="Light List" w:semiHidden="0" w:unhideWhenUsed="0"/>
    <w:lsdException w:name="Light List Accent 1" w:semiHidden="0" w:unhideWhenUsed="0"/>
    <w:lsdException w:name="Light List Accent 2" w:semiHidden="0" w:unhideWhenUsed="0"/>
    <w:lsdException w:name="Light List Accent 3" w:semiHidden="0" w:unhideWhenUsed="0"/>
    <w:lsdException w:name="Light List Accent 4" w:semiHidden="0" w:unhideWhenUsed="0"/>
    <w:lsdException w:name="Light List Accent 5" w:semiHidden="0" w:unhideWhenUsed="0"/>
    <w:lsdException w:name="Light List Accent 6" w:semiHidden="0" w:unhideWhenUsed="0"/>
    <w:lsdException w:name="Light Shading" w:semiHidden="0" w:unhideWhenUsed="0"/>
    <w:lsdException w:name="Light Shading Accent 1" w:semiHidden="0" w:unhideWhenUsed="0"/>
    <w:lsdException w:name="Light Shading Accent 2" w:semiHidden="0" w:unhideWhenUsed="0"/>
    <w:lsdException w:name="Light Shading Accent 3" w:semiHidden="0" w:unhideWhenUsed="0"/>
    <w:lsdException w:name="Light Shading Accent 4" w:semiHidden="0" w:unhideWhenUsed="0"/>
    <w:lsdException w:name="Light Shading Accent 5" w:semiHidden="0" w:unhideWhenUsed="0"/>
    <w:lsdException w:name="Light Shading Accent 6" w:semiHidden="0" w:unhideWhenUsed="0"/>
    <w:lsdException w:name="List" w:locked="1" w:semiHidden="0" w:unhideWhenUsed="0"/>
    <w:lsdException w:name="List 2" w:locked="1" w:semiHidden="0" w:unhideWhenUsed="0"/>
    <w:lsdException w:name="List 3" w:locked="1" w:semiHidden="0" w:unhideWhenUsed="0"/>
    <w:lsdException w:name="List 4" w:locked="1" w:semiHidden="0" w:unhideWhenUsed="0"/>
    <w:lsdException w:name="List 5" w:locked="1" w:semiHidden="0" w:unhideWhenUsed="0"/>
    <w:lsdException w:name="List Bullet" w:locked="1" w:semiHidden="0" w:unhideWhenUsed="0"/>
    <w:lsdException w:name="List Bullet 2" w:locked="1" w:semiHidden="0" w:unhideWhenUsed="0"/>
    <w:lsdException w:name="List Bullet 3" w:locked="1" w:semiHidden="0" w:unhideWhenUsed="0"/>
    <w:lsdException w:name="List Bullet 4" w:locked="1" w:semiHidden="0" w:unhideWhenUsed="0"/>
    <w:lsdException w:name="List Bullet 5" w:locked="1" w:semiHidden="0" w:unhideWhenUsed="0"/>
    <w:lsdException w:name="List Continue" w:locked="1" w:semiHidden="0" w:unhideWhenUsed="0"/>
    <w:lsdException w:name="List Continue 2" w:locked="1" w:semiHidden="0" w:unhideWhenUsed="0"/>
    <w:lsdException w:name="List Continue 3" w:locked="1" w:semiHidden="0" w:unhideWhenUsed="0"/>
    <w:lsdException w:name="List Continue 4" w:locked="1" w:semiHidden="0" w:unhideWhenUsed="0"/>
    <w:lsdException w:name="List Continue 5" w:locked="1" w:semiHidden="0" w:unhideWhenUsed="0"/>
    <w:lsdException w:name="List Number" w:locked="1" w:semiHidden="0" w:unhideWhenUsed="0"/>
    <w:lsdException w:name="List Number 2" w:locked="1" w:semiHidden="0" w:unhideWhenUsed="0"/>
    <w:lsdException w:name="List Number 3" w:locked="1" w:semiHidden="0" w:unhideWhenUsed="0"/>
    <w:lsdException w:name="List Number 4" w:locked="1" w:semiHidden="0" w:unhideWhenUsed="0"/>
    <w:lsdException w:name="List Number 5" w:locked="1" w:semiHidden="0" w:unhideWhenUsed="0"/>
    <w:lsdException w:name="List Paragraph" w:semiHidden="0" w:unhideWhenUsed="0"/>
    <w:lsdException w:name="Medium Grid 1" w:semiHidden="0" w:unhideWhenUsed="0"/>
    <w:lsdException w:name="Medium Grid 1 Accent 1" w:semiHidden="0" w:unhideWhenUsed="0"/>
    <w:lsdException w:name="Medium Grid 1 Accent 2" w:semiHidden="0" w:unhideWhenUsed="0"/>
    <w:lsdException w:name="Medium Grid 1 Accent 3" w:semiHidden="0" w:unhideWhenUsed="0"/>
    <w:lsdException w:name="Medium Grid 1 Accent 4" w:semiHidden="0" w:unhideWhenUsed="0"/>
    <w:lsdException w:name="Medium Grid 1 Accent 5" w:semiHidden="0" w:unhideWhenUsed="0"/>
    <w:lsdException w:name="Medium Grid 1 Accent 6" w:semiHidden="0" w:unhideWhenUsed="0"/>
    <w:lsdException w:name="Medium Grid 2" w:semiHidden="0" w:unhideWhenUsed="0"/>
    <w:lsdException w:name="Medium Grid 2 Accent 1" w:semiHidden="0" w:unhideWhenUsed="0"/>
    <w:lsdException w:name="Medium Grid 2 Accent 2" w:semiHidden="0" w:unhideWhenUsed="0"/>
    <w:lsdException w:name="Medium Grid 2 Accent 3" w:semiHidden="0" w:unhideWhenUsed="0"/>
    <w:lsdException w:name="Medium Grid 2 Accent 4" w:semiHidden="0" w:unhideWhenUsed="0"/>
    <w:lsdException w:name="Medium Grid 2 Accent 5" w:semiHidden="0" w:unhideWhenUsed="0"/>
    <w:lsdException w:name="Medium Grid 2 Accent 6" w:semiHidden="0" w:unhideWhenUsed="0"/>
    <w:lsdException w:name="Medium Grid 3" w:semiHidden="0" w:unhideWhenUsed="0"/>
    <w:lsdException w:name="Medium Grid 3 Accent 1" w:semiHidden="0" w:unhideWhenUsed="0"/>
    <w:lsdException w:name="Medium Grid 3 Accent 2" w:semiHidden="0" w:unhideWhenUsed="0"/>
    <w:lsdException w:name="Medium Grid 3 Accent 3" w:semiHidden="0" w:unhideWhenUsed="0"/>
    <w:lsdException w:name="Medium Grid 3 Accent 4" w:semiHidden="0" w:unhideWhenUsed="0"/>
    <w:lsdException w:name="Medium Grid 3 Accent 5" w:semiHidden="0" w:unhideWhenUsed="0"/>
    <w:lsdException w:name="Medium Grid 3 Accent 6" w:semiHidden="0" w:unhideWhenUsed="0"/>
    <w:lsdException w:name="Medium List 1" w:semiHidden="0" w:unhideWhenUsed="0"/>
    <w:lsdException w:name="Medium List 1 Accent 1" w:semiHidden="0" w:unhideWhenUsed="0"/>
    <w:lsdException w:name="Medium List 1 Accent 2" w:semiHidden="0" w:unhideWhenUsed="0"/>
    <w:lsdException w:name="Medium List 1 Accent 3" w:semiHidden="0" w:unhideWhenUsed="0"/>
    <w:lsdException w:name="Medium List 1 Accent 4" w:semiHidden="0" w:unhideWhenUsed="0"/>
    <w:lsdException w:name="Medium List 1 Accent 5" w:semiHidden="0" w:unhideWhenUsed="0"/>
    <w:lsdException w:name="Medium List 1 Accent 6" w:semiHidden="0" w:unhideWhenUsed="0"/>
    <w:lsdException w:name="Medium List 2" w:semiHidden="0" w:unhideWhenUsed="0"/>
    <w:lsdException w:name="Medium List 2 Accent 1" w:semiHidden="0" w:unhideWhenUsed="0"/>
    <w:lsdException w:name="Medium List 2 Accent 2" w:semiHidden="0" w:unhideWhenUsed="0"/>
    <w:lsdException w:name="Medium List 2 Accent 3" w:semiHidden="0" w:unhideWhenUsed="0"/>
    <w:lsdException w:name="Medium List 2 Accent 4" w:semiHidden="0" w:unhideWhenUsed="0"/>
    <w:lsdException w:name="Medium List 2 Accent 5" w:semiHidden="0" w:unhideWhenUsed="0"/>
    <w:lsdException w:name="Medium List 2 Accent 6" w:semiHidden="0" w:unhideWhenUsed="0"/>
    <w:lsdException w:name="Medium Shading 1" w:semiHidden="0" w:unhideWhenUsed="0"/>
    <w:lsdException w:name="Medium Shading 1 Accent 1" w:semiHidden="0" w:unhideWhenUsed="0"/>
    <w:lsdException w:name="Medium Shading 1 Accent 2" w:semiHidden="0" w:unhideWhenUsed="0"/>
    <w:lsdException w:name="Medium Shading 1 Accent 3" w:semiHidden="0" w:unhideWhenUsed="0"/>
    <w:lsdException w:name="Medium Shading 1 Accent 4" w:semiHidden="0" w:unhideWhenUsed="0"/>
    <w:lsdException w:name="Medium Shading 1 Accent 5" w:semiHidden="0" w:unhideWhenUsed="0"/>
    <w:lsdException w:name="Medium Shading 1 Accent 6" w:semiHidden="0" w:unhideWhenUsed="0"/>
    <w:lsdException w:name="Medium Shading 2" w:semiHidden="0" w:unhideWhenUsed="0"/>
    <w:lsdException w:name="Medium Shading 2 Accent 1" w:semiHidden="0" w:unhideWhenUsed="0"/>
    <w:lsdException w:name="Medium Shading 2 Accent 2" w:semiHidden="0" w:unhideWhenUsed="0"/>
    <w:lsdException w:name="Medium Shading 2 Accent 3" w:semiHidden="0" w:unhideWhenUsed="0"/>
    <w:lsdException w:name="Medium Shading 2 Accent 4" w:semiHidden="0" w:unhideWhenUsed="0"/>
    <w:lsdException w:name="Medium Shading 2 Accent 5" w:semiHidden="0" w:unhideWhenUsed="0"/>
    <w:lsdException w:name="Medium Shading 2 Accent 6" w:semiHidden="0" w:unhideWhenUsed="0"/>
    <w:lsdException w:name="Message Header" w:locked="1" w:semiHidden="0" w:unhideWhenUsed="0"/>
    <w:lsdException w:name="Normal" w:semiHidden="0" w:unhideWhenUsed="0"/>
    <w:lsdException w:name="Normal (Web)" w:semiHidden="0" w:unhideWhenUsed="0"/>
    <w:lsdException w:name="Normal Indent" w:locked="1" w:semiHidden="0"/>
    <w:lsdException w:name="Normal Table"/>
    <w:lsdException w:name="Note Heading" w:locked="1" w:semiHidden="0" w:unhideWhenUsed="0"/>
    <w:lsdException w:name="Plain Text" w:locked="1" w:semiHidden="0" w:unhideWhenUsed="0"/>
    <w:lsdException w:name="Salutation" w:locked="1" w:semiHidden="0" w:unhideWhenUsed="0"/>
    <w:lsdException w:name="Signature" w:locked="1" w:semiHidden="0" w:unhideWhenUsed="0"/>
    <w:lsdException w:name="Strong" w:locked="1" w:semiHidden="0" w:unhideWhenUsed="0"/>
    <w:lsdException w:name="Subtitle" w:locked="1" w:semiHidden="0" w:unhideWhenUsed="0"/>
    <w:lsdException w:name="Table 3D effects 1" w:locked="1" w:semiHidden="0" w:unhideWhenUsed="0"/>
    <w:lsdException w:name="Table 3D effects 2" w:locked="1" w:semiHidden="0" w:unhideWhenUsed="0"/>
    <w:lsdException w:name="Table 3D effects 3" w:locked="1" w:semiHidden="0" w:unhideWhenUsed="0"/>
    <w:lsdException w:name="Table Classic 1" w:locked="1" w:semiHidden="0" w:unhideWhenUsed="0"/>
    <w:lsdException w:name="Table Classic 2" w:locked="1" w:semiHidden="0" w:unhideWhenUsed="0"/>
    <w:lsdException w:name="Table Classic 3" w:locked="1" w:semiHidden="0" w:unhideWhenUsed="0"/>
    <w:lsdException w:name="Table Classic 4" w:locked="1" w:semiHidden="0" w:unhideWhenUsed="0"/>
    <w:lsdException w:name="Table Colorful 1" w:locked="1" w:semiHidden="0" w:unhideWhenUsed="0"/>
    <w:lsdException w:name="Table Colorful 2" w:locked="1" w:semiHidden="0" w:unhideWhenUsed="0"/>
    <w:lsdException w:name="Table Colorful 3" w:locked="1" w:semiHidden="0" w:unhideWhenUsed="0"/>
    <w:lsdException w:name="Table Columns 1" w:locked="1" w:semiHidden="0" w:unhideWhenUsed="0"/>
    <w:lsdException w:name="Table Columns 2" w:locked="1" w:semiHidden="0" w:unhideWhenUsed="0"/>
    <w:lsdException w:name="Table Columns 3" w:locked="1" w:semiHidden="0" w:unhideWhenUsed="0"/>
    <w:lsdException w:name="Table Columns 4" w:locked="1" w:semiHidden="0" w:unhideWhenUsed="0"/>
    <w:lsdException w:name="Table Columns 5" w:locked="1" w:semiHidden="0" w:unhideWhenUsed="0"/>
    <w:lsdException w:name="Table Contemporary" w:locked="1" w:semiHidden="0" w:unhideWhenUsed="0"/>
    <w:lsdException w:name="Table Elegant" w:locked="1" w:semiHidden="0" w:unhideWhenUsed="0"/>
    <w:lsdException w:name="Table Grid" w:semiHidden="0" w:unhideWhenUsed="0"/>
    <w:lsdException w:name="Table Grid 1" w:locked="1" w:semiHidden="0" w:unhideWhenUsed="0"/>
    <w:lsdException w:name="Table Grid 2" w:locked="1" w:semiHidden="0" w:unhideWhenUsed="0"/>
    <w:lsdException w:name="Table Grid 3" w:locked="1" w:semiHidden="0" w:unhideWhenUsed="0"/>
    <w:lsdException w:name="Table Grid 4" w:locked="1" w:semiHidden="0" w:unhideWhenUsed="0"/>
    <w:lsdException w:name="Table Grid 5" w:locked="1" w:semiHidden="0" w:unhideWhenUsed="0"/>
    <w:lsdException w:name="Table Grid 6" w:locked="1" w:semiHidden="0" w:unhideWhenUsed="0"/>
    <w:lsdException w:name="Table Grid 7" w:locked="1" w:semiHidden="0" w:unhideWhenUsed="0"/>
    <w:lsdException w:name="Table Grid 8" w:locked="1" w:semiHidden="0" w:unhideWhenUsed="0"/>
    <w:lsdException w:name="Table List 1" w:locked="1" w:semiHidden="0" w:unhideWhenUsed="0"/>
    <w:lsdException w:name="Table List 2" w:locked="1" w:semiHidden="0" w:unhideWhenUsed="0"/>
    <w:lsdException w:name="Table List 3" w:locked="1" w:semiHidden="0" w:unhideWhenUsed="0"/>
    <w:lsdException w:name="Table List 4" w:locked="1" w:semiHidden="0" w:unhideWhenUsed="0"/>
    <w:lsdException w:name="Table List 5" w:locked="1" w:semiHidden="0" w:unhideWhenUsed="0"/>
    <w:lsdException w:name="Table List 6" w:locked="1" w:semiHidden="0" w:unhideWhenUsed="0"/>
    <w:lsdException w:name="Table List 7" w:locked="1" w:semiHidden="0" w:unhideWhenUsed="0"/>
    <w:lsdException w:name="Table List 8" w:locked="1" w:semiHidden="0" w:unhideWhenUsed="0"/>
    <w:lsdException w:name="Table Professional" w:locked="1" w:semiHidden="0" w:unhideWhenUsed="0"/>
    <w:lsdException w:name="Table Simple 1" w:locked="1" w:semiHidden="0" w:unhideWhenUsed="0"/>
    <w:lsdException w:name="Table Simple 2" w:locked="1" w:semiHidden="0" w:unhideWhenUsed="0"/>
    <w:lsdException w:name="Table Simple 3" w:locked="1" w:semiHidden="0" w:unhideWhenUsed="0"/>
    <w:lsdException w:name="Table Subtle 1" w:locked="1" w:semiHidden="0" w:unhideWhenUsed="0"/>
    <w:lsdException w:name="Table Subtle 2" w:locked="1" w:semiHidden="0" w:unhideWhenUsed="0"/>
    <w:lsdException w:name="Table Theme" w:locked="1" w:semiHidden="0" w:unhideWhenUsed="0"/>
    <w:lsdException w:name="Table Web 1" w:locked="1" w:semiHidden="0" w:unhideWhenUsed="0"/>
    <w:lsdException w:name="Table Web 2" w:locked="1" w:semiHidden="0" w:unhideWhenUsed="0"/>
    <w:lsdException w:name="Table Web 3" w:locked="1" w:semiHidden="0" w:unhideWhenUsed="0"/>
    <w:lsdException w:name="Title" w:locked="1" w:semiHidden="0" w:unhideWhenUsed="0"/>
    <w:lsdException w:name="annotation reference" w:semiHidden="0" w:unhideWhenUsed="0"/>
    <w:lsdException w:name="annotation subject" w:semiHidden="0" w:unhideWhenUsed="0"/>
    <w:lsdException w:name="annotation text" w:semiHidden="0" w:unhideWhenUsed="0"/>
    <w:lsdException w:name="caption" w:locked="1"/>
    <w:lsdException w:name="endnote reference" w:locked="1" w:semiHidden="0" w:unhideWhenUsed="0"/>
    <w:lsdException w:name="endnote text" w:locked="1" w:semiHidden="0" w:unhideWhenUsed="0"/>
    <w:lsdException w:name="envelope address" w:locked="1" w:semiHidden="0" w:unhideWhenUsed="0"/>
    <w:lsdException w:name="envelope return" w:locked="1" w:semiHidden="0" w:unhideWhenUsed="0"/>
    <w:lsdException w:name="footer" w:semiHidden="0" w:unhideWhenUsed="0"/>
    <w:lsdException w:name="footnote reference" w:locked="1" w:semiHidden="0" w:unhideWhenUsed="0"/>
    <w:lsdException w:name="footnote text" w:locked="1" w:semiHidden="0" w:unhideWhenUsed="0"/>
    <w:lsdException w:name="header" w:semiHidden="0" w:unhideWhenUsed="0"/>
    <w:lsdException w:name="heading 1" w:locked="1" w:semiHidden="0" w:unhideWhenUsed="0"/>
    <w:lsdException w:name="heading 2" w:locked="1" w:semiHidden="0"/>
    <w:lsdException w:name="heading 3" w:locked="1" w:semiHidden="0" w:unhideWhenUsed="0"/>
    <w:lsdException w:name="heading 4" w:locked="1" w:semiHidden="0" w:unhideWhenUsed="0"/>
    <w:lsdException w:name="heading 5" w:locked="1"/>
    <w:lsdException w:name="heading 6" w:locked="1"/>
    <w:lsdException w:name="heading 7" w:locked="1"/>
    <w:lsdException w:name="heading 8" w:locked="1"/>
    <w:lsdException w:name="heading 9" w:locked="1"/>
    <w:lsdException w:name="index 1" w:locked="1" w:semiHidden="0" w:unhideWhenUsed="0"/>
    <w:lsdException w:name="index 2" w:locked="1" w:semiHidden="0" w:unhideWhenUsed="0"/>
    <w:lsdException w:name="index 3" w:locked="1" w:semiHidden="0" w:unhideWhenUsed="0"/>
    <w:lsdException w:name="index 4" w:locked="1" w:semiHidden="0" w:unhideWhenUsed="0"/>
    <w:lsdException w:name="index 5" w:locked="1" w:semiHidden="0" w:unhideWhenUsed="0"/>
    <w:lsdException w:name="index 6" w:locked="1" w:semiHidden="0" w:unhideWhenUsed="0"/>
    <w:lsdException w:name="index 7" w:locked="1" w:semiHidden="0" w:unhideWhenUsed="0"/>
    <w:lsdException w:name="index 8" w:locked="1" w:semiHidden="0" w:unhideWhenUsed="0"/>
    <w:lsdException w:name="index 9" w:locked="1" w:semiHidden="0" w:unhideWhenUsed="0"/>
    <w:lsdException w:name="index heading" w:locked="1" w:semiHidden="0" w:unhideWhenUsed="0"/>
    <w:lsdException w:name="line number" w:locked="1" w:semiHidden="0" w:unhideWhenUsed="0"/>
    <w:lsdException w:name="macro" w:locked="1" w:semiHidden="0" w:unhideWhenUsed="0"/>
    <w:lsdException w:name="page number" w:locked="1" w:semiHidden="0" w:unhideWhenUsed="0"/>
    <w:lsdException w:name="table of authorities" w:locked="1" w:semiHidden="0" w:unhideWhenUsed="0"/>
    <w:lsdException w:name="table of figures" w:locked="1" w:semiHidden="0" w:unhideWhenUsed="0"/>
    <w:lsdException w:name="toa heading" w:locked="1" w:semiHidden="0" w:unhideWhenUsed="0"/>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atentStyles>
  <w:style w:type="paragraph" w:styleId="1" w:default="1">
    <w:name w:val="Normal"/>
    <w:uiPriority w:val="0"/>
    <w:qFormat/>
    <w:pPr>
      <w:widowControl w:val="0"/>
      <w:jc w:val="both"/>
    </w:pPr>
    <w:rPr>
      <w:sz w:val="21"/>
      <w:lang w:val="en-US" w:eastAsia="zh-CN" w:bidi="ar-SA"/>
      <w:kern w:val="2"/>
      <w:szCs w:val="24"/>
      <w:rFonts w:ascii="Times New Roman" w:hAnsi="Times New Roman" w:eastAsia="宋体" w:cs="Times New Roman"/>
    </w:rPr>
  </w:style>
  <w:style w:type="paragraph" w:styleId="2">
    <w:name w:val="heading 1"/>
    <w:basedOn w:val="1"/>
    <w:link w:val="36"/>
    <w:uiPriority w:val="0"/>
    <w:qFormat/>
    <w:pPr>
      <w:keepNext w:val="1"/>
      <w:overflowPunct w:val="0"/>
      <w:snapToGrid w:val="0"/>
      <w:outlineLvl w:val="0"/>
      <w:spacing w:after="160" w:before="120" w:line="259" w:lineRule="auto"/>
      <w:ind w:hanging="432" w:left="432"/>
    </w:pPr>
    <w:rPr>
      <w:b w:val="1"/>
      <w:color w:val="000000"/>
      <w:sz w:val="30"/>
      <w:bCs/>
      <w:kern w:val="44"/>
      <w:szCs w:val="30"/>
      <w:rFonts w:eastAsia="黑体"/>
    </w:rPr>
  </w:style>
  <w:style w:type="paragraph" w:styleId="3">
    <w:name w:val="heading 2"/>
    <w:basedOn w:val="1"/>
    <w:link w:val="37"/>
    <w:uiPriority w:val="0"/>
    <w:unhideWhenUsed/>
    <w:qFormat/>
    <w:pPr>
      <w:keepNext w:val="1"/>
      <w:keepLines w:val="1"/>
      <w:outlineLvl w:val="1"/>
      <w:spacing w:after="260" w:before="260" w:line="416" w:lineRule="auto"/>
    </w:pPr>
    <w:rPr>
      <w:b w:val="1"/>
      <w:sz w:val="32"/>
      <w:bCs/>
      <w:szCs w:val="32"/>
      <w:rFonts w:asciiTheme="majorHAnsi" w:hAnsiTheme="majorHAnsi" w:eastAsiaTheme="majorEastAsia" w:cstheme="majorBidi"/>
    </w:rPr>
  </w:style>
  <w:style w:type="paragraph" w:styleId="4">
    <w:name w:val="heading 3"/>
    <w:basedOn w:val="1"/>
    <w:link w:val="38"/>
    <w:uiPriority w:val="0"/>
    <w:qFormat/>
    <w:pPr>
      <w:keepNext w:val="1"/>
      <w:keepLines w:val="1"/>
      <w:outlineLvl w:val="2"/>
      <w:spacing w:after="260" w:before="260" w:line="416" w:lineRule="auto"/>
      <w:ind w:firstLine="480" w:firstLineChars="200"/>
    </w:pPr>
    <w:rPr>
      <w:b w:val="1"/>
      <w:sz w:val="32"/>
      <w:bCs/>
      <w:szCs w:val="32"/>
    </w:rPr>
  </w:style>
  <w:style w:type="paragraph" w:styleId="5">
    <w:name w:val="heading 4"/>
    <w:basedOn w:val="1"/>
    <w:link w:val="39"/>
    <w:uiPriority w:val="0"/>
    <w:qFormat/>
    <w:pPr>
      <w:keepNext w:val="1"/>
      <w:keepLines w:val="1"/>
      <w:outlineLvl w:val="3"/>
      <w:spacing w:after="290" w:before="280" w:line="376" w:lineRule="auto"/>
      <w:ind w:firstLine="480" w:firstLineChars="200"/>
    </w:pPr>
    <w:rPr>
      <w:b w:val="1"/>
      <w:sz w:val="28"/>
      <w:bCs/>
      <w:szCs w:val="28"/>
      <w:rFonts w:ascii="等线 Light" w:hAnsi="等线 Light" w:eastAsia="等线 Light"/>
    </w:rPr>
  </w:style>
  <w:style w:type="character" w:styleId="29" w:default="1">
    <w:name w:val="Default Paragraph Font"/>
    <w:uiPriority w:val="1"/>
    <w:semiHidden/>
    <w:unhideWhenUsed/>
    <w:qFormat/>
  </w:style>
  <w:style w:type="table" w:styleId="27" w:default="1">
    <w:name w:val="Normal Table"/>
    <w:uiPriority w:val="99"/>
    <w:semiHidden/>
    <w:unhideWhenUsed/>
    <w:qFormat/>
    <w:tblPr>
      <w:tblCellMar>
        <w:top w:type="dxa" w:w="0.000000"/>
        <w:bottom w:type="dxa" w:w="0.000000"/>
        <w:left w:type="dxa" w:w="108.000000"/>
        <w:right w:type="dxa" w:w="108.000000"/>
      </w:tblCellMar>
    </w:tblPr>
  </w:style>
  <w:style w:type="paragraph" w:styleId="6">
    <w:name w:val="Normal Indent"/>
    <w:basedOn w:val="1"/>
    <w:link w:val="85"/>
    <w:uiPriority w:val="0"/>
    <w:unhideWhenUsed/>
    <w:qFormat/>
    <w:pPr>
      <w:spacing w:line="520" w:lineRule="exact"/>
      <w:ind w:firstLine="624"/>
    </w:pPr>
    <w:rPr>
      <w:sz w:val="28"/>
      <w:szCs w:val="22"/>
      <w:rFonts w:ascii="Calibri" w:hAnsi="Calibri"/>
    </w:rPr>
  </w:style>
  <w:style w:type="paragraph" w:styleId="7">
    <w:name w:val="Document Map"/>
    <w:basedOn w:val="1"/>
    <w:link w:val="57"/>
    <w:uiPriority w:val="99"/>
    <w:qFormat/>
    <w:rPr>
      <w:sz w:val="18"/>
      <w:szCs w:val="18"/>
      <w:rFonts w:ascii="宋体"/>
    </w:rPr>
  </w:style>
  <w:style w:type="paragraph" w:styleId="8">
    <w:name w:val="annotation text"/>
    <w:basedOn w:val="1"/>
    <w:link w:val="46"/>
    <w:uiPriority w:val="0"/>
    <w:qFormat/>
    <w:pPr>
      <w:jc w:val="left"/>
    </w:pPr>
    <w:rPr>
      <w:sz w:val="24"/>
      <w:kern w:val="0"/>
      <w:szCs w:val="20"/>
    </w:rPr>
  </w:style>
  <w:style w:type="paragraph" w:styleId="9">
    <w:name w:val="Body Text"/>
    <w:basedOn w:val="1"/>
    <w:link w:val="45"/>
    <w:uiPriority w:val="0"/>
    <w:qFormat/>
    <w:pPr>
      <w:widowControl w:val="1"/>
      <w:snapToGrid w:val="0"/>
      <w:spacing w:after="160" w:before="60" w:line="259" w:lineRule="auto"/>
      <w:ind w:right="113"/>
    </w:pPr>
    <w:rPr>
      <w:sz w:val="18"/>
      <w:kern w:val="0"/>
      <w:szCs w:val="20"/>
    </w:rPr>
  </w:style>
  <w:style w:type="paragraph" w:styleId="10">
    <w:name w:val="Body Text Indent"/>
    <w:basedOn w:val="1"/>
    <w:link w:val="54"/>
    <w:uiPriority w:val="99"/>
    <w:qFormat/>
    <w:pPr>
      <w:spacing w:after="120"/>
      <w:ind w:left="420" w:leftChars="200"/>
    </w:pPr>
    <w:rPr>
      <w:sz w:val="24"/>
      <w:kern w:val="0"/>
      <w:szCs w:val="20"/>
    </w:rPr>
  </w:style>
  <w:style w:type="paragraph" w:styleId="11">
    <w:name w:val="toc 3"/>
    <w:basedOn w:val="1"/>
    <w:uiPriority w:val="39"/>
    <w:qFormat/>
    <w:pPr>
      <w:ind w:firstLine="960" w:firstLineChars="400"/>
    </w:pPr>
  </w:style>
  <w:style w:type="paragraph" w:styleId="12">
    <w:name w:val="Plain Text"/>
    <w:basedOn w:val="1"/>
    <w:link w:val="111"/>
    <w:uiPriority w:val="0"/>
    <w:qFormat/>
    <w:pPr>
      <w:spacing w:line="360" w:lineRule="auto"/>
      <w:ind w:firstLine="480" w:firstLineChars="200"/>
    </w:pPr>
    <w:rPr>
      <w:szCs w:val="21"/>
      <w:rFonts w:ascii="宋体" w:hAnsi="Courier New"/>
    </w:rPr>
  </w:style>
  <w:style w:type="paragraph" w:styleId="13">
    <w:name w:val="Date"/>
    <w:basedOn w:val="1"/>
    <w:link w:val="41"/>
    <w:uiPriority w:val="0"/>
    <w:qFormat/>
    <w:pPr>
      <w:ind w:left="100" w:leftChars="2500"/>
    </w:pPr>
    <w:rPr>
      <w:sz w:val="24"/>
      <w:kern w:val="0"/>
      <w:szCs w:val="20"/>
    </w:rPr>
  </w:style>
  <w:style w:type="paragraph" w:styleId="14">
    <w:name w:val="Body Text Indent 2"/>
    <w:basedOn w:val="1"/>
    <w:link w:val="112"/>
    <w:uiPriority w:val="0"/>
    <w:qFormat/>
    <w:pPr>
      <w:spacing w:after="120" w:line="480" w:lineRule="auto"/>
      <w:ind w:firstLine="480" w:firstLineChars="200" w:left="420" w:leftChars="200"/>
    </w:pPr>
    <w:rPr>
      <w:sz w:val="24"/>
    </w:rPr>
  </w:style>
  <w:style w:type="paragraph" w:styleId="15">
    <w:name w:val="Balloon Text"/>
    <w:basedOn w:val="1"/>
    <w:link w:val="50"/>
    <w:uiPriority w:val="0"/>
    <w:qFormat/>
    <w:rPr>
      <w:sz w:val="18"/>
      <w:kern w:val="0"/>
      <w:szCs w:val="20"/>
    </w:rPr>
  </w:style>
  <w:style w:type="paragraph" w:styleId="16">
    <w:name w:val="footer"/>
    <w:basedOn w:val="1"/>
    <w:link w:val="40"/>
    <w:uiPriority w:val="99"/>
    <w:qFormat/>
    <w:pPr>
      <w:snapToGrid w:val="0"/>
      <w:jc w:val="left"/>
      <w:tabs>
        <w:tab w:val="center" w:pos="4153"/>
        <w:tab w:val="right" w:pos="8306"/>
      </w:tabs>
    </w:pPr>
    <w:rPr>
      <w:sz w:val="18"/>
      <w:kern w:val="0"/>
      <w:szCs w:val="20"/>
    </w:rPr>
  </w:style>
  <w:style w:type="paragraph" w:styleId="17">
    <w:name w:val="header"/>
    <w:basedOn w:val="1"/>
    <w:link w:val="52"/>
    <w:uiPriority w:val="99"/>
    <w:qFormat/>
    <w:pPr>
      <w:snapToGrid w:val="0"/>
      <w:jc w:val="center"/>
      <w:pBdr>
        <w:bottom w:val="single" w:color="auto" w:sz="6" w:space="1"/>
      </w:pBdr>
      <w:tabs>
        <w:tab w:val="center" w:pos="4153"/>
        <w:tab w:val="right" w:pos="8306"/>
      </w:tabs>
    </w:pPr>
    <w:rPr>
      <w:sz w:val="18"/>
      <w:kern w:val="0"/>
      <w:szCs w:val="20"/>
    </w:rPr>
  </w:style>
  <w:style w:type="paragraph" w:styleId="18">
    <w:name w:val="toc 1"/>
    <w:basedOn w:val="1"/>
    <w:uiPriority w:val="39"/>
    <w:qFormat/>
  </w:style>
  <w:style w:type="paragraph" w:styleId="19">
    <w:name w:val="toc 2"/>
    <w:basedOn w:val="1"/>
    <w:uiPriority w:val="39"/>
    <w:qFormat/>
    <w:pPr>
      <w:ind w:left="420" w:leftChars="200"/>
    </w:pPr>
  </w:style>
  <w:style w:type="paragraph" w:styleId="20">
    <w:name w:val="Body Text 2"/>
    <w:basedOn w:val="1"/>
    <w:link w:val="108"/>
    <w:uiPriority w:val="99"/>
    <w:qFormat/>
    <w:pPr>
      <w:spacing w:after="120" w:line="480" w:lineRule="auto"/>
    </w:pPr>
  </w:style>
  <w:style w:type="paragraph" w:styleId="21">
    <w:name w:val="Message Header"/>
    <w:basedOn w:val="1"/>
    <w:link w:val="113"/>
    <w:uiPriority w:val="0"/>
    <w:qFormat/>
    <w:pPr>
      <w:pBdr>
        <w:top w:val="single" w:color="auto" w:sz="6" w:space="1"/>
        <w:left w:val="single" w:color="auto" w:sz="6" w:space="1"/>
        <w:bottom w:val="single" w:color="auto" w:sz="6" w:space="1"/>
        <w:right w:val="single" w:color="auto" w:sz="6" w:space="1"/>
      </w:pBdr>
      <w:shd w:val="pct20" w:color="auto" w:fill="auto"/>
      <w:spacing w:line="360" w:lineRule="auto"/>
      <w:ind w:hanging="1080" w:hangingChars="500" w:left="1080" w:leftChars="500"/>
    </w:pPr>
    <w:rPr>
      <w:sz w:val="24"/>
      <w:rFonts w:ascii="Arial" w:hAnsi="Arial" w:cs="Arial"/>
    </w:rPr>
  </w:style>
  <w:style w:type="paragraph" w:styleId="22">
    <w:name w:val="Normal (Web)"/>
    <w:basedOn w:val="1"/>
    <w:link w:val="43"/>
    <w:uiPriority w:val="99"/>
    <w:qFormat/>
    <w:pPr>
      <w:widowControl w:val="1"/>
      <w:jc w:val="left"/>
      <w:spacing w:after="100" w:afterAutospacing="1" w:before="100" w:beforeAutospacing="1"/>
    </w:pPr>
    <w:rPr>
      <w:sz w:val="24"/>
      <w:kern w:val="0"/>
      <w:szCs w:val="20"/>
      <w:rFonts w:ascii="宋体" w:hAnsi="宋体"/>
    </w:rPr>
  </w:style>
  <w:style w:type="paragraph" w:styleId="23">
    <w:name w:val="Title"/>
    <w:basedOn w:val="1"/>
    <w:link w:val="114"/>
    <w:uiPriority w:val="0"/>
    <w:qFormat/>
    <w:pPr>
      <w:jc w:val="left"/>
      <w:outlineLvl w:val="0"/>
    </w:pPr>
    <w:rPr>
      <w:b w:val="1"/>
      <w:sz w:val="24"/>
      <w:bCs/>
      <w:szCs w:val="32"/>
    </w:rPr>
  </w:style>
  <w:style w:type="paragraph" w:styleId="24">
    <w:name w:val="annotation subject"/>
    <w:basedOn w:val="8"/>
    <w:link w:val="51"/>
    <w:uiPriority w:val="0"/>
    <w:qFormat/>
    <w:rPr>
      <w:b w:val="1"/>
      <w:kern w:val="2"/>
    </w:rPr>
  </w:style>
  <w:style w:type="paragraph" w:styleId="25">
    <w:name w:val="Body Text First Indent"/>
    <w:basedOn w:val="9"/>
    <w:link w:val="92"/>
    <w:uiPriority w:val="0"/>
    <w:qFormat/>
    <w:pPr>
      <w:widowControl w:val="0"/>
      <w:snapToGrid w:val="1"/>
      <w:spacing w:after="120" w:before="0" w:line="240" w:lineRule="auto"/>
      <w:ind w:firstLine="420" w:firstLineChars="100" w:right="0"/>
    </w:pPr>
    <w:rPr>
      <w:sz w:val="21"/>
      <w:kern w:val="2"/>
      <w:szCs w:val="24"/>
    </w:rPr>
  </w:style>
  <w:style w:type="paragraph" w:styleId="26">
    <w:name w:val="Body Text First Indent 2"/>
    <w:basedOn w:val="10"/>
    <w:link w:val="109"/>
    <w:uiPriority w:val="0"/>
    <w:qFormat/>
    <w:pPr>
      <w:ind w:firstLine="420" w:firstLineChars="200"/>
    </w:pPr>
    <w:rPr>
      <w:sz w:val="21"/>
      <w:kern w:val="2"/>
      <w:szCs w:val="24"/>
    </w:rPr>
  </w:style>
  <w:style w:type="table" w:styleId="28">
    <w:name w:val="Table Grid"/>
    <w:basedOn w:val="27"/>
    <w:uiPriority w:val="0"/>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type="dxa" w:w="0.000000"/>
        <w:bottom w:type="dxa" w:w="0.000000"/>
        <w:left w:type="dxa" w:w="108.000000"/>
        <w:right w:type="dxa" w:w="108.000000"/>
      </w:tblCellMar>
    </w:tblPr>
  </w:style>
  <w:style w:type="character" w:styleId="30">
    <w:name w:val="page number"/>
    <w:basedOn w:val="29"/>
    <w:uiPriority w:val="0"/>
    <w:qFormat/>
  </w:style>
  <w:style w:type="character" w:styleId="31">
    <w:name w:val="FollowedHyperlink"/>
    <w:basedOn w:val="29"/>
    <w:uiPriority w:val="99"/>
    <w:unhideWhenUsed/>
    <w:qFormat/>
    <w:rPr>
      <w:u w:val="single"/>
      <w:color w:val="800080" w:themeColor="followedHyperlink"/>
    </w:rPr>
  </w:style>
  <w:style w:type="character" w:styleId="32">
    <w:name w:val="Hyperlink"/>
    <w:basedOn w:val="29"/>
    <w:uiPriority w:val="99"/>
    <w:qFormat/>
    <w:rPr>
      <w:u w:val="single"/>
      <w:color w:val="0000FF" w:themeColor="hyperlink"/>
    </w:rPr>
  </w:style>
  <w:style w:type="character" w:styleId="33">
    <w:name w:val="annotation reference"/>
    <w:uiPriority w:val="0"/>
    <w:qFormat/>
    <w:rPr>
      <w:sz w:val="21"/>
    </w:rPr>
  </w:style>
  <w:style w:type="paragraph" w:styleId="34" w:customStyle="1">
    <w:name w:val="Normal (Web)1"/>
    <w:basedOn w:val="1"/>
    <w:uiPriority w:val="0"/>
    <w:qFormat/>
    <w:pPr>
      <w:widowControl w:val="1"/>
      <w:jc w:val="left"/>
    </w:pPr>
    <w:rPr>
      <w:sz w:val="24"/>
      <w:kern w:val="0"/>
      <w:szCs w:val="21"/>
      <w:rFonts w:ascii="宋体"/>
    </w:rPr>
  </w:style>
  <w:style w:type="paragraph" w:styleId="35" w:customStyle="1">
    <w:name w:val="Date1"/>
    <w:basedOn w:val="1"/>
    <w:uiPriority w:val="0"/>
    <w:qFormat/>
    <w:pPr>
      <w:spacing w:line="360" w:lineRule="auto"/>
      <w:ind w:firstLine="480" w:firstLineChars="200" w:left="2500" w:leftChars="2500"/>
    </w:pPr>
    <w:rPr>
      <w:sz w:val="24"/>
    </w:rPr>
  </w:style>
  <w:style w:type="character" w:styleId="36" w:customStyle="1">
    <w:name w:val="标题 1 Char"/>
    <w:basedOn w:val="29"/>
    <w:link w:val="2"/>
    <w:uiPriority w:val="0"/>
    <w:qFormat/>
    <w:rPr>
      <w:b w:val="1"/>
      <w:color w:val="000000"/>
      <w:sz w:val="30"/>
      <w:bCs/>
      <w:kern w:val="44"/>
      <w:szCs w:val="30"/>
      <w:rFonts w:eastAsia="黑体"/>
    </w:rPr>
  </w:style>
  <w:style w:type="character" w:styleId="37" w:customStyle="1">
    <w:name w:val="标题 2 Char"/>
    <w:basedOn w:val="29"/>
    <w:link w:val="3"/>
    <w:uiPriority w:val="0"/>
    <w:qFormat/>
    <w:rPr>
      <w:b w:val="1"/>
      <w:sz w:val="32"/>
      <w:bCs/>
      <w:kern w:val="2"/>
      <w:szCs w:val="32"/>
      <w:rFonts w:asciiTheme="majorHAnsi" w:hAnsiTheme="majorHAnsi" w:eastAsiaTheme="majorEastAsia" w:cstheme="majorBidi"/>
    </w:rPr>
  </w:style>
  <w:style w:type="character" w:styleId="38" w:customStyle="1">
    <w:name w:val="标题 3 Char"/>
    <w:basedOn w:val="29"/>
    <w:link w:val="4"/>
    <w:uiPriority w:val="0"/>
    <w:qFormat/>
    <w:rPr>
      <w:b w:val="1"/>
      <w:sz w:val="32"/>
      <w:bCs/>
      <w:kern w:val="2"/>
      <w:szCs w:val="32"/>
    </w:rPr>
  </w:style>
  <w:style w:type="character" w:styleId="39" w:customStyle="1">
    <w:name w:val="标题 4 Char"/>
    <w:basedOn w:val="29"/>
    <w:link w:val="5"/>
    <w:uiPriority w:val="0"/>
    <w:qFormat/>
    <w:rPr>
      <w:b w:val="1"/>
      <w:sz w:val="28"/>
      <w:bCs/>
      <w:kern w:val="2"/>
      <w:szCs w:val="28"/>
      <w:rFonts w:ascii="等线 Light" w:hAnsi="等线 Light" w:eastAsia="等线 Light"/>
    </w:rPr>
  </w:style>
  <w:style w:type="character" w:styleId="40" w:customStyle="1">
    <w:name w:val="页脚 Char"/>
    <w:link w:val="16"/>
    <w:uiPriority w:val="99"/>
    <w:qFormat/>
    <w:rPr>
      <w:sz w:val="18"/>
    </w:rPr>
  </w:style>
  <w:style w:type="character" w:styleId="41" w:customStyle="1">
    <w:name w:val="日期 Char"/>
    <w:link w:val="13"/>
    <w:uiPriority w:val="0"/>
    <w:qFormat/>
    <w:rPr>
      <w:sz w:val="24"/>
      <w:rFonts w:ascii="Times New Roman" w:hAnsi="Times New Roman" w:eastAsia="宋体"/>
    </w:rPr>
  </w:style>
  <w:style w:type="character" w:styleId="42" w:customStyle="1">
    <w:name w:val="页脚 字符"/>
    <w:basedOn w:val="29"/>
    <w:uiPriority w:val="99"/>
    <w:qFormat/>
  </w:style>
  <w:style w:type="character" w:styleId="43" w:customStyle="1">
    <w:name w:val="普通(网站) Char"/>
    <w:link w:val="22"/>
    <w:uiPriority w:val="99"/>
    <w:qFormat/>
    <w:rPr>
      <w:sz w:val="24"/>
      <w:rFonts w:ascii="宋体" w:hAnsi="宋体" w:eastAsia="宋体"/>
    </w:rPr>
  </w:style>
  <w:style w:type="character" w:styleId="44" w:customStyle="1">
    <w:name w:val="正文文本 字符1"/>
    <w:uiPriority w:val="0"/>
    <w:semiHidden/>
    <w:qFormat/>
    <w:rPr>
      <w:sz w:val="24"/>
      <w:rFonts w:ascii="Times New Roman" w:hAnsi="Times New Roman" w:eastAsia="宋体"/>
    </w:rPr>
  </w:style>
  <w:style w:type="character" w:styleId="45" w:customStyle="1">
    <w:name w:val="正文文本 Char"/>
    <w:link w:val="9"/>
    <w:uiPriority w:val="0"/>
    <w:qFormat/>
    <w:rPr>
      <w:sz w:val="18"/>
    </w:rPr>
  </w:style>
  <w:style w:type="character" w:styleId="46" w:customStyle="1">
    <w:name w:val="批注文字 Char"/>
    <w:link w:val="8"/>
    <w:uiPriority w:val="0"/>
    <w:qFormat/>
    <w:rPr>
      <w:sz w:val="24"/>
      <w:rFonts w:ascii="Times New Roman" w:hAnsi="Times New Roman" w:eastAsia="宋体"/>
    </w:rPr>
  </w:style>
  <w:style w:type="character" w:styleId="47" w:customStyle="1">
    <w:name w:val="表格 Char"/>
    <w:link w:val="48"/>
    <w:uiPriority w:val="0"/>
    <w:qFormat/>
    <w:rPr>
      <w:sz w:val="21"/>
      <w:rFonts w:ascii="宋体"/>
    </w:rPr>
  </w:style>
  <w:style w:type="paragraph" w:styleId="48" w:customStyle="1">
    <w:name w:val="表格"/>
    <w:basedOn w:val="1"/>
    <w:link w:val="47"/>
    <w:uiPriority w:val="0"/>
    <w:qFormat/>
    <w:pPr>
      <w:adjustRightInd w:val="0"/>
      <w:snapToGrid w:val="0"/>
      <w:jc w:val="center"/>
      <w:spacing w:afterLines="10" w:beforeLines="10" w:line="259" w:lineRule="auto"/>
    </w:pPr>
    <w:rPr>
      <w:kern w:val="0"/>
      <w:szCs w:val="20"/>
      <w:rFonts w:ascii="宋体"/>
    </w:rPr>
  </w:style>
  <w:style w:type="character" w:styleId="49" w:customStyle="1">
    <w:name w:val="日期 字符"/>
    <w:uiPriority w:val="0"/>
    <w:semiHidden/>
    <w:qFormat/>
    <w:rPr>
      <w:sz w:val="24"/>
      <w:rFonts w:ascii="Times New Roman" w:hAnsi="Times New Roman" w:eastAsia="宋体"/>
    </w:rPr>
  </w:style>
  <w:style w:type="character" w:styleId="50" w:customStyle="1">
    <w:name w:val="批注框文本 Char"/>
    <w:link w:val="15"/>
    <w:uiPriority w:val="0"/>
    <w:qFormat/>
    <w:rPr>
      <w:sz w:val="18"/>
      <w:rFonts w:ascii="Times New Roman" w:hAnsi="Times New Roman" w:eastAsia="宋体"/>
    </w:rPr>
  </w:style>
  <w:style w:type="character" w:styleId="51" w:customStyle="1">
    <w:name w:val="批注主题 Char"/>
    <w:link w:val="24"/>
    <w:uiPriority w:val="0"/>
    <w:qFormat/>
    <w:rPr>
      <w:b w:val="1"/>
      <w:sz w:val="24"/>
      <w:kern w:val="2"/>
      <w:rFonts w:ascii="Times New Roman" w:hAnsi="Times New Roman" w:eastAsia="宋体"/>
    </w:rPr>
  </w:style>
  <w:style w:type="character" w:styleId="52" w:customStyle="1">
    <w:name w:val="页眉 Char"/>
    <w:link w:val="17"/>
    <w:uiPriority w:val="99"/>
    <w:qFormat/>
    <w:rPr>
      <w:sz w:val="18"/>
    </w:rPr>
  </w:style>
  <w:style w:type="character" w:styleId="53" w:customStyle="1">
    <w:name w:val="批注文字 字符1"/>
    <w:uiPriority w:val="0"/>
    <w:semiHidden/>
    <w:qFormat/>
    <w:rPr>
      <w:sz w:val="24"/>
      <w:rFonts w:ascii="Times New Roman" w:hAnsi="Times New Roman" w:eastAsia="宋体"/>
    </w:rPr>
  </w:style>
  <w:style w:type="character" w:styleId="54" w:customStyle="1">
    <w:name w:val="正文文本缩进 Char"/>
    <w:link w:val="10"/>
    <w:uiPriority w:val="99"/>
    <w:qFormat/>
    <w:rPr>
      <w:sz w:val="24"/>
      <w:rFonts w:ascii="Times New Roman" w:hAnsi="Times New Roman" w:eastAsia="宋体"/>
    </w:rPr>
  </w:style>
  <w:style w:type="paragraph" w:styleId="55" w:customStyle="1">
    <w:name w:val="正文_10"/>
    <w:uiPriority w:val="0"/>
    <w:qFormat/>
    <w:pPr>
      <w:widowControl w:val="0"/>
      <w:jc w:val="both"/>
    </w:pPr>
    <w:rPr>
      <w:sz w:val="21"/>
      <w:lang w:val="en-US" w:eastAsia="zh-CN" w:bidi="ar-SA"/>
      <w:kern w:val="2"/>
      <w:szCs w:val="22"/>
      <w:rFonts w:ascii="Times New Roman" w:hAnsi="Times New Roman" w:eastAsia="宋体" w:cs="Times New Roman"/>
    </w:rPr>
  </w:style>
  <w:style w:type="paragraph" w:styleId="56" w:customStyle="1">
    <w:name w:val="普通(网站)2"/>
    <w:basedOn w:val="1"/>
    <w:uiPriority w:val="0"/>
    <w:qFormat/>
    <w:pPr>
      <w:widowControl w:val="1"/>
      <w:jc w:val="left"/>
      <w:spacing w:after="100" w:afterAutospacing="1" w:before="100" w:beforeAutospacing="1"/>
    </w:pPr>
    <w:rPr>
      <w:sz w:val="24"/>
      <w:szCs w:val="20"/>
      <w:rFonts w:ascii="宋体" w:hAnsi="宋体"/>
    </w:rPr>
  </w:style>
  <w:style w:type="character" w:styleId="57" w:customStyle="1">
    <w:name w:val="文档结构图 Char"/>
    <w:basedOn w:val="29"/>
    <w:link w:val="7"/>
    <w:uiPriority w:val="99"/>
    <w:qFormat/>
    <w:rPr>
      <w:sz w:val="18"/>
      <w:kern w:val="2"/>
      <w:szCs w:val="18"/>
      <w:rFonts w:ascii="宋体"/>
    </w:rPr>
  </w:style>
  <w:style w:type="character" w:styleId="58" w:customStyle="1">
    <w:name w:val="内容 Char"/>
    <w:link w:val="59"/>
    <w:uiPriority w:val="0"/>
    <w:qFormat/>
    <w:rPr>
      <w:color w:val="000000"/>
      <w:sz w:val="24"/>
      <w:kern w:val="2"/>
      <w:szCs w:val="24"/>
    </w:rPr>
  </w:style>
  <w:style w:type="paragraph" w:styleId="59" w:customStyle="1">
    <w:name w:val="内容"/>
    <w:basedOn w:val="1"/>
    <w:link w:val="58"/>
    <w:uiPriority w:val="0"/>
    <w:qFormat/>
    <w:pPr>
      <w:spacing w:afterLines="50" w:beforeLines="50"/>
      <w:ind w:firstLine="200" w:firstLineChars="200"/>
    </w:pPr>
    <w:rPr>
      <w:color w:val="000000"/>
      <w:sz w:val="24"/>
    </w:rPr>
  </w:style>
  <w:style w:type="paragraph" w:styleId="60">
    <w:name w:val="List Paragraph"/>
    <w:basedOn w:val="1"/>
    <w:uiPriority w:val="34"/>
    <w:qFormat/>
    <w:pPr>
      <w:ind w:firstLine="420" w:firstLineChars="200"/>
    </w:pPr>
  </w:style>
  <w:style w:type="paragraph" w:styleId="61" w:customStyle="1">
    <w:name w:val="Char Char Char Char Char Char Char2"/>
    <w:basedOn w:val="1"/>
    <w:uiPriority w:val="0"/>
    <w:qFormat/>
    <w:pPr>
      <w:snapToGrid w:val="0"/>
      <w:spacing w:line="360" w:lineRule="auto"/>
      <w:ind w:firstLine="529" w:firstLineChars="200"/>
    </w:pPr>
  </w:style>
  <w:style w:type="paragraph" w:styleId="62" w:customStyle="1">
    <w:name w:val="表内格式"/>
    <w:basedOn w:val="1"/>
    <w:uiPriority w:val="0"/>
    <w:qFormat/>
    <w:pPr>
      <w:jc w:val="center"/>
      <w:spacing w:line="240" w:lineRule="exact"/>
    </w:pPr>
    <w:rPr>
      <w:szCs w:val="22"/>
      <w:rFonts w:ascii="宋体" w:hAnsi="宋体"/>
    </w:rPr>
  </w:style>
  <w:style w:type="paragraph" w:styleId="63" w:customStyle="1">
    <w:name w:val="环评表中文字"/>
    <w:basedOn w:val="1"/>
    <w:uiPriority w:val="0"/>
    <w:qFormat/>
    <w:pPr>
      <w:jc w:val="center"/>
      <w:spacing w:line="360" w:lineRule="auto"/>
    </w:pPr>
    <w:rPr>
      <w:sz w:val="24"/>
      <w:szCs w:val="22"/>
    </w:rPr>
  </w:style>
  <w:style w:type="character" w:styleId="64" w:customStyle="1">
    <w:name w:val="【正文】 Char"/>
    <w:link w:val="65"/>
    <w:uiPriority w:val="0"/>
    <w:qFormat/>
    <w:rPr>
      <w:sz w:val="24"/>
      <w:kern w:val="2"/>
      <w:szCs w:val="24"/>
    </w:rPr>
  </w:style>
  <w:style w:type="paragraph" w:styleId="65" w:customStyle="1">
    <w:name w:val="【正文】"/>
    <w:basedOn w:val="1"/>
    <w:link w:val="64"/>
    <w:uiPriority w:val="0"/>
    <w:qFormat/>
    <w:pPr>
      <w:spacing w:line="360" w:lineRule="auto"/>
      <w:ind w:firstLine="480" w:firstLineChars="200"/>
    </w:pPr>
    <w:rPr>
      <w:sz w:val="24"/>
    </w:rPr>
  </w:style>
  <w:style w:type="paragraph" w:styleId="66" w:customStyle="1">
    <w:name w:val="表格题目"/>
    <w:basedOn w:val="1"/>
    <w:uiPriority w:val="0"/>
    <w:qFormat/>
    <w:pPr>
      <w:jc w:val="center"/>
      <w:spacing w:line="240" w:lineRule="atLeast"/>
    </w:pPr>
    <w:rPr>
      <w:sz w:val="24"/>
      <w:rFonts w:ascii="黑体" w:hAnsi="宋体" w:eastAsia="黑体"/>
    </w:rPr>
  </w:style>
  <w:style w:type="character" w:styleId="67" w:customStyle="1">
    <w:name w:val="表格内容 Char"/>
    <w:link w:val="68"/>
    <w:uiPriority w:val="0"/>
    <w:qFormat/>
    <w:rPr>
      <w:sz w:val="21"/>
      <w:kern w:val="2"/>
      <w:szCs w:val="21"/>
      <w:rFonts w:ascii="宋体" w:hAnsi="宋体"/>
    </w:rPr>
  </w:style>
  <w:style w:type="paragraph" w:styleId="68" w:customStyle="1">
    <w:name w:val="表格内容"/>
    <w:basedOn w:val="1"/>
    <w:link w:val="67"/>
    <w:uiPriority w:val="0"/>
    <w:qFormat/>
    <w:pPr>
      <w:jc w:val="center"/>
      <w:spacing w:line="340" w:lineRule="exact"/>
    </w:pPr>
    <w:rPr>
      <w:szCs w:val="21"/>
      <w:rFonts w:ascii="宋体" w:hAnsi="宋体"/>
    </w:rPr>
  </w:style>
  <w:style w:type="paragraph" w:styleId="69" w:customStyle="1">
    <w:name w:val="盂县"/>
    <w:basedOn w:val="1"/>
    <w:uiPriority w:val="0"/>
    <w:qFormat/>
    <w:pPr>
      <w:adjustRightInd w:val="0"/>
      <w:snapToGrid w:val="0"/>
      <w:spacing w:line="312" w:lineRule="auto"/>
      <w:ind w:firstLine="560" w:firstLineChars="200"/>
    </w:pPr>
    <w:rPr>
      <w:sz w:val="28"/>
    </w:rPr>
  </w:style>
  <w:style w:type="paragraph" w:styleId="70" w:customStyle="1">
    <w:name w:val="表内容"/>
    <w:basedOn w:val="1"/>
    <w:uiPriority w:val="0"/>
    <w:qFormat/>
    <w:pPr>
      <w:jc w:val="center"/>
      <w:spacing w:line="320" w:lineRule="exact"/>
    </w:pPr>
    <w:rPr>
      <w:szCs w:val="20"/>
    </w:rPr>
  </w:style>
  <w:style w:type="paragraph" w:styleId="71" w:customStyle="1">
    <w:name w:val="xl24"/>
    <w:basedOn w:val="1"/>
    <w:uiPriority w:val="0"/>
    <w:qFormat/>
    <w:pPr>
      <w:widowControl w:val="1"/>
      <w:jc w:val="center"/>
      <w:pBdr>
        <w:right w:val="single" w:color="auto" w:sz="4" w:space="0"/>
      </w:pBdr>
      <w:spacing w:after="100" w:afterAutospacing="1" w:before="100" w:beforeAutospacing="1"/>
    </w:pPr>
    <w:rPr>
      <w:kern w:val="0"/>
      <w:szCs w:val="21"/>
      <w:rFonts w:ascii="FangSong_GB2312" w:hAnsi="宋体" w:eastAsia="FangSong_GB2312" w:hint="eastAsia"/>
    </w:rPr>
  </w:style>
  <w:style w:type="paragraph" w:styleId="72" w:customStyle="1">
    <w:name w:val="正文文字进缩"/>
    <w:basedOn w:val="1"/>
    <w:uiPriority w:val="0"/>
    <w:qFormat/>
    <w:pPr>
      <w:spacing w:line="360" w:lineRule="auto"/>
      <w:ind w:firstLine="200" w:firstLineChars="200"/>
    </w:pPr>
    <w:rPr>
      <w:sz w:val="30"/>
      <w:szCs w:val="20"/>
      <w:rFonts w:ascii="FangSong_GB2312" w:eastAsia="FangSong_GB2312"/>
    </w:rPr>
  </w:style>
  <w:style w:type="character" w:styleId="73" w:customStyle="1">
    <w:name w:val="fontstyle01"/>
    <w:basedOn w:val="29"/>
    <w:uiPriority w:val="0"/>
    <w:qFormat/>
    <w:rPr>
      <w:color w:val="000000"/>
      <w:sz w:val="24"/>
      <w:szCs w:val="24"/>
      <w:rFonts w:ascii="宋体" w:hAnsi="宋体" w:eastAsia="宋体" w:hint="eastAsia"/>
    </w:rPr>
  </w:style>
  <w:style w:type="character" w:styleId="74" w:customStyle="1">
    <w:name w:val="fontstyle21"/>
    <w:basedOn w:val="29"/>
    <w:uiPriority w:val="0"/>
    <w:qFormat/>
    <w:rPr>
      <w:color w:val="000000"/>
      <w:sz w:val="24"/>
      <w:szCs w:val="24"/>
      <w:rFonts w:ascii="Times New Roman" w:hAnsi="Times New Roman" w:cs="Times New Roman" w:hint="default"/>
    </w:rPr>
  </w:style>
  <w:style w:type="character" w:styleId="75" w:customStyle="1">
    <w:name w:val="fontstyle31"/>
    <w:basedOn w:val="29"/>
    <w:uiPriority w:val="0"/>
    <w:qFormat/>
    <w:rPr>
      <w:color w:val="000000"/>
      <w:sz w:val="24"/>
      <w:szCs w:val="24"/>
      <w:rFonts w:ascii="Cambria Math" w:hAnsi="Cambria Math" w:hint="default"/>
    </w:rPr>
  </w:style>
  <w:style w:type="character" w:styleId="76" w:customStyle="1">
    <w:name w:val="fontstyle11"/>
    <w:basedOn w:val="29"/>
    <w:uiPriority w:val="0"/>
    <w:qFormat/>
    <w:rPr>
      <w:color w:val="000000"/>
      <w:sz w:val="24"/>
      <w:szCs w:val="24"/>
      <w:rFonts w:ascii="Cambria Math" w:hAnsi="Cambria Math" w:hint="default"/>
    </w:rPr>
  </w:style>
  <w:style w:type="character" w:styleId="77" w:customStyle="1">
    <w:name w:val="Subtle Emphasis"/>
    <w:basedOn w:val="29"/>
    <w:uiPriority w:val="19"/>
    <w:qFormat/>
    <w:rPr>
      <w:i w:val="1"/>
      <w:color w:val="7F7F7F" w:themeColor="text1" w:themeTint="7F"/>
      <w:iCs/>
    </w:rPr>
  </w:style>
  <w:style w:type="paragraph" w:styleId="78" w:customStyle="1">
    <w:name w:val="Table Paragraph"/>
    <w:basedOn w:val="1"/>
    <w:uiPriority w:val="1"/>
    <w:qFormat/>
    <w:pPr>
      <w:autoSpaceDE w:val="0"/>
      <w:autoSpaceDN w:val="0"/>
      <w:jc w:val="center"/>
    </w:pPr>
    <w:rPr>
      <w:sz w:val="22"/>
      <w:kern w:val="0"/>
      <w:szCs w:val="22"/>
      <w:rFonts w:ascii="仿宋" w:hAnsi="仿宋" w:eastAsia="仿宋" w:hint="eastAsia"/>
    </w:rPr>
  </w:style>
  <w:style w:type="paragraph" w:styleId="79" w:customStyle="1">
    <w:name w:val="Default"/>
    <w:uiPriority w:val="99"/>
    <w:qFormat/>
    <w:pPr>
      <w:widowControl w:val="0"/>
      <w:autoSpaceDE w:val="0"/>
      <w:autoSpaceDN w:val="0"/>
      <w:adjustRightInd w:val="0"/>
    </w:pPr>
    <w:rPr>
      <w:color w:val="000000"/>
      <w:sz w:val="24"/>
      <w:lang w:val="en-US" w:eastAsia="zh-CN" w:bidi="ar-SA"/>
      <w:szCs w:val="24"/>
      <w:rFonts w:ascii="FangSong_GB2312" w:hAnsi="Calibri" w:eastAsia="FangSong_GB2312" w:cs="FangSong_GB2312"/>
    </w:rPr>
  </w:style>
  <w:style w:type="paragraph" w:styleId="80" w:customStyle="1">
    <w:name w:val="正文_20"/>
    <w:uiPriority w:val="0"/>
    <w:qFormat/>
    <w:pPr>
      <w:widowControl w:val="0"/>
      <w:jc w:val="both"/>
    </w:pPr>
    <w:rPr>
      <w:sz w:val="21"/>
      <w:lang w:val="en-US" w:eastAsia="zh-CN" w:bidi="ar-SA"/>
      <w:kern w:val="2"/>
      <w:rFonts w:ascii="Calibri" w:hAnsi="Calibri" w:eastAsia="宋体" w:cs="Times New Roman"/>
    </w:rPr>
  </w:style>
  <w:style w:type="character" w:styleId="81" w:customStyle="1">
    <w:name w:val="【正文】 Char1"/>
    <w:uiPriority w:val="0"/>
    <w:qFormat/>
    <w:rPr>
      <w:sz w:val="24"/>
      <w:kern w:val="2"/>
      <w:szCs w:val="24"/>
    </w:rPr>
  </w:style>
  <w:style w:type="character" w:styleId="82" w:customStyle="1">
    <w:name w:val="【表中文字】 Char"/>
    <w:link w:val="83"/>
    <w:uiPriority w:val="0"/>
    <w:qFormat/>
  </w:style>
  <w:style w:type="paragraph" w:styleId="83" w:customStyle="1">
    <w:name w:val="【表中文字】"/>
    <w:basedOn w:val="84"/>
    <w:link w:val="82"/>
    <w:uiPriority w:val="0"/>
    <w:qFormat/>
    <w:pPr>
      <w:jc w:val="center"/>
    </w:pPr>
    <w:rPr>
      <w:sz w:val="20"/>
      <w:kern w:val="0"/>
      <w:szCs w:val="20"/>
    </w:rPr>
  </w:style>
  <w:style w:type="paragraph" w:styleId="84" w:customStyle="1">
    <w:name w:val=".表1-1-1内容"/>
    <w:basedOn w:val="1"/>
    <w:uiPriority w:val="0"/>
    <w:qFormat/>
    <w:pPr>
      <w:jc w:val="center"/>
      <w:spacing w:line="300" w:lineRule="exact"/>
    </w:pPr>
    <w:rPr>
      <w:kern w:val="0"/>
      <w:szCs w:val="21"/>
    </w:rPr>
  </w:style>
  <w:style w:type="character" w:styleId="85" w:customStyle="1">
    <w:name w:val="正文缩进 Char"/>
    <w:link w:val="6"/>
    <w:uiPriority w:val="0"/>
    <w:qFormat/>
    <w:rPr>
      <w:sz w:val="28"/>
      <w:kern w:val="2"/>
      <w:szCs w:val="22"/>
      <w:rFonts w:ascii="Calibri" w:hAnsi="Calibri"/>
    </w:rPr>
  </w:style>
  <w:style w:type="table" w:styleId="86" w:customStyle="1">
    <w:name w:val="Table Normal"/>
    <w:uiPriority w:val="2"/>
    <w:semiHidden/>
    <w:unhideWhenUsed/>
    <w:qFormat/>
    <w:pPr>
      <w:widowControl w:val="0"/>
      <w:autoSpaceDE w:val="0"/>
      <w:autoSpaceDN w:val="0"/>
    </w:pPr>
    <w:rPr>
      <w:sz w:val="22"/>
      <w:lang w:eastAsia="en-US"/>
      <w:szCs w:val="22"/>
      <w:rFonts w:asciiTheme="minorHAnsi" w:hAnsiTheme="minorHAnsi" w:eastAsiaTheme="minorEastAsia" w:cstheme="minorBidi"/>
    </w:rPr>
    <w:tblPr>
      <w:tblCellMar>
        <w:top w:type="dxa" w:w="0.000000"/>
        <w:bottom w:type="dxa" w:w="0.000000"/>
        <w:left w:type="dxa" w:w="0.000000"/>
        <w:right w:type="dxa" w:w="0.000000"/>
      </w:tblCellMar>
    </w:tblPr>
  </w:style>
  <w:style w:type="character" w:styleId="87" w:customStyle="1">
    <w:name w:val="【表中文字】- 字符"/>
    <w:link w:val="88"/>
    <w:uiPriority w:val="0"/>
    <w:qFormat/>
  </w:style>
  <w:style w:type="paragraph" w:styleId="88" w:customStyle="1">
    <w:name w:val="【表中文字】-"/>
    <w:basedOn w:val="1"/>
    <w:link w:val="87"/>
    <w:uiPriority w:val="0"/>
    <w:qFormat/>
    <w:pPr>
      <w:widowControl w:val="1"/>
      <w:adjustRightInd w:val="0"/>
      <w:snapToGrid w:val="0"/>
      <w:jc w:val="center"/>
    </w:pPr>
    <w:rPr>
      <w:sz w:val="20"/>
      <w:kern w:val="0"/>
      <w:szCs w:val="20"/>
    </w:rPr>
  </w:style>
  <w:style w:type="character" w:styleId="89" w:customStyle="1">
    <w:name w:val="【表头】 Char"/>
    <w:link w:val="90"/>
    <w:uiPriority w:val="0"/>
    <w:qFormat/>
    <w:rPr>
      <w:sz w:val="24"/>
      <w:rFonts w:eastAsia="黑体"/>
    </w:rPr>
  </w:style>
  <w:style w:type="paragraph" w:styleId="90" w:customStyle="1">
    <w:name w:val="【表头】"/>
    <w:basedOn w:val="1"/>
    <w:link w:val="89"/>
    <w:uiPriority w:val="0"/>
    <w:qFormat/>
    <w:pPr>
      <w:adjustRightInd w:val="0"/>
      <w:snapToGrid w:val="0"/>
      <w:jc w:val="center"/>
      <w:spacing w:line="500" w:lineRule="exact"/>
    </w:pPr>
    <w:rPr>
      <w:sz w:val="24"/>
      <w:kern w:val="0"/>
      <w:szCs w:val="20"/>
      <w:rFonts w:eastAsia="黑体"/>
    </w:rPr>
  </w:style>
  <w:style w:type="paragraph" w:styleId="91" w:customStyle="1">
    <w:name w:val="居中表格内容"/>
    <w:basedOn w:val="1"/>
    <w:uiPriority w:val="0"/>
    <w:qFormat/>
    <w:pPr>
      <w:jc w:val="center"/>
    </w:pPr>
    <w:rPr>
      <w:szCs w:val="20"/>
      <w:rFonts w:hint="eastAsia"/>
    </w:rPr>
  </w:style>
  <w:style w:type="character" w:styleId="92" w:customStyle="1">
    <w:name w:val="正文首行缩进 Char"/>
    <w:basedOn w:val="45"/>
    <w:link w:val="25"/>
    <w:uiPriority w:val="0"/>
    <w:qFormat/>
    <w:rPr>
      <w:sz w:val="21"/>
      <w:kern w:val="2"/>
      <w:szCs w:val="24"/>
    </w:rPr>
  </w:style>
  <w:style w:type="paragraph" w:styleId="93" w:customStyle="1">
    <w:name w:val="表内文字"/>
    <w:uiPriority w:val="0"/>
    <w:qFormat/>
    <w:pPr>
      <w:adjustRightInd w:val="0"/>
      <w:snapToGrid w:val="0"/>
      <w:jc w:val="center"/>
    </w:pPr>
    <w:rPr>
      <w:sz w:val="21"/>
      <w:lang w:val="en-US" w:eastAsia="zh-CN" w:bidi="ar-SA"/>
      <w:bCs/>
      <w:szCs w:val="22"/>
      <w:rFonts w:ascii="Times New Roman" w:hAnsi="Times New Roman" w:eastAsia="宋体" w:cs="Times New Roman"/>
    </w:rPr>
  </w:style>
  <w:style w:type="character" w:styleId="94" w:customStyle="1">
    <w:name w:val="正文00 Char"/>
    <w:link w:val="95"/>
    <w:uiPriority w:val="0"/>
    <w:qFormat/>
    <w:rPr>
      <w:sz w:val="24"/>
      <w:kern w:val="2"/>
      <w:szCs w:val="24"/>
      <w:rFonts w:cs="宋体"/>
    </w:rPr>
  </w:style>
  <w:style w:type="paragraph" w:styleId="95" w:customStyle="1">
    <w:name w:val="正文00"/>
    <w:basedOn w:val="1"/>
    <w:link w:val="94"/>
    <w:uiPriority w:val="0"/>
    <w:qFormat/>
    <w:pPr>
      <w:spacing w:line="360" w:lineRule="auto"/>
      <w:ind w:firstLine="480" w:firstLineChars="200"/>
    </w:pPr>
    <w:rPr>
      <w:sz w:val="24"/>
      <w:rFonts w:cs="宋体"/>
    </w:rPr>
  </w:style>
  <w:style w:type="paragraph" w:styleId="96" w:customStyle="1">
    <w:name w:val="表文00"/>
    <w:basedOn w:val="1"/>
    <w:uiPriority w:val="0"/>
    <w:qFormat/>
    <w:pPr>
      <w:autoSpaceDE w:val="0"/>
      <w:autoSpaceDN w:val="0"/>
      <w:jc w:val="center"/>
      <w:contextualSpacing/>
    </w:pPr>
    <w:rPr>
      <w:szCs w:val="18"/>
    </w:rPr>
  </w:style>
  <w:style w:type="paragraph" w:styleId="97" w:customStyle="1">
    <w:name w:val="a正文"/>
    <w:basedOn w:val="1"/>
    <w:uiPriority w:val="0"/>
    <w:qFormat/>
    <w:pPr>
      <w:spacing w:line="520" w:lineRule="exact"/>
      <w:ind w:firstLine="561"/>
    </w:pPr>
    <w:rPr>
      <w:sz w:val="28"/>
      <w:szCs w:val="22"/>
    </w:rPr>
  </w:style>
  <w:style w:type="paragraph" w:styleId="98" w:customStyle="1">
    <w:name w:val="正文1"/>
    <w:link w:val="99"/>
    <w:uiPriority w:val="0"/>
    <w:qFormat/>
    <w:pPr>
      <w:widowControl w:val="0"/>
      <w:adjustRightInd w:val="0"/>
      <w:spacing w:line="360" w:lineRule="atLeast"/>
    </w:pPr>
    <w:rPr>
      <w:sz w:val="24"/>
      <w:lang w:val="en-US" w:eastAsia="zh-CN" w:bidi="ar-SA"/>
      <w:kern w:val="2"/>
      <w:szCs w:val="22"/>
      <w:rFonts w:ascii="宋体" w:hAnsi="Times New Roman" w:eastAsia="宋体" w:cs="Times New Roman"/>
    </w:rPr>
  </w:style>
  <w:style w:type="character" w:styleId="99" w:customStyle="1">
    <w:name w:val="正文1 Char"/>
    <w:link w:val="98"/>
    <w:uiPriority w:val="0"/>
    <w:qFormat/>
    <w:rPr>
      <w:sz w:val="24"/>
      <w:kern w:val="2"/>
      <w:szCs w:val="22"/>
      <w:rFonts w:ascii="宋体"/>
    </w:rPr>
  </w:style>
  <w:style w:type="paragraph" w:styleId="100" w:customStyle="1">
    <w:name w:val="表中字"/>
    <w:basedOn w:val="1"/>
    <w:link w:val="101"/>
    <w:uiPriority w:val="0"/>
    <w:qFormat/>
    <w:pPr>
      <w:jc w:val="center"/>
      <w:spacing w:line="240" w:lineRule="atLeast"/>
    </w:pPr>
    <w:rPr>
      <w:lang w:val="zh-CN"/>
      <w:szCs w:val="22"/>
    </w:rPr>
  </w:style>
  <w:style w:type="character" w:styleId="101" w:customStyle="1">
    <w:name w:val="表中字 Char"/>
    <w:basedOn w:val="29"/>
    <w:link w:val="100"/>
    <w:uiPriority w:val="0"/>
    <w:qFormat/>
    <w:rPr>
      <w:sz w:val="21"/>
      <w:lang w:val="zh-CN"/>
      <w:kern w:val="2"/>
      <w:szCs w:val="22"/>
    </w:rPr>
  </w:style>
  <w:style w:type="paragraph" w:styleId="102" w:customStyle="1">
    <w:name w:val="表格标题"/>
    <w:basedOn w:val="1"/>
    <w:link w:val="103"/>
    <w:uiPriority w:val="0"/>
    <w:qFormat/>
    <w:pPr>
      <w:adjustRightInd w:val="0"/>
      <w:snapToGrid w:val="0"/>
      <w:jc w:val="center"/>
      <w:spacing w:beforeLines="10" w:line="460" w:lineRule="exact"/>
    </w:pPr>
    <w:rPr>
      <w:b w:val="1"/>
      <w:sz w:val="24"/>
    </w:rPr>
  </w:style>
  <w:style w:type="character" w:styleId="103" w:customStyle="1">
    <w:name w:val="表格标题 Char"/>
    <w:link w:val="102"/>
    <w:uiPriority w:val="0"/>
    <w:qFormat/>
    <w:rPr>
      <w:b w:val="1"/>
      <w:sz w:val="24"/>
      <w:kern w:val="2"/>
      <w:szCs w:val="24"/>
    </w:rPr>
  </w:style>
  <w:style w:type="paragraph" w:styleId="104" w:customStyle="1">
    <w:name w:val="正文样式1"/>
    <w:basedOn w:val="1"/>
    <w:uiPriority w:val="0"/>
    <w:qFormat/>
    <w:pPr>
      <w:adjustRightInd w:val="0"/>
      <w:spacing w:line="288" w:lineRule="auto"/>
      <w:ind w:firstLine="360" w:firstLineChars="150"/>
    </w:pPr>
    <w:rPr>
      <w:sz w:val="24"/>
      <w:kern w:val="0"/>
      <w:szCs w:val="20"/>
    </w:rPr>
  </w:style>
  <w:style w:type="character" w:styleId="105" w:customStyle="1">
    <w:name w:val="M表中字体 Char"/>
    <w:link w:val="106"/>
    <w:uiPriority w:val="0"/>
    <w:qFormat/>
    <w:rPr>
      <w:sz w:val="21"/>
      <w:kern w:val="2"/>
      <w:szCs w:val="21"/>
    </w:rPr>
  </w:style>
  <w:style w:type="paragraph" w:styleId="106" w:customStyle="1">
    <w:name w:val="M表中字体"/>
    <w:link w:val="105"/>
    <w:uiPriority w:val="0"/>
    <w:qFormat/>
    <w:pPr>
      <w:adjustRightInd w:val="0"/>
      <w:snapToGrid w:val="0"/>
      <w:jc w:val="center"/>
    </w:pPr>
    <w:rPr>
      <w:sz w:val="21"/>
      <w:lang w:val="en-US" w:eastAsia="zh-CN" w:bidi="ar-SA"/>
      <w:kern w:val="2"/>
      <w:szCs w:val="21"/>
      <w:rFonts w:ascii="Times New Roman" w:hAnsi="Times New Roman" w:eastAsia="宋体" w:cs="Times New Roman"/>
    </w:rPr>
  </w:style>
  <w:style w:type="character" w:styleId="107" w:customStyle="1">
    <w:name w:val="正文00 Char Char"/>
    <w:uiPriority w:val="0"/>
    <w:qFormat/>
    <w:rPr>
      <w:color w:val="FF0000"/>
      <w:bCs/>
      <w:szCs w:val="21"/>
      <w:rFonts w:ascii="Times New Roman" w:hAnsi="Times New Roman" w:cs="Times New Roman"/>
    </w:rPr>
  </w:style>
  <w:style w:type="character" w:styleId="108" w:customStyle="1">
    <w:name w:val="正文文本 2 Char"/>
    <w:basedOn w:val="29"/>
    <w:link w:val="20"/>
    <w:uiPriority w:val="99"/>
    <w:qFormat/>
    <w:rPr>
      <w:sz w:val="21"/>
      <w:kern w:val="2"/>
      <w:szCs w:val="24"/>
    </w:rPr>
  </w:style>
  <w:style w:type="character" w:styleId="109" w:customStyle="1">
    <w:name w:val="正文首行缩进 2 Char"/>
    <w:basedOn w:val="54"/>
    <w:link w:val="26"/>
    <w:uiPriority w:val="0"/>
    <w:qFormat/>
    <w:rPr>
      <w:sz w:val="21"/>
      <w:kern w:val="2"/>
      <w:szCs w:val="24"/>
    </w:rPr>
  </w:style>
  <w:style w:type="paragraph" w:styleId="110" w:customStyle="1">
    <w:name w:val="样式5"/>
    <w:basedOn w:val="1"/>
    <w:uiPriority w:val="0"/>
    <w:qFormat/>
    <w:pPr>
      <w:spacing w:line="380" w:lineRule="exact"/>
      <w:ind w:firstLine="566" w:firstLineChars="202"/>
    </w:pPr>
    <w:rPr>
      <w:sz w:val="24"/>
      <w:rFonts w:eastAsia="华文行楷"/>
    </w:rPr>
  </w:style>
  <w:style w:type="character" w:styleId="111" w:customStyle="1">
    <w:name w:val="纯文本 Char"/>
    <w:basedOn w:val="29"/>
    <w:link w:val="12"/>
    <w:uiPriority w:val="0"/>
    <w:qFormat/>
    <w:rPr>
      <w:sz w:val="21"/>
      <w:kern w:val="2"/>
      <w:szCs w:val="21"/>
      <w:rFonts w:ascii="宋体" w:hAnsi="Courier New"/>
    </w:rPr>
  </w:style>
  <w:style w:type="character" w:styleId="112" w:customStyle="1">
    <w:name w:val="正文文本缩进 2 Char"/>
    <w:basedOn w:val="29"/>
    <w:link w:val="14"/>
    <w:uiPriority w:val="0"/>
    <w:qFormat/>
    <w:rPr>
      <w:sz w:val="24"/>
      <w:kern w:val="2"/>
      <w:szCs w:val="24"/>
    </w:rPr>
  </w:style>
  <w:style w:type="character" w:styleId="113" w:customStyle="1">
    <w:name w:val="信息标题 Char"/>
    <w:basedOn w:val="29"/>
    <w:link w:val="21"/>
    <w:uiPriority w:val="0"/>
    <w:qFormat/>
    <w:rPr>
      <w:sz w:val="24"/>
      <w:kern w:val="2"/>
      <w:szCs w:val="24"/>
      <w:shd w:val="pct20" w:color="auto" w:fill="auto"/>
      <w:rFonts w:ascii="Arial" w:hAnsi="Arial" w:cs="Arial"/>
    </w:rPr>
  </w:style>
  <w:style w:type="character" w:styleId="114" w:customStyle="1">
    <w:name w:val="标题 Char"/>
    <w:basedOn w:val="29"/>
    <w:link w:val="23"/>
    <w:uiPriority w:val="0"/>
    <w:qFormat/>
    <w:rPr>
      <w:b w:val="1"/>
      <w:sz w:val="24"/>
      <w:bCs/>
      <w:kern w:val="2"/>
      <w:szCs w:val="32"/>
    </w:rPr>
  </w:style>
  <w:style w:type="paragraph" w:styleId="115" w:customStyle="1">
    <w:name w:val="样式 正文首行缩进 + 首行缩进:  2 字符1"/>
    <w:basedOn w:val="1"/>
    <w:uiPriority w:val="0"/>
    <w:qFormat/>
    <w:pPr>
      <w:spacing w:line="360" w:lineRule="auto"/>
      <w:ind w:firstLine="480" w:firstLineChars="200"/>
    </w:pPr>
    <w:rPr>
      <w:sz w:val="24"/>
    </w:rPr>
  </w:style>
  <w:style w:type="character" w:styleId="116" w:customStyle="1">
    <w:name w:val="【表中文字】 Char Char"/>
    <w:uiPriority w:val="0"/>
    <w:qFormat/>
    <w:rPr>
      <w:szCs w:val="21"/>
      <w:rFonts w:hAnsi="宋体"/>
    </w:rPr>
  </w:style>
  <w:style w:type="character" w:styleId="117" w:customStyle="1">
    <w:name w:val="C【表头】 字符"/>
    <w:link w:val="118"/>
    <w:uiPriority w:val="0"/>
    <w:qFormat/>
    <w:rPr>
      <w:sz w:val="21"/>
      <w:rFonts w:eastAsia="黑体" w:cs="宋体"/>
    </w:rPr>
  </w:style>
  <w:style w:type="paragraph" w:styleId="118" w:customStyle="1">
    <w:name w:val="C【表头】"/>
    <w:basedOn w:val="1"/>
    <w:link w:val="117"/>
    <w:uiPriority w:val="0"/>
    <w:qFormat/>
    <w:pPr>
      <w:widowControl w:val="1"/>
      <w:adjustRightInd w:val="0"/>
      <w:snapToGrid w:val="0"/>
      <w:jc w:val="center"/>
    </w:pPr>
    <w:rPr>
      <w:kern w:val="0"/>
      <w:szCs w:val="20"/>
      <w:rFonts w:eastAsia="黑体" w:cs="宋体"/>
    </w:rPr>
  </w:style>
  <w:style w:type="character" w:styleId="119" w:customStyle="1">
    <w:name w:val="图表格式 无缩进居中 Char"/>
    <w:link w:val="120"/>
    <w:uiPriority w:val="0"/>
    <w:qFormat/>
    <w:rPr>
      <w:szCs w:val="21"/>
    </w:rPr>
  </w:style>
  <w:style w:type="paragraph" w:styleId="120" w:customStyle="1">
    <w:name w:val="图表格式 无缩进居中"/>
    <w:basedOn w:val="1"/>
    <w:link w:val="119"/>
    <w:uiPriority w:val="0"/>
    <w:qFormat/>
    <w:pPr>
      <w:adjustRightInd w:val="0"/>
      <w:jc w:val="center"/>
    </w:pPr>
    <w:rPr>
      <w:sz w:val="20"/>
      <w:kern w:val="0"/>
      <w:szCs w:val="21"/>
    </w:rPr>
  </w:style>
  <w:style w:type="character" w:styleId="121" w:customStyle="1">
    <w:name w:val="2级标题- 字符"/>
    <w:link w:val="122"/>
    <w:uiPriority w:val="0"/>
    <w:qFormat/>
    <w:rPr>
      <w:color w:val="000000"/>
      <w:sz w:val="28"/>
      <w:bCs/>
      <w:szCs w:val="24"/>
      <w:rFonts w:eastAsia="黑体"/>
    </w:rPr>
  </w:style>
  <w:style w:type="paragraph" w:styleId="122" w:customStyle="1">
    <w:name w:val="2级标题-"/>
    <w:basedOn w:val="3"/>
    <w:link w:val="121"/>
    <w:uiPriority w:val="0"/>
    <w:qFormat/>
    <w:pPr>
      <w:adjustRightInd w:val="0"/>
      <w:snapToGrid w:val="0"/>
      <w:spacing w:after="0" w:before="0" w:line="500" w:lineRule="exact"/>
    </w:pPr>
    <w:rPr>
      <w:b w:val="0"/>
      <w:color w:val="000000"/>
      <w:sz w:val="28"/>
      <w:kern w:val="0"/>
      <w:szCs w:val="24"/>
      <w:rFonts w:ascii="Times New Roman" w:hAnsi="Times New Roman" w:eastAsia="黑体" w:cs="Times New Roman"/>
    </w:rPr>
  </w:style>
  <w:style w:type="character" w:styleId="123" w:customStyle="1">
    <w:name w:val="表格文字 Char"/>
    <w:link w:val="124"/>
    <w:uiPriority w:val="0"/>
    <w:qFormat/>
    <w:rPr>
      <w:spacing w:val="6"/>
      <w:sz w:val="24"/>
      <w:rFonts w:ascii="宋体" w:hAnsi="宋体"/>
    </w:rPr>
  </w:style>
  <w:style w:type="paragraph" w:styleId="124" w:customStyle="1">
    <w:name w:val="表格文字"/>
    <w:basedOn w:val="1"/>
    <w:link w:val="123"/>
    <w:uiPriority w:val="0"/>
    <w:qFormat/>
    <w:pPr>
      <w:jc w:val="center"/>
      <w:tabs>
        <w:tab w:val="left" w:pos="146"/>
      </w:tabs>
      <w:spacing w:line="240" w:lineRule="exact"/>
      <w:ind w:right="-55" w:rightChars="-55"/>
    </w:pPr>
    <w:rPr>
      <w:spacing w:val="6"/>
      <w:sz w:val="24"/>
      <w:kern w:val="0"/>
      <w:szCs w:val="20"/>
      <w:rFonts w:ascii="宋体" w:hAnsi="宋体"/>
    </w:rPr>
  </w:style>
  <w:style w:type="character" w:styleId="125" w:customStyle="1">
    <w:name w:val="C【表中文字】- 字符"/>
    <w:link w:val="126"/>
    <w:uiPriority w:val="0"/>
    <w:qFormat/>
    <w:rPr>
      <w:sz w:val="18"/>
    </w:rPr>
  </w:style>
  <w:style w:type="paragraph" w:styleId="126" w:customStyle="1">
    <w:name w:val="C【表中文字】-"/>
    <w:basedOn w:val="1"/>
    <w:link w:val="125"/>
    <w:uiPriority w:val="0"/>
    <w:qFormat/>
    <w:pPr>
      <w:adjustRightInd w:val="0"/>
      <w:snapToGrid w:val="0"/>
      <w:jc w:val="center"/>
    </w:pPr>
    <w:rPr>
      <w:sz w:val="18"/>
      <w:kern w:val="0"/>
      <w:szCs w:val="20"/>
    </w:rPr>
  </w:style>
  <w:style w:type="character" w:styleId="127" w:customStyle="1">
    <w:name w:val="1级标题- 字符"/>
    <w:link w:val="128"/>
    <w:uiPriority w:val="0"/>
    <w:qFormat/>
    <w:rPr>
      <w:color w:val="000000"/>
      <w:sz w:val="32"/>
      <w:bCs/>
      <w:kern w:val="44"/>
      <w:szCs w:val="24"/>
      <w:rFonts w:eastAsia="黑体"/>
    </w:rPr>
  </w:style>
  <w:style w:type="paragraph" w:styleId="128" w:customStyle="1">
    <w:name w:val="1级标题-"/>
    <w:basedOn w:val="2"/>
    <w:link w:val="127"/>
    <w:uiPriority w:val="0"/>
    <w:qFormat/>
    <w:pPr>
      <w:keepLines w:val="1"/>
      <w:overflowPunct w:val="1"/>
      <w:adjustRightInd w:val="0"/>
      <w:spacing w:after="0" w:before="0" w:line="500" w:lineRule="exact"/>
      <w:ind w:firstLine="0" w:left="0"/>
    </w:pPr>
    <w:rPr>
      <w:b w:val="0"/>
      <w:sz w:val="32"/>
      <w:szCs w:val="24"/>
    </w:rPr>
  </w:style>
  <w:style w:type="character" w:styleId="129" w:customStyle="1">
    <w:name w:val="4级标题- 字符"/>
    <w:link w:val="130"/>
    <w:uiPriority w:val="0"/>
    <w:qFormat/>
    <w:rPr>
      <w:color w:val="000000"/>
      <w:sz w:val="24"/>
      <w:bCs/>
      <w:szCs w:val="24"/>
      <w:rFonts w:eastAsia="黑体"/>
    </w:rPr>
  </w:style>
  <w:style w:type="paragraph" w:styleId="130" w:customStyle="1">
    <w:name w:val="4级标题-"/>
    <w:basedOn w:val="1"/>
    <w:link w:val="129"/>
    <w:uiPriority w:val="0"/>
    <w:qFormat/>
    <w:pPr>
      <w:adjustRightInd w:val="0"/>
      <w:snapToGrid w:val="0"/>
      <w:outlineLvl w:val="3"/>
      <w:spacing w:line="500" w:lineRule="exact"/>
    </w:pPr>
    <w:rPr>
      <w:color w:val="000000"/>
      <w:sz w:val="24"/>
      <w:bCs/>
      <w:kern w:val="0"/>
      <w:rFonts w:eastAsia="黑体"/>
    </w:rPr>
  </w:style>
  <w:style w:type="character" w:styleId="131" w:customStyle="1">
    <w:name w:val="3级标题- 字符"/>
    <w:link w:val="132"/>
    <w:uiPriority w:val="0"/>
    <w:qFormat/>
    <w:rPr>
      <w:color w:val="000000"/>
      <w:sz w:val="24"/>
      <w:szCs w:val="24"/>
      <w:rFonts w:eastAsia="黑体"/>
    </w:rPr>
  </w:style>
  <w:style w:type="paragraph" w:styleId="132" w:customStyle="1">
    <w:name w:val="3级标题-"/>
    <w:basedOn w:val="1"/>
    <w:link w:val="131"/>
    <w:uiPriority w:val="0"/>
    <w:qFormat/>
    <w:pPr>
      <w:adjustRightInd w:val="0"/>
      <w:snapToGrid w:val="0"/>
      <w:outlineLvl w:val="2"/>
      <w:spacing w:line="500" w:lineRule="exact"/>
    </w:pPr>
    <w:rPr>
      <w:color w:val="000000"/>
      <w:sz w:val="24"/>
      <w:kern w:val="0"/>
      <w:rFonts w:eastAsia="黑体"/>
    </w:rPr>
  </w:style>
  <w:style w:type="character" w:styleId="133" w:customStyle="1">
    <w:name w:val="NormalCharacter"/>
    <w:uiPriority w:val="0"/>
    <w:qFormat/>
    <w:rPr>
      <w:sz w:val="24"/>
      <w:lang w:val="en-US" w:eastAsia="zh-CN" w:bidi="ar-SA"/>
      <w:rFonts w:ascii="宋体"/>
    </w:rPr>
  </w:style>
  <w:style w:type="character" w:styleId="134" w:customStyle="1">
    <w:name w:val="C首行缩进正文 字符"/>
    <w:link w:val="135"/>
    <w:uiPriority w:val="0"/>
    <w:qFormat/>
    <w:rPr>
      <w:color w:val="000000"/>
      <w:sz w:val="21"/>
      <w:kern w:val="2"/>
      <w:szCs w:val="24"/>
      <w:rFonts w:cs="宋体"/>
    </w:rPr>
  </w:style>
  <w:style w:type="paragraph" w:styleId="135" w:customStyle="1">
    <w:name w:val="C首行缩进正文"/>
    <w:basedOn w:val="65"/>
    <w:link w:val="134"/>
    <w:uiPriority w:val="0"/>
    <w:qFormat/>
    <w:pPr>
      <w:ind w:firstLine="200"/>
    </w:pPr>
    <w:rPr>
      <w:color w:val="000000"/>
      <w:sz w:val="21"/>
      <w:rFonts w:cs="宋体"/>
    </w:rPr>
  </w:style>
  <w:style w:type="character" w:styleId="136" w:customStyle="1">
    <w:name w:val="样式 黑体 居中 行距: 1.5 倍行距 Char"/>
    <w:link w:val="137"/>
    <w:uiPriority w:val="0"/>
    <w:qFormat/>
    <w:rPr>
      <w:sz w:val="24"/>
      <w:rFonts w:ascii="黑体" w:hAnsi="黑体" w:eastAsia="黑体" w:cs="宋体"/>
    </w:rPr>
  </w:style>
  <w:style w:type="paragraph" w:styleId="137" w:customStyle="1">
    <w:name w:val="样式 黑体 居中 行距: 1.5 倍行距"/>
    <w:basedOn w:val="1"/>
    <w:link w:val="136"/>
    <w:uiPriority w:val="0"/>
    <w:qFormat/>
    <w:pPr>
      <w:jc w:val="center"/>
      <w:spacing w:line="360" w:lineRule="auto"/>
    </w:pPr>
    <w:rPr>
      <w:sz w:val="24"/>
      <w:kern w:val="0"/>
      <w:szCs w:val="20"/>
      <w:rFonts w:ascii="黑体" w:hAnsi="黑体" w:eastAsia="黑体" w:cs="宋体"/>
    </w:rPr>
  </w:style>
  <w:style w:type="character" w:styleId="138" w:customStyle="1">
    <w:name w:val="表文 Char"/>
    <w:link w:val="139"/>
    <w:uiPriority w:val="0"/>
    <w:qFormat/>
    <w:rPr>
      <w:sz w:val="24"/>
      <w:bCs/>
      <w:iCs/>
      <w:szCs w:val="21"/>
      <w:rFonts w:ascii="宋体" w:hAnsi="宋体" w:cs="宋体"/>
    </w:rPr>
  </w:style>
  <w:style w:type="paragraph" w:styleId="139" w:customStyle="1">
    <w:name w:val="表文"/>
    <w:basedOn w:val="1"/>
    <w:link w:val="138"/>
    <w:uiPriority w:val="0"/>
    <w:qFormat/>
    <w:pPr>
      <w:jc w:val="center"/>
    </w:pPr>
    <w:rPr>
      <w:sz w:val="24"/>
      <w:bCs/>
      <w:iCs/>
      <w:kern w:val="0"/>
      <w:szCs w:val="21"/>
      <w:rFonts w:ascii="宋体" w:hAnsi="宋体" w:cs="宋体"/>
    </w:rPr>
  </w:style>
  <w:style w:type="character" w:styleId="140" w:customStyle="1">
    <w:name w:val="首行缩进正文 字符"/>
    <w:link w:val="141"/>
    <w:uiPriority w:val="0"/>
    <w:qFormat/>
    <w:rPr>
      <w:color w:val="000000"/>
      <w:sz w:val="21"/>
      <w:szCs w:val="24"/>
      <w:rFonts w:cs="宋体"/>
    </w:rPr>
  </w:style>
  <w:style w:type="paragraph" w:styleId="141" w:customStyle="1">
    <w:name w:val="首行缩进正文"/>
    <w:basedOn w:val="65"/>
    <w:link w:val="140"/>
    <w:uiPriority w:val="0"/>
    <w:qFormat/>
    <w:pPr>
      <w:ind w:firstLine="200"/>
    </w:pPr>
    <w:rPr>
      <w:color w:val="000000"/>
      <w:sz w:val="21"/>
      <w:kern w:val="0"/>
      <w:rFonts w:cs="宋体"/>
    </w:rPr>
  </w:style>
  <w:style w:type="paragraph" w:styleId="142" w:customStyle="1">
    <w:name w:val="G---正文"/>
    <w:basedOn w:val="1"/>
    <w:uiPriority w:val="0"/>
    <w:qFormat/>
    <w:pPr>
      <w:widowControl w:val="1"/>
      <w:spacing w:line="360" w:lineRule="auto"/>
      <w:ind w:firstLine="480" w:firstLineChars="200"/>
    </w:pPr>
    <w:rPr>
      <w:sz w:val="20"/>
      <w:kern w:val="44"/>
    </w:rPr>
  </w:style>
  <w:style w:type="paragraph" w:styleId="143" w:customStyle="1">
    <w:name w:val="中文报告书样式"/>
    <w:basedOn w:val="1"/>
    <w:uiPriority w:val="0"/>
    <w:qFormat/>
    <w:pPr>
      <w:adjustRightInd w:val="0"/>
      <w:spacing w:line="480" w:lineRule="atLeast"/>
      <w:ind w:firstLine="482" w:firstLineChars="200"/>
    </w:pPr>
    <w:rPr>
      <w:sz w:val="24"/>
      <w:kern w:val="24"/>
    </w:rPr>
  </w:style>
  <w:style w:type="paragraph" w:styleId="144" w:customStyle="1">
    <w:name w:val="Body text 1"/>
    <w:basedOn w:val="1"/>
    <w:uiPriority w:val="0"/>
    <w:qFormat/>
    <w:pPr>
      <w:jc w:val="left"/>
      <w:spacing w:line="360" w:lineRule="auto"/>
      <w:ind w:firstLine="475" w:firstLineChars="200"/>
    </w:pPr>
    <w:rPr>
      <w:sz w:val="24"/>
      <w:kern w:val="0"/>
    </w:rPr>
  </w:style>
  <w:style w:type="paragraph" w:styleId="145" w:customStyle="1">
    <w:name w:val="Char Char Char Char Char Char Char"/>
    <w:basedOn w:val="1"/>
    <w:uiPriority w:val="0"/>
    <w:qFormat/>
    <w:pPr>
      <w:spacing w:line="360" w:lineRule="auto"/>
      <w:ind w:firstLine="480" w:firstLineChars="200"/>
    </w:pPr>
    <w:rPr>
      <w:sz w:val="24"/>
    </w:rPr>
  </w:style>
  <w:style w:type="paragraph" w:styleId="146" w:customStyle="1">
    <w:name w:val="表格样式"/>
    <w:basedOn w:val="1"/>
    <w:uiPriority w:val="0"/>
    <w:qFormat/>
    <w:pPr>
      <w:ind w:left="105" w:leftChars="50" w:right="105" w:rightChars="50"/>
    </w:pPr>
    <w:rPr>
      <w:color w:val="FF0000"/>
      <w:szCs w:val="21"/>
      <w:rFonts w:ascii="宋体"/>
    </w:rPr>
  </w:style>
  <w:style w:type="paragraph" w:styleId="147" w:customStyle="1">
    <w:name w:val="A正文"/>
    <w:basedOn w:val="1"/>
    <w:uiPriority w:val="0"/>
    <w:qFormat/>
    <w:pPr>
      <w:spacing w:line="360" w:lineRule="auto"/>
      <w:ind w:firstLine="480" w:firstLineChars="200"/>
    </w:pPr>
    <w:rPr>
      <w:sz w:val="24"/>
      <w:kern w:val="0"/>
    </w:rPr>
  </w:style>
  <w:style w:type="paragraph" w:styleId="148" w:customStyle="1">
    <w:name w:val="报告表正文"/>
    <w:basedOn w:val="1"/>
    <w:uiPriority w:val="0"/>
    <w:qFormat/>
    <w:pPr>
      <w:adjustRightInd w:val="0"/>
      <w:jc w:val="left"/>
      <w:spacing w:line="312" w:lineRule="auto"/>
      <w:ind w:firstLine="482" w:firstLineChars="200" w:left="113" w:right="113"/>
    </w:pPr>
    <w:rPr>
      <w:sz w:val="24"/>
      <w:kern w:val="0"/>
    </w:rPr>
  </w:style>
  <w:style w:type="paragraph" w:styleId="149" w:customStyle="1">
    <w:name w:val="正文----------------"/>
    <w:basedOn w:val="1"/>
    <w:uiPriority w:val="0"/>
    <w:qFormat/>
    <w:pPr>
      <w:spacing w:line="440" w:lineRule="exact"/>
      <w:ind w:firstLine="544" w:firstLineChars="200"/>
    </w:pPr>
    <w:rPr>
      <w:spacing w:val="16"/>
      <w:sz w:val="24"/>
      <w:rFonts w:cs="宋体"/>
    </w:rPr>
  </w:style>
  <w:style w:type="paragraph" w:styleId="150" w:customStyle="1">
    <w:name w:val="表格内容居中"/>
    <w:basedOn w:val="1"/>
    <w:uiPriority w:val="0"/>
    <w:qFormat/>
    <w:pPr>
      <w:jc w:val="center"/>
    </w:pPr>
    <w:rPr>
      <w:kern w:val="0"/>
      <w:szCs w:val="20"/>
    </w:rPr>
  </w:style>
  <w:style w:type="paragraph" w:styleId="151" w:customStyle="1">
    <w:name w:val="新正文"/>
    <w:basedOn w:val="1"/>
    <w:uiPriority w:val="0"/>
    <w:qFormat/>
    <w:pPr>
      <w:spacing w:line="500" w:lineRule="exact"/>
      <w:ind w:firstLine="200" w:firstLineChars="200"/>
    </w:pPr>
    <w:rPr>
      <w:sz w:val="24"/>
      <w:kern w:val="0"/>
      <w:rFonts w:ascii="宋体" w:hAnsi="宋体"/>
    </w:rPr>
  </w:style>
  <w:style w:type="paragraph" w:styleId="152" w:customStyle="1">
    <w:name w:val="1黑体头"/>
    <w:basedOn w:val="1"/>
    <w:uiPriority w:val="0"/>
    <w:qFormat/>
    <w:pPr>
      <w:jc w:val="left"/>
      <w:spacing w:line="360" w:lineRule="auto"/>
      <w:ind w:firstLine="479" w:firstLineChars="199"/>
    </w:pPr>
    <w:rPr>
      <w:b w:val="1"/>
      <w:sz w:val="24"/>
      <w:lang w:eastAsia="en-US"/>
      <w:rFonts w:ascii="Verdana" w:hAnsi="Verdana"/>
    </w:rPr>
  </w:style>
  <w:style w:type="paragraph" w:styleId="153" w:customStyle="1">
    <w:name w:val="表格中文字"/>
    <w:basedOn w:val="1"/>
    <w:uiPriority w:val="0"/>
    <w:qFormat/>
    <w:pPr>
      <w:jc w:val="center"/>
      <w:spacing w:line="360" w:lineRule="exact"/>
      <w:ind w:firstLine="480" w:firstLineChars="200"/>
    </w:pPr>
    <w:rPr>
      <w:sz w:val="24"/>
      <w:kern w:val="0"/>
      <w:szCs w:val="21"/>
    </w:rPr>
  </w:style>
  <w:style w:type="paragraph" w:styleId="154" w:customStyle="1">
    <w:name w:val="表中文字（工大）"/>
    <w:basedOn w:val="1"/>
    <w:uiPriority w:val="0"/>
    <w:qFormat/>
    <w:pPr>
      <w:jc w:val="center"/>
      <w:spacing w:line="440" w:lineRule="exact"/>
      <w:ind w:firstLine="480" w:firstLineChars="200"/>
    </w:pPr>
    <w:rPr>
      <w:szCs w:val="20"/>
    </w:rPr>
  </w:style>
  <w:style w:type="paragraph" w:styleId="155" w:customStyle="1">
    <w:name w:val="Char Char Char Char Char Char Char1"/>
    <w:basedOn w:val="1"/>
    <w:uiPriority w:val="0"/>
    <w:qFormat/>
    <w:pPr>
      <w:spacing w:line="360" w:lineRule="auto"/>
      <w:ind w:firstLine="200" w:firstLineChars="200"/>
    </w:pPr>
    <w:rPr>
      <w:sz w:val="24"/>
      <w:rFonts w:ascii="宋体" w:hAnsi="宋体" w:cs="宋体"/>
    </w:rPr>
  </w:style>
  <w:style w:type="paragraph" w:styleId="156" w:customStyle="1">
    <w:name w:val="报告书正文"/>
    <w:basedOn w:val="1"/>
    <w:uiPriority w:val="0"/>
    <w:qFormat/>
    <w:pPr>
      <w:adjustRightInd w:val="0"/>
      <w:snapToGrid w:val="0"/>
      <w:spacing w:line="360" w:lineRule="auto"/>
      <w:ind w:firstLine="425" w:firstLineChars="200"/>
    </w:pPr>
    <w:rPr>
      <w:sz w:val="24"/>
      <w:kern w:val="0"/>
      <w:rFonts w:ascii="Arial" w:hAnsi="Arial"/>
    </w:rPr>
  </w:style>
  <w:style w:type="paragraph" w:styleId="157" w:customStyle="1">
    <w:name w:val="正文缩进1"/>
    <w:basedOn w:val="1"/>
    <w:uiPriority w:val="0"/>
    <w:qFormat/>
    <w:pPr>
      <w:ind w:firstLine="420"/>
    </w:pPr>
    <w:rPr>
      <w:sz w:val="28"/>
    </w:rPr>
  </w:style>
  <w:style w:type="paragraph" w:styleId="158" w:customStyle="1">
    <w:name w:val="表中文字"/>
    <w:basedOn w:val="1"/>
    <w:uiPriority w:val="0"/>
    <w:qFormat/>
    <w:pPr>
      <w:jc w:val="center"/>
    </w:pPr>
    <w:rPr>
      <w:szCs w:val="20"/>
    </w:rPr>
  </w:style>
  <w:style w:type="paragraph" w:styleId="159" w:customStyle="1">
    <w:name w:val="表格填充项"/>
    <w:basedOn w:val="1"/>
    <w:uiPriority w:val="0"/>
    <w:qFormat/>
    <w:pPr>
      <w:jc w:val="center"/>
      <w:spacing w:line="240" w:lineRule="atLeast"/>
    </w:pPr>
    <w:rPr>
      <w:b w:val="1"/>
      <w:rFonts w:ascii="宋体" w:hAnsi="宋体"/>
    </w:rPr>
  </w:style>
  <w:style w:type="character" w:styleId="160" w:customStyle="1">
    <w:name w:val="标题 Char1"/>
    <w:uiPriority w:val="0"/>
    <w:qFormat/>
    <w:rPr>
      <w:b w:val="1"/>
      <w:sz w:val="32"/>
      <w:bCs/>
      <w:kern w:val="2"/>
      <w:szCs w:val="32"/>
      <w:rFonts w:ascii="Cambria" w:hAnsi="Cambria" w:eastAsia="宋体" w:cs="Times New Roman"/>
    </w:rPr>
  </w:style>
  <w:style w:type="character" w:styleId="161" w:customStyle="1">
    <w:name w:val="fontstyle41"/>
    <w:basedOn w:val="29"/>
    <w:uiPriority w:val="0"/>
    <w:qFormat/>
    <w:rPr>
      <w:color w:val="000000"/>
      <w:sz w:val="24"/>
      <w:szCs w:val="24"/>
      <w:rFonts w:ascii="宋体" w:hAnsi="宋体" w:eastAsia="宋体" w:cs="宋体" w:hint="eastAsia"/>
    </w:rPr>
  </w:style>
  <w:style w:type="paragraph" w:styleId="162" w:customStyle="1">
    <w:name w:val="《正文》"/>
    <w:basedOn w:val="1"/>
    <w:uiPriority w:val="0"/>
    <w:qFormat/>
    <w:pPr>
      <w:spacing w:line="360" w:lineRule="auto"/>
      <w:ind w:firstLine="200" w:firstLineChars="200"/>
    </w:pPr>
    <w:rPr>
      <w:sz w:val="24"/>
    </w:rPr>
  </w:style>
</w:styles>
</file>

<file path=word/_rels/document.xml.rels><?xml version="1.0" encoding="UTF-8" standalone="yes"?><Relationships xmlns="http://schemas.openxmlformats.org/package/2006/relationships"><Relationship Id="rId30" Type="http://schemas.openxmlformats.org/officeDocument/2006/relationships/image" Target="media/image4.jpeg" /><Relationship Id="rId29" Type="http://schemas.openxmlformats.org/officeDocument/2006/relationships/image" Target="media/image3.jpeg" /><Relationship Id="rId28" Type="http://schemas.openxmlformats.org/officeDocument/2006/relationships/image" Target="media/image12.png" /><Relationship Id="rId27" Type="http://schemas.openxmlformats.org/officeDocument/2006/relationships/image" Target="media/image11.png" /><Relationship Id="rId26" Type="http://schemas.openxmlformats.org/officeDocument/2006/relationships/image" Target="media/image10.png" /><Relationship Id="rId25" Type="http://schemas.openxmlformats.org/officeDocument/2006/relationships/image" Target="media/image9.png" /><Relationship Id="rId24" Type="http://schemas.openxmlformats.org/officeDocument/2006/relationships/image" Target="media/image2.jpeg" /><Relationship Id="rId31" Type="http://schemas.openxmlformats.org/officeDocument/2006/relationships/image" Target="media/image5.jpeg" /><Relationship Id="rId23" Type="http://schemas.openxmlformats.org/officeDocument/2006/relationships/image" Target="media/image8.png" /><Relationship Id="rId32" Type="http://schemas.openxmlformats.org/officeDocument/2006/relationships/image" Target="media/image6.jpeg" /><Relationship Id="rId9" Type="http://schemas.openxmlformats.org/officeDocument/2006/relationships/image" Target="media/image1.wmf" /><Relationship Id="rId19" Type="http://schemas.openxmlformats.org/officeDocument/2006/relationships/image" Target="media/image7.png" /><Relationship Id="rId4" Type="http://schemas.openxmlformats.org/officeDocument/2006/relationships/numbering" Target="numbering.xml" /><Relationship Id="rId15" Type="http://schemas.openxmlformats.org/officeDocument/2006/relationships/image" Target="media/image2.wmf" /><Relationship Id="rId18" Type="http://schemas.openxmlformats.org/officeDocument/2006/relationships/image" Target="media/image6.png" /><Relationship Id="rId14" Type="http://schemas.openxmlformats.org/officeDocument/2006/relationships/image" Target="media/image5.png" /><Relationship Id="rId6" Type="http://schemas.openxmlformats.org/officeDocument/2006/relationships/footer" Target="footer2.xml" /><Relationship Id="rId13" Type="http://schemas.openxmlformats.org/officeDocument/2006/relationships/image" Target="media/image4.png" /><Relationship Id="rId12" Type="http://schemas.openxmlformats.org/officeDocument/2006/relationships/image" Target="media/image3.png" /><Relationship Id="rId11" Type="http://schemas.openxmlformats.org/officeDocument/2006/relationships/image" Target="media/image2.png" /><Relationship Id="rId7" Type="http://schemas.openxmlformats.org/officeDocument/2006/relationships/footer" Target="footer3.xml" /><Relationship Id="rId5" Type="http://schemas.openxmlformats.org/officeDocument/2006/relationships/footer" Target="footer1.xml" /><Relationship Id="rId3" Type="http://schemas.openxmlformats.org/officeDocument/2006/relationships/theme" Target="theme/theme1.xml" /><Relationship Id="rId17" Type="http://schemas.openxmlformats.org/officeDocument/2006/relationships/image" Target="media/image4.wmf" /><Relationship Id="rId16" Type="http://schemas.openxmlformats.org/officeDocument/2006/relationships/image" Target="media/image3.wmf" /><Relationship Id="rId1" Type="http://schemas.openxmlformats.org/officeDocument/2006/relationships/settings" Target="settings.xml" /><Relationship Id="rId22" Type="http://schemas.openxmlformats.org/officeDocument/2006/relationships/image" Target="media/image1.jpeg" /><Relationship Id="rId21" Type="http://schemas.openxmlformats.org/officeDocument/2006/relationships/footer" Target="footer5.xml" /><Relationship Id="rId8" Type="http://schemas.openxmlformats.org/officeDocument/2006/relationships/footer" Target="footer4.xml" /><Relationship Id="rId20" Type="http://schemas.openxmlformats.org/officeDocument/2006/relationships/header" Target="header1.xml" /><Relationship Id="rId2" Type="http://schemas.openxmlformats.org/officeDocument/2006/relationships/fontTable" Target="fontTable.xml" /><Relationship Id="rId10" Type="http://schemas.openxmlformats.org/officeDocument/2006/relationships/image" Target="media/image1.png" /><Relationship Id="rId0"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
        <a:ea typeface=""/>
        <a:cs typeface=""/>
        <a:font script="Viet" typeface="Times New Roma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MoolBoran"/>
        <a:font script="Syrc" typeface="Estrangelo Edessa"/>
        <a:font script="Thai" typeface="Angsana New"/>
        <a:font script="Gujr" typeface="Shruti"/>
        <a:font script="Uigh" typeface="Microsoft Uighur"/>
        <a:font script="Beng" typeface="Vrinda"/>
        <a:font script="Jpan" typeface="ＭＳ ゴシック"/>
        <a:font script="Thaa" typeface="MV Boli"/>
        <a:font script="Cher" typeface="Plantagenet Cherokee"/>
        <a:font script="Hebr" typeface="Times New Roman"/>
        <a:font script="Yiii" typeface="Microsoft Yi Baiti"/>
        <a:font script="Guru" typeface="Raavi"/>
        <a:font script="Hans" typeface="宋体"/>
        <a:font script="Ethi" typeface="Nyala"/>
        <a:font script="Taml" typeface="Latha"/>
        <a:font script="Knda" typeface="Tunga"/>
        <a:font script="Arab" typeface="Times New Roman"/>
        <a:font script="Hant" typeface="新細明體"/>
      </a:majorFont>
      <a:minorFont>
        <a:latin typeface="Calibri" panose=""/>
        <a:ea typeface=""/>
        <a:cs typeface=""/>
        <a:font script="Viet" typeface="Arial"/>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DaunPenh"/>
        <a:font script="Syrc" typeface="Estrangelo Edessa"/>
        <a:font script="Thai" typeface="Cordia New"/>
        <a:font script="Gujr" typeface="Shruti"/>
        <a:font script="Uigh" typeface="Microsoft Uighur"/>
        <a:font script="Beng" typeface="Vrinda"/>
        <a:font script="Jpan" typeface="ＭＳ 明朝"/>
        <a:font script="Thaa" typeface="MV Boli"/>
        <a:font script="Cher" typeface="Plantagenet Cherokee"/>
        <a:font script="Hebr" typeface="Arial"/>
        <a:font script="Yiii" typeface="Microsoft Yi Baiti"/>
        <a:font script="Guru" typeface="Raavi"/>
        <a:font script="Hans" typeface="宋体"/>
        <a:font script="Ethi" typeface="Nyala"/>
        <a:font script="Taml" typeface="Latha"/>
        <a:font script="Knda" typeface="Tunga"/>
        <a:font script="Arab" typeface="Arial"/>
        <a:font script="Hant" typeface="新細明體"/>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Template>wdzx97</Template>
  <TotalTime>25</TotalTime>
  <Pages>66</Pages>
  <Words>14082</Words>
  <Characters>15164</Characters>
  <Application>WPS Office_12.1.0.18608_F1E327BC-269C-435d-A152-05C5408002CA</Application>
  <DocSecurity>0</DocSecurity>
  <Lines>547</Lines>
  <Paragraphs>154</Paragraphs>
  <ScaleCrop>false</ScaleCrop>
  <Company>微软中国</Company>
  <LinksUpToDate>false</LinksUpToDate>
  <CharactersWithSpaces>15264</CharactersWithSpaces>
  <SharedDoc>false</SharedDoc>
  <HyperlinksChanged>false</HyperlinksChanged>
</Properties>
</file>

<file path=docProps/core.xml><?xml version="1.0" encoding="utf-8"?>
<cp:coreProperties xmlns:xsi="http://www.w3.org/2001/XMLSchema-instance" xmlns:dcmitype="http://purl.org/dc/dcmitype/" xmlns:dc="http://purl.org/dc/elements/1.1/" xmlns:dcterms="http://purl.org/dc/terms/" xmlns:cp="http://schemas.openxmlformats.org/package/2006/metadata/core-properties">
  <dc:title>附件2</dc:title>
  <dc:subject/>
  <dc:creator>lhj</dc:creator>
  <cp:keywords/>
  <dc:description/>
  <cp:lastModifiedBy>小岩</cp:lastModifiedBy>
  <cp:revision>1402</cp:revision>
  <dcterms:created xsi:type="dcterms:W3CDTF">2021-12-20T03:46:00Z</dcterms:created>
  <dcterms:modified xsi:type="dcterms:W3CDTF">2024-10-31T00:40:31Z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2052-12.1.0.18608</vt:lpwstr>
  </property>
  <property fmtid="{D5CDD505-2E9C-101B-9397-08002B2CF9AE}" pid="3" name="ICV">
    <vt:lpwstr>DA0EACC459A0467C96BF146D63CB4065_12</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07E65">
      <w:pPr>
        <w:rPr>
          <w:rFonts w:eastAsia="FangSong_GB2312"/>
          <w:color w:val="auto"/>
          <w:sz w:val="36"/>
          <w:szCs w:val="36"/>
        </w:rPr>
      </w:pPr>
      <w:r>
        <w:rPr>
          <w:rFonts w:eastAsia="FangSong_GB2312"/>
          <w:color w:val="auto"/>
          <w:sz w:val="36"/>
          <w:szCs w:val="36"/>
        </w:rPr>
        <w:t xml:space="preserve"> </w:t>
      </w:r>
    </w:p>
    <w:p w14:paraId="30C49F0D">
      <w:pPr>
        <w:rPr>
          <w:rFonts w:eastAsia="FangSong_GB2312"/>
          <w:color w:val="auto"/>
          <w:sz w:val="36"/>
          <w:szCs w:val="36"/>
        </w:rPr>
      </w:pPr>
    </w:p>
    <w:p w14:paraId="221D776C">
      <w:pPr>
        <w:rPr>
          <w:rFonts w:eastAsia="FangSong_GB2312"/>
          <w:color w:val="auto"/>
          <w:sz w:val="36"/>
          <w:szCs w:val="36"/>
        </w:rPr>
      </w:pPr>
    </w:p>
    <w:p w14:paraId="420FA87F">
      <w:pPr>
        <w:adjustRightInd w:val="0"/>
        <w:snapToGrid w:val="0"/>
        <w:jc w:val="center"/>
        <w:outlineLvl w:val="0"/>
        <w:rPr>
          <w:rFonts w:eastAsia="方正小标宋_GBK"/>
          <w:bCs/>
          <w:color w:val="auto"/>
          <w:sz w:val="72"/>
          <w:szCs w:val="72"/>
        </w:rPr>
      </w:pPr>
      <w:bookmarkStart w:id="0" w:name="_Toc68775750"/>
      <w:r>
        <w:rPr>
          <w:rFonts w:eastAsia="方正小标宋_GBK"/>
          <w:bCs/>
          <w:color w:val="auto"/>
          <w:sz w:val="72"/>
          <w:szCs w:val="72"/>
        </w:rPr>
        <w:t>建设项目环境影响报告表</w:t>
      </w:r>
      <w:bookmarkEnd w:id="0"/>
    </w:p>
    <w:p w14:paraId="79C8DFC0">
      <w:pPr>
        <w:adjustRightInd w:val="0"/>
        <w:snapToGrid w:val="0"/>
        <w:spacing w:beforeLines="80"/>
        <w:jc w:val="center"/>
        <w:rPr>
          <w:rFonts w:eastAsia="楷体_GB2312"/>
          <w:bCs/>
          <w:color w:val="auto"/>
          <w:sz w:val="48"/>
          <w:szCs w:val="48"/>
        </w:rPr>
      </w:pPr>
      <w:r>
        <w:rPr>
          <w:rFonts w:eastAsia="楷体_GB2312"/>
          <w:bCs/>
          <w:color w:val="auto"/>
          <w:sz w:val="48"/>
          <w:szCs w:val="48"/>
        </w:rPr>
        <w:t>（污染影响类）</w:t>
      </w:r>
    </w:p>
    <w:p w14:paraId="3970027B">
      <w:pPr>
        <w:rPr>
          <w:color w:val="auto"/>
          <w:kern w:val="44"/>
        </w:rPr>
      </w:pPr>
    </w:p>
    <w:p w14:paraId="19F5C647">
      <w:pPr>
        <w:jc w:val="center"/>
        <w:rPr>
          <w:rFonts w:eastAsia="仿宋"/>
          <w:color w:val="auto"/>
          <w:sz w:val="52"/>
          <w:szCs w:val="52"/>
        </w:rPr>
      </w:pPr>
    </w:p>
    <w:p w14:paraId="018091A2">
      <w:pPr>
        <w:ind w:firstLine="1040"/>
        <w:rPr>
          <w:rFonts w:eastAsia="仿宋"/>
          <w:color w:val="auto"/>
          <w:sz w:val="44"/>
          <w:szCs w:val="44"/>
        </w:rPr>
      </w:pPr>
    </w:p>
    <w:p w14:paraId="713DD766">
      <w:pPr>
        <w:ind w:firstLine="1040"/>
        <w:rPr>
          <w:rFonts w:eastAsia="仿宋"/>
          <w:color w:val="auto"/>
          <w:sz w:val="44"/>
          <w:szCs w:val="44"/>
        </w:rPr>
      </w:pPr>
    </w:p>
    <w:p w14:paraId="67E48378">
      <w:pPr>
        <w:ind w:firstLine="1040"/>
        <w:rPr>
          <w:rFonts w:eastAsia="仿宋"/>
          <w:color w:val="auto"/>
          <w:sz w:val="44"/>
          <w:szCs w:val="44"/>
        </w:rPr>
      </w:pPr>
    </w:p>
    <w:p w14:paraId="7C81D332">
      <w:pPr>
        <w:ind w:firstLine="1040"/>
        <w:rPr>
          <w:rFonts w:eastAsia="仿宋"/>
          <w:color w:val="auto"/>
          <w:sz w:val="44"/>
          <w:szCs w:val="44"/>
        </w:rPr>
      </w:pPr>
    </w:p>
    <w:p w14:paraId="7E32B035">
      <w:pPr>
        <w:ind w:firstLine="1040"/>
        <w:rPr>
          <w:rFonts w:eastAsia="仿宋"/>
          <w:color w:val="auto"/>
          <w:sz w:val="44"/>
          <w:szCs w:val="44"/>
        </w:rPr>
      </w:pPr>
      <w:bookmarkStart w:id="23" w:name="_GoBack"/>
      <w:bookmarkEnd w:id="23"/>
    </w:p>
    <w:p w14:paraId="15EADCDC">
      <w:pPr>
        <w:adjustRightInd w:val="0"/>
        <w:snapToGrid w:val="0"/>
        <w:spacing w:line="288" w:lineRule="auto"/>
        <w:ind w:left="1847" w:leftChars="194" w:hanging="1440" w:hangingChars="450"/>
        <w:rPr>
          <w:rFonts w:eastAsiaTheme="minorEastAsia"/>
          <w:color w:val="auto"/>
          <w:spacing w:val="-20"/>
          <w:sz w:val="36"/>
          <w:szCs w:val="36"/>
          <w:u w:val="single"/>
        </w:rPr>
      </w:pPr>
      <w:bookmarkStart w:id="1" w:name="_Hlk57884087"/>
      <w:r>
        <w:rPr>
          <w:rFonts w:eastAsiaTheme="minorEastAsia"/>
          <w:color w:val="auto"/>
          <w:spacing w:val="-20"/>
          <w:sz w:val="36"/>
          <w:szCs w:val="36"/>
        </w:rPr>
        <w:t>项目名称：</w:t>
      </w:r>
      <w:r>
        <w:rPr>
          <w:rFonts w:hint="eastAsia" w:eastAsiaTheme="minorEastAsia"/>
          <w:color w:val="auto"/>
          <w:sz w:val="36"/>
          <w:szCs w:val="36"/>
          <w:u w:val="single"/>
          <w:lang w:eastAsia="zh-CN"/>
        </w:rPr>
        <w:t>G1111鹤哈高速公路苔青至伊春段A2合同段沥青砼拌合站建设项目</w:t>
      </w:r>
      <w:r>
        <w:rPr>
          <w:color w:val="auto"/>
          <w:sz w:val="36"/>
          <w:szCs w:val="36"/>
          <w:u w:val="single"/>
        </w:rPr>
        <w:t xml:space="preserve">                </w:t>
      </w:r>
      <w:r>
        <w:rPr>
          <w:rFonts w:hint="eastAsia"/>
          <w:color w:val="auto"/>
          <w:sz w:val="36"/>
          <w:szCs w:val="36"/>
          <w:u w:val="single"/>
        </w:rPr>
        <w:t xml:space="preserve"> </w:t>
      </w:r>
    </w:p>
    <w:p w14:paraId="2A9A28CC">
      <w:pPr>
        <w:adjustRightInd w:val="0"/>
        <w:snapToGrid w:val="0"/>
        <w:spacing w:line="288" w:lineRule="auto"/>
        <w:ind w:firstLine="320" w:firstLineChars="100"/>
        <w:rPr>
          <w:rFonts w:eastAsiaTheme="minorEastAsia"/>
          <w:color w:val="auto"/>
          <w:spacing w:val="-20"/>
          <w:sz w:val="36"/>
          <w:szCs w:val="36"/>
          <w:u w:val="single"/>
        </w:rPr>
      </w:pPr>
      <w:r>
        <w:rPr>
          <w:rFonts w:eastAsiaTheme="minorEastAsia"/>
          <w:color w:val="auto"/>
          <w:spacing w:val="-20"/>
          <w:sz w:val="36"/>
          <w:szCs w:val="36"/>
        </w:rPr>
        <w:t>建设单位（盖章）：</w:t>
      </w:r>
      <w:r>
        <w:rPr>
          <w:rFonts w:hint="eastAsia" w:eastAsiaTheme="minorEastAsia"/>
          <w:color w:val="auto"/>
          <w:sz w:val="36"/>
          <w:szCs w:val="36"/>
          <w:u w:val="single"/>
          <w:lang w:eastAsia="zh-CN"/>
        </w:rPr>
        <w:t>黑龙江农垦建工路桥有限公司G1111鹤哈高速公路苔青至伊春段A2合同段项目经理部</w:t>
      </w:r>
    </w:p>
    <w:p w14:paraId="7BBB420C">
      <w:pPr>
        <w:adjustRightInd w:val="0"/>
        <w:snapToGrid w:val="0"/>
        <w:spacing w:line="288" w:lineRule="auto"/>
        <w:ind w:firstLine="360" w:firstLineChars="100"/>
        <w:rPr>
          <w:rFonts w:eastAsiaTheme="minorEastAsia"/>
          <w:color w:val="auto"/>
          <w:sz w:val="36"/>
          <w:szCs w:val="36"/>
          <w:u w:val="single"/>
        </w:rPr>
      </w:pPr>
      <w:r>
        <w:rPr>
          <w:rFonts w:eastAsiaTheme="minorEastAsia"/>
          <w:color w:val="auto"/>
          <w:sz w:val="36"/>
          <w:szCs w:val="36"/>
        </w:rPr>
        <w:t>编制日期：</w:t>
      </w:r>
      <w:r>
        <w:rPr>
          <w:rFonts w:eastAsiaTheme="minorEastAsia"/>
          <w:color w:val="auto"/>
          <w:sz w:val="36"/>
          <w:szCs w:val="36"/>
          <w:u w:val="single"/>
        </w:rPr>
        <w:t xml:space="preserve">     </w:t>
      </w:r>
      <w:r>
        <w:rPr>
          <w:rFonts w:hint="eastAsia" w:eastAsiaTheme="minorEastAsia"/>
          <w:color w:val="auto"/>
          <w:sz w:val="36"/>
          <w:szCs w:val="36"/>
          <w:u w:val="single"/>
        </w:rPr>
        <w:t xml:space="preserve">  </w:t>
      </w:r>
      <w:r>
        <w:rPr>
          <w:rFonts w:eastAsiaTheme="minorEastAsia"/>
          <w:color w:val="auto"/>
          <w:sz w:val="36"/>
          <w:szCs w:val="36"/>
          <w:u w:val="single"/>
        </w:rPr>
        <w:t xml:space="preserve">      202</w:t>
      </w:r>
      <w:r>
        <w:rPr>
          <w:rFonts w:hint="eastAsia" w:eastAsiaTheme="minorEastAsia"/>
          <w:color w:val="auto"/>
          <w:sz w:val="36"/>
          <w:szCs w:val="36"/>
          <w:u w:val="single"/>
        </w:rPr>
        <w:t>4</w:t>
      </w:r>
      <w:r>
        <w:rPr>
          <w:rFonts w:eastAsiaTheme="minorEastAsia"/>
          <w:color w:val="auto"/>
          <w:sz w:val="36"/>
          <w:szCs w:val="36"/>
          <w:u w:val="single"/>
        </w:rPr>
        <w:t>年</w:t>
      </w:r>
      <w:r>
        <w:rPr>
          <w:rFonts w:hint="eastAsia" w:eastAsiaTheme="minorEastAsia"/>
          <w:color w:val="auto"/>
          <w:sz w:val="36"/>
          <w:szCs w:val="36"/>
          <w:u w:val="single"/>
          <w:lang w:val="en-US" w:eastAsia="zh-CN"/>
        </w:rPr>
        <w:t>10</w:t>
      </w:r>
      <w:r>
        <w:rPr>
          <w:rFonts w:eastAsiaTheme="minorEastAsia"/>
          <w:color w:val="auto"/>
          <w:sz w:val="36"/>
          <w:szCs w:val="36"/>
          <w:u w:val="single"/>
        </w:rPr>
        <w:t xml:space="preserve">月   </w:t>
      </w:r>
      <w:r>
        <w:rPr>
          <w:rFonts w:hint="eastAsia" w:eastAsiaTheme="minorEastAsia"/>
          <w:color w:val="auto"/>
          <w:sz w:val="36"/>
          <w:szCs w:val="36"/>
          <w:u w:val="single"/>
        </w:rPr>
        <w:t xml:space="preserve">  </w:t>
      </w:r>
      <w:r>
        <w:rPr>
          <w:rFonts w:eastAsiaTheme="minorEastAsia"/>
          <w:color w:val="auto"/>
          <w:sz w:val="36"/>
          <w:szCs w:val="36"/>
          <w:u w:val="single"/>
        </w:rPr>
        <w:t xml:space="preserve">  </w:t>
      </w:r>
      <w:r>
        <w:rPr>
          <w:rFonts w:hint="eastAsia" w:eastAsiaTheme="minorEastAsia"/>
          <w:color w:val="auto"/>
          <w:sz w:val="36"/>
          <w:szCs w:val="36"/>
          <w:u w:val="single"/>
        </w:rPr>
        <w:t xml:space="preserve">  </w:t>
      </w:r>
      <w:r>
        <w:rPr>
          <w:rFonts w:eastAsiaTheme="minorEastAsia"/>
          <w:color w:val="auto"/>
          <w:sz w:val="36"/>
          <w:szCs w:val="36"/>
          <w:u w:val="single"/>
        </w:rPr>
        <w:t xml:space="preserve">     </w:t>
      </w:r>
    </w:p>
    <w:p w14:paraId="22FA59A4">
      <w:pPr>
        <w:adjustRightInd w:val="0"/>
        <w:snapToGrid w:val="0"/>
        <w:spacing w:line="288" w:lineRule="auto"/>
        <w:ind w:firstLine="1040"/>
        <w:rPr>
          <w:rFonts w:eastAsia="FangSong_GB2312"/>
          <w:color w:val="auto"/>
          <w:sz w:val="36"/>
          <w:szCs w:val="36"/>
        </w:rPr>
      </w:pPr>
    </w:p>
    <w:p w14:paraId="7E433C27">
      <w:pPr>
        <w:adjustRightInd w:val="0"/>
        <w:snapToGrid w:val="0"/>
        <w:spacing w:line="288" w:lineRule="auto"/>
        <w:ind w:firstLine="1040"/>
        <w:rPr>
          <w:rFonts w:eastAsia="FangSong_GB2312"/>
          <w:color w:val="auto"/>
          <w:sz w:val="36"/>
          <w:szCs w:val="36"/>
        </w:rPr>
      </w:pPr>
    </w:p>
    <w:p w14:paraId="5CEF97E3">
      <w:pPr>
        <w:adjustRightInd w:val="0"/>
        <w:snapToGrid w:val="0"/>
        <w:spacing w:line="288" w:lineRule="auto"/>
        <w:rPr>
          <w:rFonts w:eastAsia="FangSong_GB2312"/>
          <w:color w:val="auto"/>
          <w:sz w:val="36"/>
          <w:szCs w:val="36"/>
        </w:rPr>
      </w:pPr>
    </w:p>
    <w:bookmarkEnd w:id="1"/>
    <w:p w14:paraId="06399069">
      <w:pPr>
        <w:adjustRightInd w:val="0"/>
        <w:snapToGrid w:val="0"/>
        <w:spacing w:line="288" w:lineRule="auto"/>
        <w:jc w:val="center"/>
        <w:rPr>
          <w:color w:val="auto"/>
          <w:sz w:val="36"/>
          <w:szCs w:val="36"/>
        </w:rPr>
      </w:pPr>
      <w:r>
        <w:rPr>
          <w:color w:val="auto"/>
          <w:sz w:val="36"/>
          <w:szCs w:val="36"/>
        </w:rPr>
        <w:t>中华人民共和国生态环境部制</w:t>
      </w:r>
    </w:p>
    <w:p w14:paraId="0DC36E9F">
      <w:pPr>
        <w:adjustRightInd w:val="0"/>
        <w:snapToGrid w:val="0"/>
        <w:spacing w:line="288" w:lineRule="auto"/>
        <w:jc w:val="center"/>
        <w:rPr>
          <w:color w:val="auto"/>
          <w:sz w:val="36"/>
          <w:szCs w:val="36"/>
        </w:rPr>
      </w:pPr>
    </w:p>
    <w:p w14:paraId="18CD0125">
      <w:pPr>
        <w:adjustRightInd w:val="0"/>
        <w:snapToGrid w:val="0"/>
        <w:spacing w:line="288" w:lineRule="auto"/>
        <w:rPr>
          <w:rFonts w:eastAsiaTheme="minorEastAsia"/>
          <w:color w:val="auto"/>
          <w:sz w:val="36"/>
          <w:szCs w:val="36"/>
        </w:rPr>
      </w:pPr>
    </w:p>
    <w:p w14:paraId="550DAFAF">
      <w:pPr>
        <w:adjustRightInd w:val="0"/>
        <w:snapToGrid w:val="0"/>
        <w:spacing w:line="288" w:lineRule="auto"/>
        <w:rPr>
          <w:rFonts w:eastAsiaTheme="minorEastAsia"/>
          <w:color w:val="auto"/>
          <w:sz w:val="36"/>
          <w:szCs w:val="36"/>
        </w:rPr>
      </w:pPr>
    </w:p>
    <w:p w14:paraId="0908E288">
      <w:pPr>
        <w:adjustRightInd w:val="0"/>
        <w:snapToGrid w:val="0"/>
        <w:spacing w:line="288" w:lineRule="auto"/>
        <w:rPr>
          <w:rFonts w:eastAsiaTheme="minorEastAsia"/>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3983684">
      <w:pPr>
        <w:pStyle w:val="22"/>
        <w:spacing w:before="0" w:beforeAutospacing="0" w:after="0" w:afterAutospacing="0" w:line="360" w:lineRule="auto"/>
        <w:contextualSpacing/>
        <w:jc w:val="center"/>
        <w:outlineLvl w:val="0"/>
        <w:rPr>
          <w:rFonts w:ascii="Times New Roman" w:hAnsi="Times New Roman"/>
          <w:snapToGrid w:val="0"/>
          <w:color w:val="auto"/>
          <w:szCs w:val="24"/>
        </w:rPr>
      </w:pPr>
      <w:bookmarkStart w:id="2" w:name="_Toc68775751"/>
      <w:r>
        <w:rPr>
          <w:rFonts w:ascii="Times New Roman" w:hAnsi="Times New Roman" w:eastAsia="黑体"/>
          <w:snapToGrid w:val="0"/>
          <w:color w:val="auto"/>
          <w:sz w:val="30"/>
          <w:szCs w:val="30"/>
        </w:rPr>
        <w:t>目   录</w:t>
      </w:r>
      <w:bookmarkEnd w:id="2"/>
      <w:r>
        <w:rPr>
          <w:rFonts w:ascii="Times New Roman" w:hAnsi="Times New Roman"/>
          <w:snapToGrid w:val="0"/>
          <w:color w:val="auto"/>
          <w:kern w:val="2"/>
          <w:szCs w:val="24"/>
        </w:rPr>
        <w:fldChar w:fldCharType="begin"/>
      </w:r>
      <w:r>
        <w:rPr>
          <w:rFonts w:ascii="Times New Roman" w:hAnsi="Times New Roman"/>
          <w:snapToGrid w:val="0"/>
          <w:color w:val="auto"/>
          <w:kern w:val="2"/>
          <w:szCs w:val="24"/>
        </w:rPr>
        <w:instrText xml:space="preserve"> TOC \o "1-3" \h \z \u </w:instrText>
      </w:r>
      <w:r>
        <w:rPr>
          <w:rFonts w:ascii="Times New Roman" w:hAnsi="Times New Roman"/>
          <w:snapToGrid w:val="0"/>
          <w:color w:val="auto"/>
          <w:kern w:val="2"/>
          <w:szCs w:val="24"/>
        </w:rPr>
        <w:fldChar w:fldCharType="separate"/>
      </w:r>
    </w:p>
    <w:p w14:paraId="03D6FF35">
      <w:pPr>
        <w:pStyle w:val="18"/>
        <w:tabs>
          <w:tab w:val="right" w:leader="dot" w:pos="8834"/>
        </w:tabs>
        <w:spacing w:line="360" w:lineRule="auto"/>
        <w:contextualSpacing/>
        <w:rPr>
          <w:color w:val="auto"/>
          <w:sz w:val="24"/>
        </w:rPr>
      </w:pPr>
      <w:r>
        <w:rPr>
          <w:color w:val="auto"/>
        </w:rPr>
        <w:fldChar w:fldCharType="begin"/>
      </w:r>
      <w:r>
        <w:rPr>
          <w:color w:val="auto"/>
        </w:rPr>
        <w:instrText xml:space="preserve"> HYPERLINK \l "_Toc68775752" </w:instrText>
      </w:r>
      <w:r>
        <w:rPr>
          <w:color w:val="auto"/>
        </w:rPr>
        <w:fldChar w:fldCharType="separate"/>
      </w:r>
      <w:r>
        <w:rPr>
          <w:rStyle w:val="32"/>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_Toc68775752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14:paraId="69DF79FF">
      <w:pPr>
        <w:pStyle w:val="18"/>
        <w:tabs>
          <w:tab w:val="right" w:leader="dot" w:pos="8834"/>
        </w:tabs>
        <w:spacing w:line="360" w:lineRule="auto"/>
        <w:contextualSpacing/>
        <w:rPr>
          <w:color w:val="auto"/>
          <w:sz w:val="24"/>
        </w:rPr>
      </w:pPr>
      <w:r>
        <w:rPr>
          <w:color w:val="auto"/>
        </w:rPr>
        <w:fldChar w:fldCharType="begin"/>
      </w:r>
      <w:r>
        <w:rPr>
          <w:color w:val="auto"/>
        </w:rPr>
        <w:instrText xml:space="preserve"> HYPERLINK \l "_Toc68775753" </w:instrText>
      </w:r>
      <w:r>
        <w:rPr>
          <w:color w:val="auto"/>
        </w:rPr>
        <w:fldChar w:fldCharType="separate"/>
      </w:r>
      <w:r>
        <w:rPr>
          <w:rStyle w:val="32"/>
          <w:snapToGrid w:val="0"/>
          <w:color w:val="auto"/>
          <w:sz w:val="24"/>
        </w:rPr>
        <w:t>二、建设项目工程分析</w:t>
      </w:r>
      <w:r>
        <w:rPr>
          <w:color w:val="auto"/>
          <w:sz w:val="24"/>
        </w:rPr>
        <w:tab/>
      </w:r>
      <w:r>
        <w:rPr>
          <w:color w:val="auto"/>
          <w:sz w:val="24"/>
        </w:rPr>
        <w:fldChar w:fldCharType="begin"/>
      </w:r>
      <w:r>
        <w:rPr>
          <w:color w:val="auto"/>
          <w:sz w:val="24"/>
        </w:rPr>
        <w:instrText xml:space="preserve"> PAGEREF _Toc68775753 \h </w:instrText>
      </w:r>
      <w:r>
        <w:rPr>
          <w:color w:val="auto"/>
          <w:sz w:val="24"/>
        </w:rPr>
        <w:fldChar w:fldCharType="separate"/>
      </w:r>
      <w:r>
        <w:rPr>
          <w:color w:val="auto"/>
          <w:sz w:val="24"/>
        </w:rPr>
        <w:t>12</w:t>
      </w:r>
      <w:r>
        <w:rPr>
          <w:color w:val="auto"/>
          <w:sz w:val="24"/>
        </w:rPr>
        <w:fldChar w:fldCharType="end"/>
      </w:r>
      <w:r>
        <w:rPr>
          <w:color w:val="auto"/>
          <w:sz w:val="24"/>
        </w:rPr>
        <w:fldChar w:fldCharType="end"/>
      </w:r>
    </w:p>
    <w:p w14:paraId="3833DB8A">
      <w:pPr>
        <w:pStyle w:val="18"/>
        <w:tabs>
          <w:tab w:val="right" w:leader="dot" w:pos="8834"/>
        </w:tabs>
        <w:spacing w:line="360" w:lineRule="auto"/>
        <w:contextualSpacing/>
        <w:rPr>
          <w:color w:val="auto"/>
          <w:sz w:val="24"/>
        </w:rPr>
      </w:pPr>
      <w:r>
        <w:rPr>
          <w:color w:val="auto"/>
        </w:rPr>
        <w:fldChar w:fldCharType="begin"/>
      </w:r>
      <w:r>
        <w:rPr>
          <w:color w:val="auto"/>
        </w:rPr>
        <w:instrText xml:space="preserve"> HYPERLINK \l "_Toc68775754" </w:instrText>
      </w:r>
      <w:r>
        <w:rPr>
          <w:color w:val="auto"/>
        </w:rPr>
        <w:fldChar w:fldCharType="separate"/>
      </w:r>
      <w:r>
        <w:rPr>
          <w:rStyle w:val="32"/>
          <w:snapToGrid w:val="0"/>
          <w:color w:val="auto"/>
          <w:sz w:val="24"/>
        </w:rPr>
        <w:t>三、区域环境质量现状、环境保护目标及评价标准</w:t>
      </w:r>
      <w:r>
        <w:rPr>
          <w:color w:val="auto"/>
          <w:sz w:val="24"/>
        </w:rPr>
        <w:tab/>
      </w:r>
      <w:r>
        <w:rPr>
          <w:color w:val="auto"/>
          <w:sz w:val="24"/>
        </w:rPr>
        <w:fldChar w:fldCharType="begin"/>
      </w:r>
      <w:r>
        <w:rPr>
          <w:color w:val="auto"/>
          <w:sz w:val="24"/>
        </w:rPr>
        <w:instrText xml:space="preserve"> PAGEREF _Toc68775754 \h </w:instrText>
      </w:r>
      <w:r>
        <w:rPr>
          <w:color w:val="auto"/>
          <w:sz w:val="24"/>
        </w:rPr>
        <w:fldChar w:fldCharType="separate"/>
      </w:r>
      <w:r>
        <w:rPr>
          <w:color w:val="auto"/>
          <w:sz w:val="24"/>
        </w:rPr>
        <w:t>22</w:t>
      </w:r>
      <w:r>
        <w:rPr>
          <w:color w:val="auto"/>
          <w:sz w:val="24"/>
        </w:rPr>
        <w:fldChar w:fldCharType="end"/>
      </w:r>
      <w:r>
        <w:rPr>
          <w:color w:val="auto"/>
          <w:sz w:val="24"/>
        </w:rPr>
        <w:fldChar w:fldCharType="end"/>
      </w:r>
    </w:p>
    <w:p w14:paraId="5A989A96">
      <w:pPr>
        <w:pStyle w:val="18"/>
        <w:tabs>
          <w:tab w:val="right" w:leader="dot" w:pos="8834"/>
        </w:tabs>
        <w:spacing w:line="360" w:lineRule="auto"/>
        <w:contextualSpacing/>
        <w:rPr>
          <w:color w:val="auto"/>
          <w:sz w:val="24"/>
        </w:rPr>
      </w:pPr>
      <w:r>
        <w:rPr>
          <w:color w:val="auto"/>
        </w:rPr>
        <w:fldChar w:fldCharType="begin"/>
      </w:r>
      <w:r>
        <w:rPr>
          <w:color w:val="auto"/>
        </w:rPr>
        <w:instrText xml:space="preserve"> HYPERLINK \l "_Toc68775755" </w:instrText>
      </w:r>
      <w:r>
        <w:rPr>
          <w:color w:val="auto"/>
        </w:rPr>
        <w:fldChar w:fldCharType="separate"/>
      </w:r>
      <w:r>
        <w:rPr>
          <w:rStyle w:val="32"/>
          <w:snapToGrid w:val="0"/>
          <w:color w:val="auto"/>
          <w:sz w:val="24"/>
        </w:rPr>
        <w:t>四、主要环境影响和保护措施</w:t>
      </w:r>
      <w:r>
        <w:rPr>
          <w:color w:val="auto"/>
          <w:sz w:val="24"/>
        </w:rPr>
        <w:tab/>
      </w:r>
      <w:r>
        <w:rPr>
          <w:rFonts w:hint="eastAsia"/>
          <w:color w:val="auto"/>
          <w:sz w:val="24"/>
        </w:rPr>
        <w:t>32</w:t>
      </w:r>
      <w:r>
        <w:rPr>
          <w:rFonts w:hint="eastAsia"/>
          <w:color w:val="auto"/>
          <w:sz w:val="24"/>
        </w:rPr>
        <w:fldChar w:fldCharType="end"/>
      </w:r>
    </w:p>
    <w:p w14:paraId="46F0CD9F">
      <w:pPr>
        <w:pStyle w:val="18"/>
        <w:tabs>
          <w:tab w:val="right" w:leader="dot" w:pos="8834"/>
        </w:tabs>
        <w:spacing w:line="360" w:lineRule="auto"/>
        <w:contextualSpacing/>
        <w:rPr>
          <w:color w:val="auto"/>
          <w:sz w:val="24"/>
        </w:rPr>
      </w:pPr>
      <w:r>
        <w:rPr>
          <w:color w:val="auto"/>
        </w:rPr>
        <w:fldChar w:fldCharType="begin"/>
      </w:r>
      <w:r>
        <w:rPr>
          <w:color w:val="auto"/>
        </w:rPr>
        <w:instrText xml:space="preserve"> HYPERLINK \l "_Toc68775756" </w:instrText>
      </w:r>
      <w:r>
        <w:rPr>
          <w:color w:val="auto"/>
        </w:rPr>
        <w:fldChar w:fldCharType="separate"/>
      </w:r>
      <w:r>
        <w:rPr>
          <w:rStyle w:val="32"/>
          <w:snapToGrid w:val="0"/>
          <w:color w:val="auto"/>
          <w:sz w:val="24"/>
        </w:rPr>
        <w:t>五、环境保护措施监督检查清单</w:t>
      </w:r>
      <w:r>
        <w:rPr>
          <w:color w:val="auto"/>
          <w:sz w:val="24"/>
        </w:rPr>
        <w:tab/>
      </w:r>
      <w:r>
        <w:rPr>
          <w:color w:val="auto"/>
          <w:sz w:val="24"/>
        </w:rPr>
        <w:fldChar w:fldCharType="begin"/>
      </w:r>
      <w:r>
        <w:rPr>
          <w:color w:val="auto"/>
          <w:sz w:val="24"/>
        </w:rPr>
        <w:instrText xml:space="preserve"> PAGEREF _Toc68775756 \h </w:instrText>
      </w:r>
      <w:r>
        <w:rPr>
          <w:color w:val="auto"/>
          <w:sz w:val="24"/>
        </w:rPr>
        <w:fldChar w:fldCharType="separate"/>
      </w:r>
      <w:r>
        <w:rPr>
          <w:color w:val="auto"/>
          <w:sz w:val="24"/>
        </w:rPr>
        <w:t>52</w:t>
      </w:r>
      <w:r>
        <w:rPr>
          <w:color w:val="auto"/>
          <w:sz w:val="24"/>
        </w:rPr>
        <w:fldChar w:fldCharType="end"/>
      </w:r>
      <w:r>
        <w:rPr>
          <w:color w:val="auto"/>
          <w:sz w:val="24"/>
        </w:rPr>
        <w:fldChar w:fldCharType="end"/>
      </w:r>
    </w:p>
    <w:p w14:paraId="2AD67896">
      <w:pPr>
        <w:pStyle w:val="18"/>
        <w:tabs>
          <w:tab w:val="right" w:leader="dot" w:pos="8834"/>
        </w:tabs>
        <w:spacing w:line="360" w:lineRule="auto"/>
        <w:contextualSpacing/>
        <w:rPr>
          <w:color w:val="auto"/>
          <w:sz w:val="24"/>
        </w:rPr>
      </w:pPr>
      <w:r>
        <w:rPr>
          <w:color w:val="auto"/>
        </w:rPr>
        <w:fldChar w:fldCharType="begin"/>
      </w:r>
      <w:r>
        <w:rPr>
          <w:color w:val="auto"/>
        </w:rPr>
        <w:instrText xml:space="preserve"> HYPERLINK \l "_Toc68775757" </w:instrText>
      </w:r>
      <w:r>
        <w:rPr>
          <w:color w:val="auto"/>
        </w:rPr>
        <w:fldChar w:fldCharType="separate"/>
      </w:r>
      <w:r>
        <w:rPr>
          <w:rStyle w:val="32"/>
          <w:snapToGrid w:val="0"/>
          <w:color w:val="auto"/>
          <w:sz w:val="24"/>
        </w:rPr>
        <w:t>六、结论</w:t>
      </w:r>
      <w:r>
        <w:rPr>
          <w:color w:val="auto"/>
          <w:sz w:val="24"/>
        </w:rPr>
        <w:tab/>
      </w:r>
      <w:r>
        <w:rPr>
          <w:rFonts w:hint="eastAsia"/>
          <w:color w:val="auto"/>
          <w:sz w:val="24"/>
        </w:rPr>
        <w:t>50</w:t>
      </w:r>
      <w:r>
        <w:rPr>
          <w:rFonts w:hint="eastAsia"/>
          <w:color w:val="auto"/>
          <w:sz w:val="24"/>
        </w:rPr>
        <w:fldChar w:fldCharType="end"/>
      </w:r>
    </w:p>
    <w:p w14:paraId="7A34391A">
      <w:pPr>
        <w:pStyle w:val="18"/>
        <w:tabs>
          <w:tab w:val="right" w:leader="dot" w:pos="8834"/>
        </w:tabs>
        <w:spacing w:line="360" w:lineRule="auto"/>
        <w:contextualSpacing/>
        <w:rPr>
          <w:color w:val="auto"/>
        </w:rPr>
      </w:pPr>
      <w:r>
        <w:rPr>
          <w:color w:val="auto"/>
        </w:rPr>
        <w:fldChar w:fldCharType="begin"/>
      </w:r>
      <w:r>
        <w:rPr>
          <w:color w:val="auto"/>
        </w:rPr>
        <w:instrText xml:space="preserve"> HYPERLINK \l "_Toc68775758" </w:instrText>
      </w:r>
      <w:r>
        <w:rPr>
          <w:color w:val="auto"/>
        </w:rPr>
        <w:fldChar w:fldCharType="separate"/>
      </w:r>
      <w:r>
        <w:rPr>
          <w:rStyle w:val="32"/>
          <w:snapToGrid w:val="0"/>
          <w:color w:val="auto"/>
          <w:sz w:val="24"/>
        </w:rPr>
        <w:t>附表</w:t>
      </w:r>
      <w:r>
        <w:rPr>
          <w:color w:val="auto"/>
          <w:sz w:val="24"/>
        </w:rPr>
        <w:tab/>
      </w:r>
      <w:r>
        <w:rPr>
          <w:rFonts w:hint="eastAsia"/>
          <w:color w:val="auto"/>
          <w:sz w:val="24"/>
        </w:rPr>
        <w:t>51</w:t>
      </w:r>
      <w:r>
        <w:rPr>
          <w:rFonts w:hint="eastAsia"/>
          <w:color w:val="auto"/>
          <w:sz w:val="24"/>
        </w:rPr>
        <w:fldChar w:fldCharType="end"/>
      </w:r>
    </w:p>
    <w:p w14:paraId="6570D40D">
      <w:pPr>
        <w:pStyle w:val="18"/>
        <w:tabs>
          <w:tab w:val="right" w:leader="dot" w:pos="8834"/>
        </w:tabs>
        <w:spacing w:line="360" w:lineRule="auto"/>
        <w:contextualSpacing/>
        <w:rPr>
          <w:color w:val="auto"/>
        </w:rPr>
      </w:pPr>
      <w:r>
        <w:rPr>
          <w:color w:val="auto"/>
        </w:rPr>
        <w:fldChar w:fldCharType="begin"/>
      </w:r>
      <w:r>
        <w:rPr>
          <w:color w:val="auto"/>
        </w:rPr>
        <w:instrText xml:space="preserve"> HYPERLINK \l "_Toc68775758" </w:instrText>
      </w:r>
      <w:r>
        <w:rPr>
          <w:color w:val="auto"/>
        </w:rPr>
        <w:fldChar w:fldCharType="separate"/>
      </w:r>
      <w:r>
        <w:rPr>
          <w:rStyle w:val="32"/>
          <w:rFonts w:hint="eastAsia"/>
          <w:snapToGrid w:val="0"/>
          <w:color w:val="auto"/>
          <w:sz w:val="24"/>
        </w:rPr>
        <w:t>大气</w:t>
      </w:r>
      <w:r>
        <w:rPr>
          <w:rStyle w:val="32"/>
          <w:snapToGrid w:val="0"/>
          <w:color w:val="auto"/>
          <w:sz w:val="24"/>
        </w:rPr>
        <w:t>环境影响专项评价报告</w:t>
      </w:r>
      <w:r>
        <w:rPr>
          <w:color w:val="auto"/>
          <w:sz w:val="24"/>
        </w:rPr>
        <w:tab/>
      </w:r>
      <w:r>
        <w:rPr>
          <w:rFonts w:hint="eastAsia"/>
          <w:color w:val="auto"/>
          <w:sz w:val="24"/>
        </w:rPr>
        <w:t>52</w:t>
      </w:r>
      <w:r>
        <w:rPr>
          <w:rFonts w:hint="eastAsia"/>
          <w:color w:val="auto"/>
          <w:sz w:val="24"/>
        </w:rPr>
        <w:fldChar w:fldCharType="end"/>
      </w:r>
    </w:p>
    <w:p w14:paraId="7CFFEF9D">
      <w:pPr>
        <w:spacing w:line="360" w:lineRule="auto"/>
        <w:contextualSpacing/>
        <w:rPr>
          <w:color w:val="auto"/>
          <w:sz w:val="24"/>
        </w:rPr>
      </w:pPr>
      <w:r>
        <w:rPr>
          <w:snapToGrid w:val="0"/>
          <w:color w:val="auto"/>
          <w:sz w:val="24"/>
        </w:rPr>
        <w:fldChar w:fldCharType="end"/>
      </w:r>
      <w:r>
        <w:rPr>
          <w:color w:val="auto"/>
          <w:sz w:val="24"/>
        </w:rPr>
        <w:t>附件1 营业执照</w:t>
      </w:r>
    </w:p>
    <w:p w14:paraId="54F15335">
      <w:pPr>
        <w:spacing w:line="360" w:lineRule="auto"/>
        <w:contextualSpacing/>
        <w:rPr>
          <w:rFonts w:hint="default" w:eastAsia="宋体"/>
          <w:color w:val="auto"/>
          <w:sz w:val="24"/>
          <w:lang w:val="en-US" w:eastAsia="zh-CN"/>
        </w:rPr>
      </w:pPr>
      <w:r>
        <w:rPr>
          <w:color w:val="auto"/>
          <w:sz w:val="24"/>
        </w:rPr>
        <w:t xml:space="preserve">附件2 </w:t>
      </w:r>
      <w:r>
        <w:rPr>
          <w:rFonts w:hint="eastAsia"/>
          <w:color w:val="auto"/>
          <w:sz w:val="24"/>
          <w:lang w:val="en-US" w:eastAsia="zh-CN"/>
        </w:rPr>
        <w:t>临时用地手续</w:t>
      </w:r>
    </w:p>
    <w:p w14:paraId="3A0FD9B6">
      <w:pPr>
        <w:spacing w:line="360" w:lineRule="auto"/>
        <w:contextualSpacing/>
        <w:rPr>
          <w:color w:val="auto"/>
          <w:sz w:val="24"/>
        </w:rPr>
      </w:pPr>
      <w:r>
        <w:rPr>
          <w:color w:val="auto"/>
          <w:sz w:val="24"/>
        </w:rPr>
        <w:t>附件</w:t>
      </w:r>
      <w:r>
        <w:rPr>
          <w:rFonts w:hint="eastAsia"/>
          <w:color w:val="auto"/>
          <w:sz w:val="24"/>
          <w:lang w:val="en-US" w:eastAsia="zh-CN"/>
        </w:rPr>
        <w:t>3</w:t>
      </w:r>
      <w:r>
        <w:rPr>
          <w:color w:val="auto"/>
          <w:sz w:val="24"/>
        </w:rPr>
        <w:t xml:space="preserve"> </w:t>
      </w:r>
      <w:r>
        <w:rPr>
          <w:rFonts w:hint="eastAsia"/>
          <w:color w:val="auto"/>
          <w:sz w:val="24"/>
        </w:rPr>
        <w:t>燃料分析报告</w:t>
      </w:r>
    </w:p>
    <w:p w14:paraId="630F402F">
      <w:pPr>
        <w:spacing w:line="360" w:lineRule="auto"/>
        <w:contextualSpacing/>
        <w:rPr>
          <w:color w:val="auto"/>
          <w:sz w:val="24"/>
        </w:rPr>
      </w:pPr>
      <w:r>
        <w:rPr>
          <w:color w:val="auto"/>
          <w:sz w:val="24"/>
        </w:rPr>
        <w:t>附件</w:t>
      </w:r>
      <w:r>
        <w:rPr>
          <w:rFonts w:hint="eastAsia"/>
          <w:color w:val="auto"/>
          <w:sz w:val="24"/>
          <w:lang w:val="en-US" w:eastAsia="zh-CN"/>
        </w:rPr>
        <w:t>4</w:t>
      </w:r>
      <w:r>
        <w:rPr>
          <w:color w:val="auto"/>
          <w:sz w:val="24"/>
        </w:rPr>
        <w:t xml:space="preserve"> </w:t>
      </w:r>
      <w:r>
        <w:rPr>
          <w:rFonts w:hint="eastAsia"/>
          <w:color w:val="auto"/>
          <w:sz w:val="24"/>
        </w:rPr>
        <w:t>现状检测报告</w:t>
      </w:r>
    </w:p>
    <w:p w14:paraId="5A821801">
      <w:pPr>
        <w:pStyle w:val="48"/>
        <w:adjustRightInd/>
        <w:snapToGrid/>
        <w:spacing w:beforeLines="0" w:afterLines="0" w:line="360" w:lineRule="auto"/>
        <w:contextualSpacing/>
        <w:jc w:val="left"/>
        <w:rPr>
          <w:rFonts w:ascii="Times New Roman"/>
          <w:color w:val="auto"/>
          <w:sz w:val="24"/>
        </w:rPr>
      </w:pPr>
      <w:r>
        <w:rPr>
          <w:rFonts w:ascii="Times New Roman"/>
          <w:color w:val="auto"/>
          <w:sz w:val="24"/>
        </w:rPr>
        <w:t>附图1 项目地理位置图</w:t>
      </w:r>
    </w:p>
    <w:p w14:paraId="282AFEEC">
      <w:pPr>
        <w:spacing w:line="360" w:lineRule="auto"/>
        <w:contextualSpacing/>
        <w:rPr>
          <w:color w:val="auto"/>
          <w:sz w:val="24"/>
        </w:rPr>
      </w:pPr>
      <w:r>
        <w:rPr>
          <w:color w:val="auto"/>
          <w:sz w:val="24"/>
        </w:rPr>
        <w:t>附图2 项目平面布置图</w:t>
      </w:r>
    </w:p>
    <w:p w14:paraId="754EE4E0">
      <w:pPr>
        <w:spacing w:line="360" w:lineRule="auto"/>
        <w:contextualSpacing/>
        <w:rPr>
          <w:color w:val="auto"/>
          <w:sz w:val="24"/>
        </w:rPr>
      </w:pPr>
      <w:r>
        <w:rPr>
          <w:color w:val="auto"/>
          <w:sz w:val="24"/>
        </w:rPr>
        <w:t>附图</w:t>
      </w:r>
      <w:r>
        <w:rPr>
          <w:rFonts w:hint="eastAsia"/>
          <w:color w:val="auto"/>
          <w:sz w:val="24"/>
        </w:rPr>
        <w:t xml:space="preserve">3 </w:t>
      </w:r>
      <w:r>
        <w:rPr>
          <w:color w:val="auto"/>
          <w:sz w:val="24"/>
        </w:rPr>
        <w:t>本项目四周情况</w:t>
      </w:r>
      <w:r>
        <w:rPr>
          <w:rFonts w:hint="eastAsia"/>
          <w:color w:val="auto"/>
          <w:sz w:val="24"/>
        </w:rPr>
        <w:t>图</w:t>
      </w:r>
    </w:p>
    <w:p w14:paraId="508FF2EC">
      <w:pPr>
        <w:spacing w:line="360" w:lineRule="auto"/>
        <w:contextualSpacing/>
        <w:rPr>
          <w:color w:val="auto"/>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EE7D91B">
      <w:pPr>
        <w:pStyle w:val="22"/>
        <w:jc w:val="center"/>
        <w:outlineLvl w:val="0"/>
        <w:rPr>
          <w:rFonts w:ascii="Times New Roman" w:hAnsi="Times New Roman" w:eastAsia="黑体"/>
          <w:snapToGrid w:val="0"/>
          <w:color w:val="auto"/>
          <w:sz w:val="30"/>
          <w:szCs w:val="30"/>
        </w:rPr>
      </w:pPr>
      <w:bookmarkStart w:id="3" w:name="_Toc68775752"/>
      <w:r>
        <w:rPr>
          <w:rFonts w:ascii="Times New Roman" w:hAnsi="Times New Roman" w:eastAsia="黑体"/>
          <w:snapToGrid w:val="0"/>
          <w:color w:val="auto"/>
          <w:sz w:val="30"/>
          <w:szCs w:val="30"/>
        </w:rPr>
        <w:t>一、建设项目基本情况</w:t>
      </w:r>
      <w:bookmarkEnd w:id="3"/>
    </w:p>
    <w:tbl>
      <w:tblPr>
        <w:tblStyle w:val="27"/>
        <w:tblW w:w="93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96"/>
        <w:gridCol w:w="1879"/>
        <w:gridCol w:w="562"/>
        <w:gridCol w:w="1650"/>
        <w:gridCol w:w="303"/>
        <w:gridCol w:w="2478"/>
      </w:tblGrid>
      <w:tr w14:paraId="7CE8B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 w:hRule="atLeast"/>
          <w:jc w:val="center"/>
        </w:trPr>
        <w:tc>
          <w:tcPr>
            <w:tcW w:w="2496" w:type="dxa"/>
            <w:tcMar>
              <w:top w:w="16" w:type="dxa"/>
              <w:left w:w="16" w:type="dxa"/>
              <w:right w:w="16" w:type="dxa"/>
            </w:tcMar>
            <w:vAlign w:val="center"/>
          </w:tcPr>
          <w:p w14:paraId="1BE9D568">
            <w:pPr>
              <w:adjustRightInd w:val="0"/>
              <w:snapToGrid w:val="0"/>
              <w:jc w:val="center"/>
              <w:rPr>
                <w:color w:val="auto"/>
                <w:sz w:val="24"/>
              </w:rPr>
            </w:pPr>
            <w:r>
              <w:rPr>
                <w:color w:val="auto"/>
                <w:sz w:val="24"/>
              </w:rPr>
              <w:t>建设项目名称</w:t>
            </w:r>
          </w:p>
        </w:tc>
        <w:tc>
          <w:tcPr>
            <w:tcW w:w="6872" w:type="dxa"/>
            <w:gridSpan w:val="5"/>
            <w:vAlign w:val="center"/>
          </w:tcPr>
          <w:p w14:paraId="3A14D3CE">
            <w:pPr>
              <w:adjustRightInd w:val="0"/>
              <w:snapToGrid w:val="0"/>
              <w:jc w:val="center"/>
              <w:rPr>
                <w:rFonts w:hint="eastAsia" w:eastAsia="宋体"/>
                <w:color w:val="auto"/>
                <w:sz w:val="24"/>
                <w:lang w:eastAsia="zh-CN"/>
              </w:rPr>
            </w:pPr>
            <w:r>
              <w:rPr>
                <w:rFonts w:hint="eastAsia"/>
                <w:color w:val="auto"/>
                <w:sz w:val="24"/>
                <w:lang w:eastAsia="zh-CN"/>
              </w:rPr>
              <w:t>G1111鹤哈高速公路苔青至伊春段A2合同段沥青砼拌合站建设项目</w:t>
            </w:r>
          </w:p>
        </w:tc>
      </w:tr>
      <w:tr w14:paraId="08C69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2496" w:type="dxa"/>
            <w:tcMar>
              <w:top w:w="16" w:type="dxa"/>
              <w:left w:w="16" w:type="dxa"/>
              <w:right w:w="16" w:type="dxa"/>
            </w:tcMar>
            <w:vAlign w:val="center"/>
          </w:tcPr>
          <w:p w14:paraId="65EE873C">
            <w:pPr>
              <w:adjustRightInd w:val="0"/>
              <w:snapToGrid w:val="0"/>
              <w:jc w:val="center"/>
              <w:rPr>
                <w:color w:val="auto"/>
                <w:sz w:val="24"/>
              </w:rPr>
            </w:pPr>
            <w:r>
              <w:rPr>
                <w:color w:val="auto"/>
                <w:sz w:val="24"/>
              </w:rPr>
              <w:t>项目代码</w:t>
            </w:r>
          </w:p>
        </w:tc>
        <w:tc>
          <w:tcPr>
            <w:tcW w:w="6872" w:type="dxa"/>
            <w:gridSpan w:val="5"/>
            <w:vAlign w:val="center"/>
          </w:tcPr>
          <w:p w14:paraId="2C66B61B">
            <w:pPr>
              <w:adjustRightInd w:val="0"/>
              <w:snapToGrid w:val="0"/>
              <w:jc w:val="center"/>
              <w:rPr>
                <w:color w:val="auto"/>
                <w:sz w:val="24"/>
              </w:rPr>
            </w:pPr>
            <w:r>
              <w:rPr>
                <w:color w:val="auto"/>
                <w:sz w:val="24"/>
              </w:rPr>
              <w:t>无</w:t>
            </w:r>
          </w:p>
        </w:tc>
      </w:tr>
      <w:tr w14:paraId="434F5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2496" w:type="dxa"/>
            <w:tcMar>
              <w:top w:w="16" w:type="dxa"/>
              <w:left w:w="16" w:type="dxa"/>
              <w:right w:w="16" w:type="dxa"/>
            </w:tcMar>
            <w:vAlign w:val="center"/>
          </w:tcPr>
          <w:p w14:paraId="191693D0">
            <w:pPr>
              <w:adjustRightInd w:val="0"/>
              <w:snapToGrid w:val="0"/>
              <w:jc w:val="center"/>
              <w:rPr>
                <w:color w:val="auto"/>
                <w:sz w:val="24"/>
              </w:rPr>
            </w:pPr>
            <w:r>
              <w:rPr>
                <w:color w:val="auto"/>
                <w:sz w:val="24"/>
              </w:rPr>
              <w:t>建设单位联系人</w:t>
            </w:r>
          </w:p>
        </w:tc>
        <w:tc>
          <w:tcPr>
            <w:tcW w:w="1879" w:type="dxa"/>
            <w:vAlign w:val="center"/>
          </w:tcPr>
          <w:p w14:paraId="3ECB6C0A">
            <w:pPr>
              <w:adjustRightInd w:val="0"/>
              <w:snapToGrid w:val="0"/>
              <w:jc w:val="center"/>
              <w:rPr>
                <w:color w:val="auto"/>
                <w:sz w:val="24"/>
              </w:rPr>
            </w:pPr>
            <w:r>
              <w:rPr>
                <w:rFonts w:hint="eastAsia"/>
                <w:color w:val="auto"/>
                <w:sz w:val="24"/>
                <w:szCs w:val="24"/>
                <w:lang w:val="en-US" w:eastAsia="zh-CN"/>
              </w:rPr>
              <w:t>王海峰</w:t>
            </w:r>
          </w:p>
        </w:tc>
        <w:tc>
          <w:tcPr>
            <w:tcW w:w="2212" w:type="dxa"/>
            <w:gridSpan w:val="2"/>
            <w:vAlign w:val="center"/>
          </w:tcPr>
          <w:p w14:paraId="189087DD">
            <w:pPr>
              <w:adjustRightInd w:val="0"/>
              <w:snapToGrid w:val="0"/>
              <w:jc w:val="center"/>
              <w:rPr>
                <w:color w:val="auto"/>
                <w:sz w:val="24"/>
              </w:rPr>
            </w:pPr>
            <w:r>
              <w:rPr>
                <w:color w:val="auto"/>
                <w:sz w:val="24"/>
              </w:rPr>
              <w:t>联系方式</w:t>
            </w:r>
          </w:p>
        </w:tc>
        <w:tc>
          <w:tcPr>
            <w:tcW w:w="2781" w:type="dxa"/>
            <w:gridSpan w:val="2"/>
            <w:vAlign w:val="center"/>
          </w:tcPr>
          <w:p w14:paraId="502C17F7">
            <w:pPr>
              <w:adjustRightInd w:val="0"/>
              <w:snapToGrid w:val="0"/>
              <w:jc w:val="center"/>
              <w:rPr>
                <w:color w:val="auto"/>
                <w:sz w:val="24"/>
              </w:rPr>
            </w:pPr>
            <w:r>
              <w:rPr>
                <w:rFonts w:hint="eastAsia"/>
                <w:color w:val="auto"/>
                <w:sz w:val="24"/>
                <w:szCs w:val="24"/>
                <w:lang w:val="en-US" w:eastAsia="zh-CN"/>
              </w:rPr>
              <w:t>18045911753</w:t>
            </w:r>
          </w:p>
        </w:tc>
      </w:tr>
      <w:tr w14:paraId="2BB90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2496" w:type="dxa"/>
            <w:tcMar>
              <w:top w:w="16" w:type="dxa"/>
              <w:left w:w="16" w:type="dxa"/>
              <w:right w:w="16" w:type="dxa"/>
            </w:tcMar>
            <w:vAlign w:val="center"/>
          </w:tcPr>
          <w:p w14:paraId="0CAE0E80">
            <w:pPr>
              <w:adjustRightInd w:val="0"/>
              <w:snapToGrid w:val="0"/>
              <w:jc w:val="center"/>
              <w:rPr>
                <w:color w:val="auto"/>
                <w:sz w:val="24"/>
              </w:rPr>
            </w:pPr>
            <w:r>
              <w:rPr>
                <w:color w:val="auto"/>
                <w:sz w:val="24"/>
              </w:rPr>
              <w:t>建设地点</w:t>
            </w:r>
          </w:p>
        </w:tc>
        <w:tc>
          <w:tcPr>
            <w:tcW w:w="6872" w:type="dxa"/>
            <w:gridSpan w:val="5"/>
            <w:vAlign w:val="center"/>
          </w:tcPr>
          <w:p w14:paraId="4EB50F58">
            <w:pPr>
              <w:adjustRightInd w:val="0"/>
              <w:snapToGrid w:val="0"/>
              <w:jc w:val="center"/>
              <w:rPr>
                <w:color w:val="auto"/>
                <w:sz w:val="24"/>
              </w:rPr>
            </w:pPr>
            <w:r>
              <w:rPr>
                <w:color w:val="auto"/>
                <w:sz w:val="24"/>
              </w:rPr>
              <w:t>黑龙江省</w:t>
            </w:r>
            <w:r>
              <w:rPr>
                <w:rFonts w:hint="eastAsia"/>
                <w:color w:val="auto"/>
                <w:sz w:val="24"/>
                <w:szCs w:val="24"/>
                <w:lang w:val="en-US" w:eastAsia="zh-CN"/>
              </w:rPr>
              <w:t>伊春市伊美区伊东林场</w:t>
            </w:r>
          </w:p>
        </w:tc>
      </w:tr>
      <w:tr w14:paraId="6DEB1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2496" w:type="dxa"/>
            <w:tcMar>
              <w:top w:w="16" w:type="dxa"/>
              <w:left w:w="16" w:type="dxa"/>
              <w:right w:w="16" w:type="dxa"/>
            </w:tcMar>
            <w:vAlign w:val="center"/>
          </w:tcPr>
          <w:p w14:paraId="0FB90E85">
            <w:pPr>
              <w:adjustRightInd w:val="0"/>
              <w:snapToGrid w:val="0"/>
              <w:jc w:val="center"/>
              <w:rPr>
                <w:color w:val="auto"/>
                <w:sz w:val="24"/>
              </w:rPr>
            </w:pPr>
            <w:r>
              <w:rPr>
                <w:color w:val="auto"/>
                <w:sz w:val="24"/>
              </w:rPr>
              <w:t>地理坐标</w:t>
            </w:r>
          </w:p>
        </w:tc>
        <w:tc>
          <w:tcPr>
            <w:tcW w:w="6872" w:type="dxa"/>
            <w:gridSpan w:val="5"/>
            <w:vAlign w:val="center"/>
          </w:tcPr>
          <w:p w14:paraId="4A929DE0">
            <w:pPr>
              <w:jc w:val="center"/>
              <w:rPr>
                <w:color w:val="auto"/>
                <w:sz w:val="24"/>
              </w:rPr>
            </w:pPr>
            <w:r>
              <w:rPr>
                <w:color w:val="auto"/>
                <w:sz w:val="24"/>
              </w:rPr>
              <w:t>（</w:t>
            </w:r>
            <w:r>
              <w:rPr>
                <w:color w:val="auto"/>
                <w:sz w:val="24"/>
                <w:u w:val="single"/>
              </w:rPr>
              <w:t>12</w:t>
            </w:r>
            <w:r>
              <w:rPr>
                <w:rFonts w:hint="eastAsia"/>
                <w:color w:val="auto"/>
                <w:sz w:val="24"/>
                <w:u w:val="single"/>
                <w:lang w:val="en-US" w:eastAsia="zh-CN"/>
              </w:rPr>
              <w:t>9</w:t>
            </w:r>
            <w:r>
              <w:rPr>
                <w:color w:val="auto"/>
                <w:sz w:val="24"/>
                <w:u w:val="single"/>
              </w:rPr>
              <w:t>度</w:t>
            </w:r>
            <w:r>
              <w:rPr>
                <w:rFonts w:hint="eastAsia"/>
                <w:color w:val="auto"/>
                <w:sz w:val="24"/>
                <w:u w:val="single"/>
              </w:rPr>
              <w:t>0</w:t>
            </w:r>
            <w:r>
              <w:rPr>
                <w:color w:val="auto"/>
                <w:sz w:val="24"/>
                <w:u w:val="single"/>
              </w:rPr>
              <w:t>分</w:t>
            </w:r>
            <w:r>
              <w:rPr>
                <w:rFonts w:hint="eastAsia"/>
                <w:color w:val="auto"/>
                <w:sz w:val="24"/>
                <w:u w:val="single"/>
              </w:rPr>
              <w:t>4</w:t>
            </w:r>
            <w:r>
              <w:rPr>
                <w:rFonts w:hint="eastAsia"/>
                <w:color w:val="auto"/>
                <w:sz w:val="24"/>
                <w:u w:val="single"/>
                <w:lang w:val="en-US" w:eastAsia="zh-CN"/>
              </w:rPr>
              <w:t>2.060</w:t>
            </w:r>
            <w:r>
              <w:rPr>
                <w:color w:val="auto"/>
                <w:sz w:val="24"/>
                <w:u w:val="single"/>
              </w:rPr>
              <w:t>秒</w:t>
            </w:r>
            <w:r>
              <w:rPr>
                <w:color w:val="auto"/>
                <w:sz w:val="24"/>
              </w:rPr>
              <w:t>，</w:t>
            </w:r>
            <w:r>
              <w:rPr>
                <w:color w:val="auto"/>
                <w:sz w:val="24"/>
                <w:u w:val="single"/>
              </w:rPr>
              <w:t>4</w:t>
            </w:r>
            <w:r>
              <w:rPr>
                <w:rFonts w:hint="eastAsia"/>
                <w:color w:val="auto"/>
                <w:sz w:val="24"/>
                <w:u w:val="single"/>
                <w:lang w:val="en-US" w:eastAsia="zh-CN"/>
              </w:rPr>
              <w:t>7</w:t>
            </w:r>
            <w:r>
              <w:rPr>
                <w:color w:val="auto"/>
                <w:sz w:val="24"/>
                <w:u w:val="single"/>
              </w:rPr>
              <w:t>度</w:t>
            </w:r>
            <w:r>
              <w:rPr>
                <w:rFonts w:hint="eastAsia"/>
                <w:color w:val="auto"/>
                <w:sz w:val="24"/>
                <w:u w:val="single"/>
                <w:lang w:val="en-US" w:eastAsia="zh-CN"/>
              </w:rPr>
              <w:t>46</w:t>
            </w:r>
            <w:r>
              <w:rPr>
                <w:color w:val="auto"/>
                <w:sz w:val="24"/>
                <w:u w:val="single"/>
              </w:rPr>
              <w:t>分</w:t>
            </w:r>
            <w:r>
              <w:rPr>
                <w:rFonts w:hint="eastAsia"/>
                <w:color w:val="auto"/>
                <w:sz w:val="24"/>
                <w:u w:val="single"/>
                <w:lang w:val="en-US" w:eastAsia="zh-CN"/>
              </w:rPr>
              <w:t>20.375</w:t>
            </w:r>
            <w:r>
              <w:rPr>
                <w:color w:val="auto"/>
                <w:sz w:val="24"/>
              </w:rPr>
              <w:t>秒）</w:t>
            </w:r>
          </w:p>
        </w:tc>
      </w:tr>
      <w:tr w14:paraId="17320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96" w:type="dxa"/>
            <w:tcMar>
              <w:top w:w="16" w:type="dxa"/>
              <w:left w:w="16" w:type="dxa"/>
              <w:right w:w="16" w:type="dxa"/>
            </w:tcMar>
            <w:vAlign w:val="center"/>
          </w:tcPr>
          <w:p w14:paraId="030534F9">
            <w:pPr>
              <w:adjustRightInd w:val="0"/>
              <w:snapToGrid w:val="0"/>
              <w:jc w:val="center"/>
              <w:rPr>
                <w:color w:val="auto"/>
                <w:sz w:val="24"/>
              </w:rPr>
            </w:pPr>
            <w:r>
              <w:rPr>
                <w:color w:val="auto"/>
                <w:sz w:val="24"/>
              </w:rPr>
              <w:t>国民经济</w:t>
            </w:r>
          </w:p>
          <w:p w14:paraId="1438BE4F">
            <w:pPr>
              <w:adjustRightInd w:val="0"/>
              <w:snapToGrid w:val="0"/>
              <w:jc w:val="center"/>
              <w:rPr>
                <w:color w:val="auto"/>
                <w:sz w:val="24"/>
              </w:rPr>
            </w:pPr>
            <w:r>
              <w:rPr>
                <w:color w:val="auto"/>
                <w:sz w:val="24"/>
              </w:rPr>
              <w:t>行业类别</w:t>
            </w:r>
          </w:p>
        </w:tc>
        <w:tc>
          <w:tcPr>
            <w:tcW w:w="2441" w:type="dxa"/>
            <w:gridSpan w:val="2"/>
            <w:vAlign w:val="center"/>
          </w:tcPr>
          <w:p w14:paraId="259DAC43">
            <w:pPr>
              <w:adjustRightInd w:val="0"/>
              <w:snapToGrid w:val="0"/>
              <w:jc w:val="center"/>
              <w:rPr>
                <w:color w:val="auto"/>
                <w:sz w:val="24"/>
              </w:rPr>
            </w:pPr>
            <w:r>
              <w:rPr>
                <w:color w:val="auto"/>
                <w:sz w:val="24"/>
              </w:rPr>
              <w:t>C309</w:t>
            </w:r>
            <w:r>
              <w:rPr>
                <w:rFonts w:hint="eastAsia"/>
                <w:color w:val="auto"/>
                <w:sz w:val="24"/>
              </w:rPr>
              <w:t>9</w:t>
            </w:r>
            <w:r>
              <w:rPr>
                <w:color w:val="auto"/>
                <w:sz w:val="24"/>
              </w:rPr>
              <w:t>其他非金属矿物制品制造</w:t>
            </w:r>
          </w:p>
        </w:tc>
        <w:tc>
          <w:tcPr>
            <w:tcW w:w="1953" w:type="dxa"/>
            <w:gridSpan w:val="2"/>
            <w:vAlign w:val="center"/>
          </w:tcPr>
          <w:p w14:paraId="355B6415">
            <w:pPr>
              <w:adjustRightInd w:val="0"/>
              <w:snapToGrid w:val="0"/>
              <w:jc w:val="center"/>
              <w:rPr>
                <w:color w:val="auto"/>
                <w:sz w:val="24"/>
              </w:rPr>
            </w:pPr>
            <w:bookmarkStart w:id="4" w:name="_Hlk49843745"/>
            <w:r>
              <w:rPr>
                <w:color w:val="auto"/>
                <w:sz w:val="24"/>
              </w:rPr>
              <w:t>建设项目</w:t>
            </w:r>
          </w:p>
          <w:p w14:paraId="219B08A8">
            <w:pPr>
              <w:adjustRightInd w:val="0"/>
              <w:snapToGrid w:val="0"/>
              <w:jc w:val="center"/>
              <w:rPr>
                <w:color w:val="auto"/>
                <w:sz w:val="24"/>
              </w:rPr>
            </w:pPr>
            <w:r>
              <w:rPr>
                <w:color w:val="auto"/>
                <w:sz w:val="24"/>
              </w:rPr>
              <w:t>行业类别</w:t>
            </w:r>
            <w:bookmarkEnd w:id="4"/>
          </w:p>
        </w:tc>
        <w:tc>
          <w:tcPr>
            <w:tcW w:w="2478" w:type="dxa"/>
            <w:vAlign w:val="center"/>
          </w:tcPr>
          <w:p w14:paraId="0A8B96CB">
            <w:pPr>
              <w:adjustRightInd w:val="0"/>
              <w:snapToGrid w:val="0"/>
              <w:jc w:val="center"/>
              <w:rPr>
                <w:color w:val="auto"/>
                <w:sz w:val="24"/>
              </w:rPr>
            </w:pPr>
            <w:r>
              <w:rPr>
                <w:rFonts w:hint="eastAsia"/>
                <w:color w:val="auto"/>
                <w:sz w:val="24"/>
              </w:rPr>
              <w:t xml:space="preserve">二十七、非金属矿物制品业 </w:t>
            </w:r>
            <w:r>
              <w:rPr>
                <w:color w:val="auto"/>
                <w:sz w:val="24"/>
              </w:rPr>
              <w:t>60、石墨及其他非金属矿物制品制造309</w:t>
            </w:r>
          </w:p>
        </w:tc>
      </w:tr>
      <w:tr w14:paraId="06C0F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96" w:type="dxa"/>
            <w:tcMar>
              <w:top w:w="16" w:type="dxa"/>
              <w:left w:w="16" w:type="dxa"/>
              <w:right w:w="16" w:type="dxa"/>
            </w:tcMar>
            <w:vAlign w:val="center"/>
          </w:tcPr>
          <w:p w14:paraId="13257DFB">
            <w:pPr>
              <w:adjustRightInd w:val="0"/>
              <w:snapToGrid w:val="0"/>
              <w:jc w:val="center"/>
              <w:rPr>
                <w:color w:val="auto"/>
                <w:sz w:val="24"/>
              </w:rPr>
            </w:pPr>
            <w:r>
              <w:rPr>
                <w:color w:val="auto"/>
                <w:sz w:val="24"/>
              </w:rPr>
              <w:t>建设性质</w:t>
            </w:r>
          </w:p>
        </w:tc>
        <w:tc>
          <w:tcPr>
            <w:tcW w:w="2441" w:type="dxa"/>
            <w:gridSpan w:val="2"/>
            <w:vAlign w:val="center"/>
          </w:tcPr>
          <w:p w14:paraId="78AF60CD">
            <w:pPr>
              <w:jc w:val="left"/>
              <w:rPr>
                <w:color w:val="auto"/>
                <w:sz w:val="24"/>
              </w:rPr>
            </w:pPr>
            <w:r>
              <w:rPr>
                <w:rFonts w:hAnsi="MS Mincho" w:eastAsia="MS Mincho"/>
                <w:color w:val="auto"/>
                <w:sz w:val="24"/>
              </w:rPr>
              <w:t>☑</w:t>
            </w:r>
            <w:r>
              <w:rPr>
                <w:color w:val="auto"/>
                <w:sz w:val="24"/>
              </w:rPr>
              <w:t>新建（迁建）</w:t>
            </w:r>
          </w:p>
          <w:p w14:paraId="01659525">
            <w:pPr>
              <w:jc w:val="left"/>
              <w:rPr>
                <w:color w:val="auto"/>
                <w:sz w:val="24"/>
              </w:rPr>
            </w:pPr>
            <w:r>
              <w:rPr>
                <w:color w:val="auto"/>
                <w:sz w:val="24"/>
              </w:rPr>
              <w:sym w:font="Wingdings 2" w:char="00A3"/>
            </w:r>
            <w:r>
              <w:rPr>
                <w:color w:val="auto"/>
                <w:sz w:val="24"/>
              </w:rPr>
              <w:t>改建</w:t>
            </w:r>
          </w:p>
          <w:p w14:paraId="4A672D56">
            <w:pPr>
              <w:jc w:val="left"/>
              <w:rPr>
                <w:color w:val="auto"/>
                <w:sz w:val="24"/>
              </w:rPr>
            </w:pPr>
            <w:r>
              <w:rPr>
                <w:color w:val="auto"/>
                <w:sz w:val="24"/>
              </w:rPr>
              <w:sym w:font="Wingdings 2" w:char="00A3"/>
            </w:r>
            <w:r>
              <w:rPr>
                <w:color w:val="auto"/>
                <w:sz w:val="24"/>
              </w:rPr>
              <w:t>扩建</w:t>
            </w:r>
          </w:p>
          <w:p w14:paraId="290CD459">
            <w:pPr>
              <w:jc w:val="left"/>
              <w:rPr>
                <w:color w:val="auto"/>
                <w:sz w:val="24"/>
              </w:rPr>
            </w:pPr>
            <w:r>
              <w:rPr>
                <w:color w:val="auto"/>
                <w:sz w:val="24"/>
              </w:rPr>
              <w:sym w:font="Wingdings 2" w:char="00A3"/>
            </w:r>
            <w:r>
              <w:rPr>
                <w:color w:val="auto"/>
                <w:sz w:val="24"/>
              </w:rPr>
              <w:t>技术改造</w:t>
            </w:r>
          </w:p>
        </w:tc>
        <w:tc>
          <w:tcPr>
            <w:tcW w:w="1953" w:type="dxa"/>
            <w:gridSpan w:val="2"/>
            <w:vAlign w:val="center"/>
          </w:tcPr>
          <w:p w14:paraId="26A8DD21">
            <w:pPr>
              <w:adjustRightInd w:val="0"/>
              <w:snapToGrid w:val="0"/>
              <w:jc w:val="center"/>
              <w:rPr>
                <w:color w:val="auto"/>
                <w:sz w:val="24"/>
              </w:rPr>
            </w:pPr>
            <w:r>
              <w:rPr>
                <w:color w:val="auto"/>
                <w:sz w:val="24"/>
              </w:rPr>
              <w:t>建设项目</w:t>
            </w:r>
          </w:p>
          <w:p w14:paraId="7A85E909">
            <w:pPr>
              <w:adjustRightInd w:val="0"/>
              <w:snapToGrid w:val="0"/>
              <w:jc w:val="center"/>
              <w:rPr>
                <w:color w:val="auto"/>
                <w:sz w:val="24"/>
              </w:rPr>
            </w:pPr>
            <w:r>
              <w:rPr>
                <w:color w:val="auto"/>
                <w:sz w:val="24"/>
              </w:rPr>
              <w:t>申报情形</w:t>
            </w:r>
          </w:p>
        </w:tc>
        <w:tc>
          <w:tcPr>
            <w:tcW w:w="2478" w:type="dxa"/>
            <w:vAlign w:val="center"/>
          </w:tcPr>
          <w:p w14:paraId="4E53DCD6">
            <w:pPr>
              <w:jc w:val="left"/>
              <w:rPr>
                <w:color w:val="auto"/>
                <w:sz w:val="24"/>
              </w:rPr>
            </w:pPr>
            <w:r>
              <w:rPr>
                <w:rFonts w:hAnsi="MS Mincho" w:eastAsia="MS Mincho"/>
                <w:color w:val="auto"/>
                <w:sz w:val="24"/>
              </w:rPr>
              <w:t>☑</w:t>
            </w:r>
            <w:r>
              <w:rPr>
                <w:color w:val="auto"/>
                <w:sz w:val="24"/>
              </w:rPr>
              <w:t>首次申报项目</w:t>
            </w:r>
          </w:p>
          <w:p w14:paraId="2FF93805">
            <w:pPr>
              <w:jc w:val="left"/>
              <w:rPr>
                <w:color w:val="auto"/>
                <w:sz w:val="24"/>
              </w:rPr>
            </w:pPr>
            <w:r>
              <w:rPr>
                <w:color w:val="auto"/>
                <w:sz w:val="24"/>
              </w:rPr>
              <w:sym w:font="Wingdings 2" w:char="00A3"/>
            </w:r>
            <w:r>
              <w:rPr>
                <w:color w:val="auto"/>
                <w:sz w:val="24"/>
              </w:rPr>
              <w:t>不予批准后再次申报项目</w:t>
            </w:r>
          </w:p>
          <w:p w14:paraId="1285EB29">
            <w:pPr>
              <w:jc w:val="left"/>
              <w:rPr>
                <w:color w:val="auto"/>
                <w:sz w:val="24"/>
              </w:rPr>
            </w:pPr>
            <w:r>
              <w:rPr>
                <w:color w:val="auto"/>
                <w:sz w:val="24"/>
              </w:rPr>
              <w:sym w:font="Wingdings 2" w:char="00A3"/>
            </w:r>
            <w:r>
              <w:rPr>
                <w:color w:val="auto"/>
                <w:sz w:val="24"/>
              </w:rPr>
              <w:t xml:space="preserve">超五年重新审核项目     </w:t>
            </w:r>
          </w:p>
          <w:p w14:paraId="350B93B0">
            <w:pPr>
              <w:jc w:val="left"/>
              <w:rPr>
                <w:color w:val="auto"/>
                <w:sz w:val="24"/>
              </w:rPr>
            </w:pPr>
            <w:r>
              <w:rPr>
                <w:color w:val="auto"/>
                <w:sz w:val="24"/>
              </w:rPr>
              <w:sym w:font="Wingdings 2" w:char="00A3"/>
            </w:r>
            <w:r>
              <w:rPr>
                <w:color w:val="auto"/>
                <w:sz w:val="24"/>
              </w:rPr>
              <w:t>重大变动重新报批项目</w:t>
            </w:r>
          </w:p>
        </w:tc>
      </w:tr>
      <w:tr w14:paraId="5BF34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2496" w:type="dxa"/>
            <w:tcMar>
              <w:top w:w="16" w:type="dxa"/>
              <w:left w:w="16" w:type="dxa"/>
              <w:right w:w="16" w:type="dxa"/>
            </w:tcMar>
            <w:vAlign w:val="center"/>
          </w:tcPr>
          <w:p w14:paraId="2128D539">
            <w:pPr>
              <w:adjustRightInd w:val="0"/>
              <w:snapToGrid w:val="0"/>
              <w:jc w:val="center"/>
              <w:rPr>
                <w:color w:val="auto"/>
                <w:sz w:val="24"/>
              </w:rPr>
            </w:pPr>
            <w:r>
              <w:rPr>
                <w:color w:val="auto"/>
                <w:sz w:val="24"/>
              </w:rPr>
              <w:t>项目审批（核准/</w:t>
            </w:r>
          </w:p>
          <w:p w14:paraId="19046C3A">
            <w:pPr>
              <w:adjustRightInd w:val="0"/>
              <w:snapToGrid w:val="0"/>
              <w:jc w:val="center"/>
              <w:rPr>
                <w:color w:val="auto"/>
                <w:sz w:val="24"/>
              </w:rPr>
            </w:pPr>
            <w:r>
              <w:rPr>
                <w:color w:val="auto"/>
                <w:sz w:val="24"/>
              </w:rPr>
              <w:t>备案）部门（选填）</w:t>
            </w:r>
          </w:p>
        </w:tc>
        <w:tc>
          <w:tcPr>
            <w:tcW w:w="2441" w:type="dxa"/>
            <w:gridSpan w:val="2"/>
            <w:vAlign w:val="center"/>
          </w:tcPr>
          <w:p w14:paraId="3A07606D">
            <w:pPr>
              <w:adjustRightInd w:val="0"/>
              <w:snapToGrid w:val="0"/>
              <w:jc w:val="center"/>
              <w:rPr>
                <w:color w:val="auto"/>
                <w:sz w:val="24"/>
              </w:rPr>
            </w:pPr>
            <w:r>
              <w:rPr>
                <w:color w:val="auto"/>
                <w:sz w:val="24"/>
              </w:rPr>
              <w:t>无</w:t>
            </w:r>
          </w:p>
        </w:tc>
        <w:tc>
          <w:tcPr>
            <w:tcW w:w="1953" w:type="dxa"/>
            <w:gridSpan w:val="2"/>
            <w:vAlign w:val="center"/>
          </w:tcPr>
          <w:p w14:paraId="6321BE62">
            <w:pPr>
              <w:adjustRightInd w:val="0"/>
              <w:snapToGrid w:val="0"/>
              <w:jc w:val="center"/>
              <w:rPr>
                <w:color w:val="auto"/>
                <w:sz w:val="24"/>
              </w:rPr>
            </w:pPr>
            <w:r>
              <w:rPr>
                <w:color w:val="auto"/>
                <w:sz w:val="24"/>
              </w:rPr>
              <w:t>项目审批（核准/备案）文号（选填）</w:t>
            </w:r>
          </w:p>
        </w:tc>
        <w:tc>
          <w:tcPr>
            <w:tcW w:w="2478" w:type="dxa"/>
            <w:vAlign w:val="center"/>
          </w:tcPr>
          <w:p w14:paraId="02C96E6F">
            <w:pPr>
              <w:adjustRightInd w:val="0"/>
              <w:snapToGrid w:val="0"/>
              <w:jc w:val="center"/>
              <w:rPr>
                <w:color w:val="auto"/>
                <w:sz w:val="24"/>
              </w:rPr>
            </w:pPr>
            <w:r>
              <w:rPr>
                <w:color w:val="auto"/>
                <w:sz w:val="24"/>
              </w:rPr>
              <w:t>无</w:t>
            </w:r>
          </w:p>
        </w:tc>
      </w:tr>
      <w:tr w14:paraId="6D97D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96" w:type="dxa"/>
            <w:tcMar>
              <w:top w:w="16" w:type="dxa"/>
              <w:left w:w="16" w:type="dxa"/>
              <w:right w:w="16" w:type="dxa"/>
            </w:tcMar>
            <w:vAlign w:val="center"/>
          </w:tcPr>
          <w:p w14:paraId="7B387711">
            <w:pPr>
              <w:adjustRightInd w:val="0"/>
              <w:snapToGrid w:val="0"/>
              <w:jc w:val="center"/>
              <w:rPr>
                <w:color w:val="auto"/>
                <w:sz w:val="24"/>
              </w:rPr>
            </w:pPr>
            <w:r>
              <w:rPr>
                <w:color w:val="auto"/>
                <w:sz w:val="24"/>
              </w:rPr>
              <w:t>总投资（万元）</w:t>
            </w:r>
          </w:p>
        </w:tc>
        <w:tc>
          <w:tcPr>
            <w:tcW w:w="2441" w:type="dxa"/>
            <w:gridSpan w:val="2"/>
            <w:vAlign w:val="center"/>
          </w:tcPr>
          <w:p w14:paraId="06D452EF">
            <w:pPr>
              <w:adjustRightInd w:val="0"/>
              <w:snapToGrid w:val="0"/>
              <w:jc w:val="center"/>
              <w:rPr>
                <w:color w:val="auto"/>
                <w:sz w:val="24"/>
              </w:rPr>
            </w:pPr>
            <w:r>
              <w:rPr>
                <w:rFonts w:hint="eastAsia"/>
                <w:color w:val="auto"/>
                <w:sz w:val="24"/>
              </w:rPr>
              <w:t>4</w:t>
            </w:r>
            <w:r>
              <w:rPr>
                <w:rFonts w:hint="eastAsia"/>
                <w:color w:val="auto"/>
                <w:sz w:val="24"/>
                <w:lang w:val="en-US" w:eastAsia="zh-CN"/>
              </w:rPr>
              <w:t>6</w:t>
            </w:r>
            <w:r>
              <w:rPr>
                <w:rFonts w:hint="eastAsia"/>
                <w:color w:val="auto"/>
                <w:sz w:val="24"/>
              </w:rPr>
              <w:t>0</w:t>
            </w:r>
          </w:p>
        </w:tc>
        <w:tc>
          <w:tcPr>
            <w:tcW w:w="1953" w:type="dxa"/>
            <w:gridSpan w:val="2"/>
            <w:tcMar>
              <w:top w:w="16" w:type="dxa"/>
              <w:left w:w="16" w:type="dxa"/>
              <w:right w:w="16" w:type="dxa"/>
            </w:tcMar>
            <w:vAlign w:val="center"/>
          </w:tcPr>
          <w:p w14:paraId="69A0E7D6">
            <w:pPr>
              <w:adjustRightInd w:val="0"/>
              <w:snapToGrid w:val="0"/>
              <w:jc w:val="center"/>
              <w:rPr>
                <w:color w:val="auto"/>
                <w:sz w:val="24"/>
              </w:rPr>
            </w:pPr>
            <w:r>
              <w:rPr>
                <w:color w:val="auto"/>
                <w:sz w:val="24"/>
              </w:rPr>
              <w:t>环保投资（万元）</w:t>
            </w:r>
          </w:p>
        </w:tc>
        <w:tc>
          <w:tcPr>
            <w:tcW w:w="2478" w:type="dxa"/>
            <w:vAlign w:val="center"/>
          </w:tcPr>
          <w:p w14:paraId="3C5ED2BC">
            <w:pPr>
              <w:adjustRightInd w:val="0"/>
              <w:snapToGrid w:val="0"/>
              <w:jc w:val="center"/>
              <w:rPr>
                <w:color w:val="auto"/>
                <w:sz w:val="24"/>
              </w:rPr>
            </w:pPr>
            <w:r>
              <w:rPr>
                <w:rFonts w:hint="eastAsia"/>
                <w:color w:val="auto"/>
                <w:sz w:val="24"/>
              </w:rPr>
              <w:t>120</w:t>
            </w:r>
          </w:p>
        </w:tc>
      </w:tr>
      <w:tr w14:paraId="153E6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2496" w:type="dxa"/>
            <w:tcMar>
              <w:top w:w="16" w:type="dxa"/>
              <w:left w:w="16" w:type="dxa"/>
              <w:right w:w="16" w:type="dxa"/>
            </w:tcMar>
            <w:vAlign w:val="center"/>
          </w:tcPr>
          <w:p w14:paraId="15579E7B">
            <w:pPr>
              <w:adjustRightInd w:val="0"/>
              <w:snapToGrid w:val="0"/>
              <w:jc w:val="center"/>
              <w:rPr>
                <w:color w:val="auto"/>
                <w:sz w:val="24"/>
              </w:rPr>
            </w:pPr>
            <w:r>
              <w:rPr>
                <w:color w:val="auto"/>
                <w:sz w:val="24"/>
              </w:rPr>
              <w:t>环保投资占比（%）</w:t>
            </w:r>
          </w:p>
        </w:tc>
        <w:tc>
          <w:tcPr>
            <w:tcW w:w="2441" w:type="dxa"/>
            <w:gridSpan w:val="2"/>
            <w:vAlign w:val="center"/>
          </w:tcPr>
          <w:p w14:paraId="1D40EB12">
            <w:pPr>
              <w:adjustRightInd w:val="0"/>
              <w:snapToGrid w:val="0"/>
              <w:jc w:val="center"/>
              <w:rPr>
                <w:rFonts w:hint="eastAsia" w:eastAsia="宋体"/>
                <w:color w:val="auto"/>
                <w:sz w:val="24"/>
                <w:lang w:eastAsia="zh-CN"/>
              </w:rPr>
            </w:pPr>
            <w:r>
              <w:rPr>
                <w:rFonts w:hint="eastAsia"/>
                <w:color w:val="auto"/>
                <w:sz w:val="24"/>
              </w:rPr>
              <w:t>26.</w:t>
            </w:r>
            <w:r>
              <w:rPr>
                <w:rFonts w:hint="eastAsia"/>
                <w:color w:val="auto"/>
                <w:sz w:val="24"/>
                <w:lang w:val="en-US" w:eastAsia="zh-CN"/>
              </w:rPr>
              <w:t>1</w:t>
            </w:r>
          </w:p>
        </w:tc>
        <w:tc>
          <w:tcPr>
            <w:tcW w:w="1953" w:type="dxa"/>
            <w:gridSpan w:val="2"/>
            <w:tcMar>
              <w:top w:w="16" w:type="dxa"/>
              <w:left w:w="16" w:type="dxa"/>
              <w:right w:w="16" w:type="dxa"/>
            </w:tcMar>
            <w:vAlign w:val="center"/>
          </w:tcPr>
          <w:p w14:paraId="297F2B24">
            <w:pPr>
              <w:adjustRightInd w:val="0"/>
              <w:snapToGrid w:val="0"/>
              <w:jc w:val="center"/>
              <w:rPr>
                <w:color w:val="auto"/>
                <w:sz w:val="24"/>
              </w:rPr>
            </w:pPr>
            <w:r>
              <w:rPr>
                <w:color w:val="auto"/>
                <w:sz w:val="24"/>
              </w:rPr>
              <w:t>施工工期</w:t>
            </w:r>
          </w:p>
        </w:tc>
        <w:tc>
          <w:tcPr>
            <w:tcW w:w="2478" w:type="dxa"/>
            <w:vAlign w:val="center"/>
          </w:tcPr>
          <w:p w14:paraId="681DEB60">
            <w:pPr>
              <w:adjustRightInd w:val="0"/>
              <w:snapToGrid w:val="0"/>
              <w:jc w:val="center"/>
              <w:rPr>
                <w:rFonts w:hint="default" w:eastAsia="宋体"/>
                <w:color w:val="auto"/>
                <w:sz w:val="24"/>
                <w:lang w:val="en-US" w:eastAsia="zh-CN"/>
              </w:rPr>
            </w:pPr>
            <w:r>
              <w:rPr>
                <w:color w:val="auto"/>
                <w:sz w:val="24"/>
              </w:rPr>
              <w:t>202</w:t>
            </w:r>
            <w:r>
              <w:rPr>
                <w:rFonts w:hint="eastAsia"/>
                <w:color w:val="auto"/>
                <w:sz w:val="24"/>
              </w:rPr>
              <w:t>4</w:t>
            </w:r>
            <w:r>
              <w:rPr>
                <w:color w:val="auto"/>
                <w:sz w:val="24"/>
              </w:rPr>
              <w:t>.</w:t>
            </w:r>
            <w:r>
              <w:rPr>
                <w:rFonts w:hint="eastAsia"/>
                <w:color w:val="auto"/>
                <w:sz w:val="24"/>
                <w:lang w:val="en-US" w:eastAsia="zh-CN"/>
              </w:rPr>
              <w:t>11</w:t>
            </w:r>
            <w:r>
              <w:rPr>
                <w:color w:val="auto"/>
                <w:sz w:val="24"/>
              </w:rPr>
              <w:t>-202</w:t>
            </w:r>
            <w:r>
              <w:rPr>
                <w:rFonts w:hint="eastAsia"/>
                <w:color w:val="auto"/>
                <w:sz w:val="24"/>
              </w:rPr>
              <w:t>4</w:t>
            </w:r>
            <w:r>
              <w:rPr>
                <w:color w:val="auto"/>
                <w:sz w:val="24"/>
              </w:rPr>
              <w:t>.</w:t>
            </w:r>
            <w:r>
              <w:rPr>
                <w:rFonts w:hint="eastAsia"/>
                <w:color w:val="auto"/>
                <w:sz w:val="24"/>
                <w:lang w:val="en-US" w:eastAsia="zh-CN"/>
              </w:rPr>
              <w:t>12</w:t>
            </w:r>
          </w:p>
        </w:tc>
      </w:tr>
      <w:tr w14:paraId="60C43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96" w:type="dxa"/>
            <w:tcMar>
              <w:top w:w="16" w:type="dxa"/>
              <w:left w:w="16" w:type="dxa"/>
              <w:right w:w="16" w:type="dxa"/>
            </w:tcMar>
            <w:vAlign w:val="center"/>
          </w:tcPr>
          <w:p w14:paraId="53FF7BE1">
            <w:pPr>
              <w:adjustRightInd w:val="0"/>
              <w:snapToGrid w:val="0"/>
              <w:jc w:val="center"/>
              <w:rPr>
                <w:color w:val="auto"/>
                <w:sz w:val="24"/>
              </w:rPr>
            </w:pPr>
            <w:r>
              <w:rPr>
                <w:color w:val="auto"/>
                <w:sz w:val="24"/>
              </w:rPr>
              <w:t>是否开工建设</w:t>
            </w:r>
          </w:p>
        </w:tc>
        <w:tc>
          <w:tcPr>
            <w:tcW w:w="2441" w:type="dxa"/>
            <w:gridSpan w:val="2"/>
            <w:vAlign w:val="center"/>
          </w:tcPr>
          <w:p w14:paraId="1E073605">
            <w:pPr>
              <w:adjustRightInd w:val="0"/>
              <w:snapToGrid w:val="0"/>
              <w:rPr>
                <w:color w:val="auto"/>
                <w:sz w:val="24"/>
              </w:rPr>
            </w:pPr>
            <w:r>
              <w:rPr>
                <w:rFonts w:hAnsi="MS Mincho" w:eastAsia="MS Mincho"/>
                <w:color w:val="auto"/>
                <w:sz w:val="24"/>
              </w:rPr>
              <w:t>☑</w:t>
            </w:r>
            <w:r>
              <w:rPr>
                <w:color w:val="auto"/>
                <w:sz w:val="24"/>
              </w:rPr>
              <w:t>否</w:t>
            </w:r>
          </w:p>
          <w:p w14:paraId="17A893EB">
            <w:pPr>
              <w:adjustRightInd w:val="0"/>
              <w:snapToGrid w:val="0"/>
              <w:rPr>
                <w:color w:val="auto"/>
                <w:sz w:val="24"/>
              </w:rPr>
            </w:pPr>
            <w:r>
              <w:rPr>
                <w:color w:val="auto"/>
                <w:sz w:val="24"/>
              </w:rPr>
              <w:sym w:font="Wingdings 2" w:char="00A3"/>
            </w:r>
            <w:r>
              <w:rPr>
                <w:color w:val="auto"/>
                <w:sz w:val="24"/>
              </w:rPr>
              <w:t>是：</w:t>
            </w:r>
          </w:p>
        </w:tc>
        <w:tc>
          <w:tcPr>
            <w:tcW w:w="1953" w:type="dxa"/>
            <w:gridSpan w:val="2"/>
            <w:tcMar>
              <w:top w:w="16" w:type="dxa"/>
              <w:left w:w="16" w:type="dxa"/>
              <w:right w:w="16" w:type="dxa"/>
            </w:tcMar>
            <w:vAlign w:val="center"/>
          </w:tcPr>
          <w:p w14:paraId="070FF3C9">
            <w:pPr>
              <w:adjustRightInd w:val="0"/>
              <w:snapToGrid w:val="0"/>
              <w:jc w:val="center"/>
              <w:rPr>
                <w:color w:val="auto"/>
                <w:spacing w:val="-6"/>
                <w:sz w:val="24"/>
              </w:rPr>
            </w:pPr>
            <w:r>
              <w:rPr>
                <w:color w:val="auto"/>
                <w:spacing w:val="-6"/>
                <w:sz w:val="24"/>
              </w:rPr>
              <w:t>用地（用海）</w:t>
            </w:r>
          </w:p>
          <w:p w14:paraId="00589FC1">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478" w:type="dxa"/>
            <w:vAlign w:val="center"/>
          </w:tcPr>
          <w:p w14:paraId="5876CFAA">
            <w:pPr>
              <w:adjustRightInd w:val="0"/>
              <w:snapToGrid w:val="0"/>
              <w:jc w:val="center"/>
              <w:rPr>
                <w:color w:val="auto"/>
                <w:sz w:val="24"/>
              </w:rPr>
            </w:pPr>
            <w:r>
              <w:rPr>
                <w:rFonts w:hint="eastAsia"/>
                <w:bCs/>
                <w:color w:val="auto"/>
                <w:sz w:val="24"/>
                <w:lang w:val="en-US" w:eastAsia="zh-CN"/>
              </w:rPr>
              <w:t>17667</w:t>
            </w:r>
          </w:p>
        </w:tc>
      </w:tr>
      <w:tr w14:paraId="232C3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2496" w:type="dxa"/>
            <w:vAlign w:val="center"/>
          </w:tcPr>
          <w:p w14:paraId="5372D694">
            <w:pPr>
              <w:autoSpaceDE w:val="0"/>
              <w:autoSpaceDN w:val="0"/>
              <w:adjustRightInd w:val="0"/>
              <w:snapToGrid w:val="0"/>
              <w:jc w:val="center"/>
              <w:rPr>
                <w:color w:val="auto"/>
                <w:kern w:val="0"/>
                <w:sz w:val="24"/>
              </w:rPr>
            </w:pPr>
            <w:r>
              <w:rPr>
                <w:color w:val="auto"/>
                <w:kern w:val="0"/>
                <w:sz w:val="24"/>
              </w:rPr>
              <w:t>专项评价设置情况</w:t>
            </w:r>
          </w:p>
        </w:tc>
        <w:tc>
          <w:tcPr>
            <w:tcW w:w="6872" w:type="dxa"/>
            <w:gridSpan w:val="5"/>
            <w:vAlign w:val="center"/>
          </w:tcPr>
          <w:p w14:paraId="23355983">
            <w:pPr>
              <w:autoSpaceDE w:val="0"/>
              <w:autoSpaceDN w:val="0"/>
              <w:adjustRightInd w:val="0"/>
              <w:snapToGrid w:val="0"/>
              <w:jc w:val="center"/>
              <w:rPr>
                <w:color w:val="auto"/>
                <w:kern w:val="0"/>
                <w:sz w:val="24"/>
              </w:rPr>
            </w:pPr>
            <w:r>
              <w:rPr>
                <w:rFonts w:hint="eastAsia" w:hAnsiTheme="minorEastAsia" w:eastAsiaTheme="minorEastAsia"/>
                <w:b/>
                <w:bCs/>
                <w:color w:val="auto"/>
                <w:kern w:val="0"/>
                <w:sz w:val="24"/>
              </w:rPr>
              <w:t>表1</w:t>
            </w:r>
            <w:r>
              <w:rPr>
                <w:rFonts w:hAnsiTheme="minorEastAsia" w:eastAsiaTheme="minorEastAsia"/>
                <w:b/>
                <w:bCs/>
                <w:color w:val="auto"/>
                <w:kern w:val="0"/>
                <w:sz w:val="24"/>
              </w:rPr>
              <w:t xml:space="preserve">-1 </w:t>
            </w:r>
            <w:r>
              <w:rPr>
                <w:rFonts w:hint="eastAsia" w:hAnsiTheme="minorEastAsia" w:eastAsiaTheme="minorEastAsia"/>
                <w:b/>
                <w:bCs/>
                <w:color w:val="auto"/>
                <w:kern w:val="0"/>
                <w:sz w:val="24"/>
              </w:rPr>
              <w:t>专项评价设置情况</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2"/>
              <w:gridCol w:w="2052"/>
              <w:gridCol w:w="1129"/>
            </w:tblGrid>
            <w:tr w14:paraId="1FA16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0DCA28AF">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专项评价类别</w:t>
                  </w:r>
                </w:p>
              </w:tc>
              <w:tc>
                <w:tcPr>
                  <w:tcW w:w="2552" w:type="dxa"/>
                  <w:vAlign w:val="center"/>
                </w:tcPr>
                <w:p w14:paraId="4B559CD9">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设置原则</w:t>
                  </w:r>
                </w:p>
              </w:tc>
              <w:tc>
                <w:tcPr>
                  <w:tcW w:w="2052" w:type="dxa"/>
                  <w:vAlign w:val="center"/>
                </w:tcPr>
                <w:p w14:paraId="3ACBACA6">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本项目情况</w:t>
                  </w:r>
                </w:p>
              </w:tc>
              <w:tc>
                <w:tcPr>
                  <w:tcW w:w="1129" w:type="dxa"/>
                  <w:vAlign w:val="center"/>
                </w:tcPr>
                <w:p w14:paraId="250D3741">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是否设置专项评价</w:t>
                  </w:r>
                </w:p>
              </w:tc>
            </w:tr>
            <w:tr w14:paraId="007C0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6F671C37">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大气</w:t>
                  </w:r>
                </w:p>
              </w:tc>
              <w:tc>
                <w:tcPr>
                  <w:tcW w:w="2552" w:type="dxa"/>
                  <w:vAlign w:val="center"/>
                </w:tcPr>
                <w:p w14:paraId="5E5EAD98">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排放废气含有毒有害污染物、二噁英、苯并</w:t>
                  </w:r>
                  <w:r>
                    <w:rPr>
                      <w:rFonts w:hAnsiTheme="minorEastAsia" w:eastAsiaTheme="minorEastAsia"/>
                      <w:color w:val="auto"/>
                      <w:kern w:val="0"/>
                      <w:szCs w:val="21"/>
                    </w:rPr>
                    <w:t>[a]</w:t>
                  </w:r>
                  <w:r>
                    <w:rPr>
                      <w:rFonts w:hint="eastAsia" w:hAnsiTheme="minorEastAsia" w:eastAsiaTheme="minorEastAsia"/>
                      <w:color w:val="auto"/>
                      <w:kern w:val="0"/>
                      <w:szCs w:val="21"/>
                    </w:rPr>
                    <w:t>芘、氰化物、氯气且厂界外</w:t>
                  </w:r>
                  <w:r>
                    <w:rPr>
                      <w:rFonts w:hAnsiTheme="minorEastAsia" w:eastAsiaTheme="minorEastAsia"/>
                      <w:color w:val="auto"/>
                      <w:kern w:val="0"/>
                      <w:szCs w:val="21"/>
                    </w:rPr>
                    <w:t xml:space="preserve">500 </w:t>
                  </w:r>
                  <w:r>
                    <w:rPr>
                      <w:rFonts w:hint="eastAsia" w:hAnsiTheme="minorEastAsia" w:eastAsiaTheme="minorEastAsia"/>
                      <w:color w:val="auto"/>
                      <w:kern w:val="0"/>
                      <w:szCs w:val="21"/>
                    </w:rPr>
                    <w:t>米范围内有环境空气保护目标的建设项目</w:t>
                  </w:r>
                </w:p>
              </w:tc>
              <w:tc>
                <w:tcPr>
                  <w:tcW w:w="2052" w:type="dxa"/>
                  <w:vAlign w:val="center"/>
                </w:tcPr>
                <w:p w14:paraId="1FFBFD8C">
                  <w:pPr>
                    <w:autoSpaceDE w:val="0"/>
                    <w:autoSpaceDN w:val="0"/>
                    <w:adjustRightInd w:val="0"/>
                    <w:snapToGrid w:val="0"/>
                    <w:jc w:val="center"/>
                    <w:rPr>
                      <w:rFonts w:hAnsiTheme="minorEastAsia" w:eastAsiaTheme="minorEastAsia"/>
                      <w:color w:val="auto"/>
                      <w:kern w:val="0"/>
                      <w:szCs w:val="21"/>
                    </w:rPr>
                  </w:pPr>
                  <w:r>
                    <w:rPr>
                      <w:rFonts w:hAnsiTheme="minorEastAsia" w:eastAsiaTheme="minorEastAsia"/>
                      <w:color w:val="auto"/>
                      <w:kern w:val="0"/>
                      <w:szCs w:val="21"/>
                    </w:rPr>
                    <w:t>本项目运营期排放的</w:t>
                  </w:r>
                  <w:r>
                    <w:rPr>
                      <w:rFonts w:hint="eastAsia" w:hAnsiTheme="minorEastAsia" w:eastAsiaTheme="minorEastAsia"/>
                      <w:color w:val="auto"/>
                      <w:kern w:val="0"/>
                      <w:szCs w:val="21"/>
                    </w:rPr>
                    <w:t>沥青</w:t>
                  </w:r>
                  <w:r>
                    <w:rPr>
                      <w:rFonts w:hAnsiTheme="minorEastAsia" w:eastAsiaTheme="minorEastAsia"/>
                      <w:color w:val="auto"/>
                      <w:kern w:val="0"/>
                      <w:szCs w:val="21"/>
                    </w:rPr>
                    <w:t>烟气中含有有毒有害污染物苯并[a]芘，厂界外500m范围内</w:t>
                  </w:r>
                  <w:r>
                    <w:rPr>
                      <w:rFonts w:hint="eastAsia" w:hAnsiTheme="minorEastAsia" w:eastAsiaTheme="minorEastAsia"/>
                      <w:color w:val="auto"/>
                      <w:kern w:val="0"/>
                      <w:szCs w:val="21"/>
                      <w:lang w:val="en-US" w:eastAsia="zh-CN"/>
                    </w:rPr>
                    <w:t>无</w:t>
                  </w:r>
                  <w:r>
                    <w:rPr>
                      <w:rFonts w:hAnsiTheme="minorEastAsia" w:eastAsiaTheme="minorEastAsia"/>
                      <w:color w:val="auto"/>
                      <w:kern w:val="0"/>
                      <w:szCs w:val="21"/>
                    </w:rPr>
                    <w:t>有环境空气保护目标</w:t>
                  </w:r>
                </w:p>
              </w:tc>
              <w:tc>
                <w:tcPr>
                  <w:tcW w:w="1129" w:type="dxa"/>
                  <w:vAlign w:val="center"/>
                </w:tcPr>
                <w:p w14:paraId="37E9ADF9">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未设置</w:t>
                  </w:r>
                </w:p>
              </w:tc>
            </w:tr>
            <w:tr w14:paraId="2B7B6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757C2C46">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地表水</w:t>
                  </w:r>
                </w:p>
              </w:tc>
              <w:tc>
                <w:tcPr>
                  <w:tcW w:w="2552" w:type="dxa"/>
                  <w:vAlign w:val="center"/>
                </w:tcPr>
                <w:p w14:paraId="4F28EB08">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新增工业废水直排建设项目（槽罐车外送污水处理厂的除外）；新增废水直排的污水集中处理厂</w:t>
                  </w:r>
                </w:p>
              </w:tc>
              <w:tc>
                <w:tcPr>
                  <w:tcW w:w="2052" w:type="dxa"/>
                  <w:vAlign w:val="center"/>
                </w:tcPr>
                <w:p w14:paraId="4E099112">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本项目无生产废水排放，生活污水排入防渗化粪池，定期清掏，外运堆肥，不外排</w:t>
                  </w:r>
                </w:p>
              </w:tc>
              <w:tc>
                <w:tcPr>
                  <w:tcW w:w="1129" w:type="dxa"/>
                  <w:vAlign w:val="center"/>
                </w:tcPr>
                <w:p w14:paraId="0346487E">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未设置</w:t>
                  </w:r>
                </w:p>
              </w:tc>
            </w:tr>
            <w:tr w14:paraId="05C30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41C6373E">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环境风险</w:t>
                  </w:r>
                </w:p>
              </w:tc>
              <w:tc>
                <w:tcPr>
                  <w:tcW w:w="2552" w:type="dxa"/>
                  <w:vAlign w:val="center"/>
                </w:tcPr>
                <w:p w14:paraId="1A989329">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有毒有害和易燃易爆危险物质存储量超过临界量的建设项目</w:t>
                  </w:r>
                </w:p>
              </w:tc>
              <w:tc>
                <w:tcPr>
                  <w:tcW w:w="2052" w:type="dxa"/>
                  <w:vAlign w:val="center"/>
                </w:tcPr>
                <w:p w14:paraId="22825BA4">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本项目不涉及危险物质存储量超过临界量</w:t>
                  </w:r>
                </w:p>
              </w:tc>
              <w:tc>
                <w:tcPr>
                  <w:tcW w:w="1129" w:type="dxa"/>
                  <w:vAlign w:val="center"/>
                </w:tcPr>
                <w:p w14:paraId="73EA7341">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未设置</w:t>
                  </w:r>
                </w:p>
              </w:tc>
            </w:tr>
            <w:tr w14:paraId="4159A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0D547037">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生态</w:t>
                  </w:r>
                </w:p>
              </w:tc>
              <w:tc>
                <w:tcPr>
                  <w:tcW w:w="2552" w:type="dxa"/>
                  <w:vAlign w:val="center"/>
                </w:tcPr>
                <w:p w14:paraId="2CA55B60">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取水口下游</w:t>
                  </w:r>
                  <w:r>
                    <w:rPr>
                      <w:rFonts w:hAnsiTheme="minorEastAsia" w:eastAsiaTheme="minorEastAsia"/>
                      <w:color w:val="auto"/>
                      <w:kern w:val="0"/>
                      <w:szCs w:val="21"/>
                    </w:rPr>
                    <w:t xml:space="preserve">500 </w:t>
                  </w:r>
                  <w:r>
                    <w:rPr>
                      <w:rFonts w:hint="eastAsia" w:hAnsiTheme="minorEastAsia" w:eastAsiaTheme="minorEastAsia"/>
                      <w:color w:val="auto"/>
                      <w:kern w:val="0"/>
                      <w:szCs w:val="21"/>
                    </w:rPr>
                    <w:t>米范围内有重要水生生物的自然产卵场、索饵场、越冬场和洄游通道的新增河道取水的污染类建设项目</w:t>
                  </w:r>
                </w:p>
              </w:tc>
              <w:tc>
                <w:tcPr>
                  <w:tcW w:w="2052" w:type="dxa"/>
                  <w:vAlign w:val="center"/>
                </w:tcPr>
                <w:p w14:paraId="0DE08A30">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本项目无取水口</w:t>
                  </w:r>
                </w:p>
              </w:tc>
              <w:tc>
                <w:tcPr>
                  <w:tcW w:w="1129" w:type="dxa"/>
                  <w:vAlign w:val="center"/>
                </w:tcPr>
                <w:p w14:paraId="7C63D5DD">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未设置</w:t>
                  </w:r>
                </w:p>
              </w:tc>
            </w:tr>
            <w:tr w14:paraId="1DA26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5EEC779E">
                  <w:pPr>
                    <w:autoSpaceDE w:val="0"/>
                    <w:autoSpaceDN w:val="0"/>
                    <w:adjustRightInd w:val="0"/>
                    <w:snapToGrid w:val="0"/>
                    <w:jc w:val="center"/>
                    <w:rPr>
                      <w:rFonts w:eastAsiaTheme="minorEastAsia"/>
                      <w:color w:val="auto"/>
                      <w:kern w:val="21"/>
                      <w:szCs w:val="21"/>
                    </w:rPr>
                  </w:pPr>
                  <w:r>
                    <w:rPr>
                      <w:rFonts w:hint="eastAsia" w:hAnsiTheme="minorEastAsia" w:eastAsiaTheme="minorEastAsia"/>
                      <w:color w:val="auto"/>
                      <w:kern w:val="21"/>
                      <w:szCs w:val="21"/>
                    </w:rPr>
                    <w:t>海洋</w:t>
                  </w:r>
                </w:p>
              </w:tc>
              <w:tc>
                <w:tcPr>
                  <w:tcW w:w="2552" w:type="dxa"/>
                  <w:vAlign w:val="center"/>
                </w:tcPr>
                <w:p w14:paraId="515EC154">
                  <w:pPr>
                    <w:autoSpaceDE w:val="0"/>
                    <w:autoSpaceDN w:val="0"/>
                    <w:adjustRightInd w:val="0"/>
                    <w:snapToGrid w:val="0"/>
                    <w:jc w:val="center"/>
                    <w:rPr>
                      <w:rFonts w:eastAsiaTheme="minorEastAsia"/>
                      <w:color w:val="auto"/>
                      <w:kern w:val="21"/>
                      <w:szCs w:val="21"/>
                    </w:rPr>
                  </w:pPr>
                  <w:r>
                    <w:rPr>
                      <w:rFonts w:hint="eastAsia" w:hAnsiTheme="minorEastAsia" w:eastAsiaTheme="minorEastAsia"/>
                      <w:color w:val="auto"/>
                      <w:kern w:val="21"/>
                      <w:szCs w:val="21"/>
                    </w:rPr>
                    <w:t>直接向海排放污染物的海洋工程建设项目</w:t>
                  </w:r>
                </w:p>
              </w:tc>
              <w:tc>
                <w:tcPr>
                  <w:tcW w:w="2052" w:type="dxa"/>
                  <w:vAlign w:val="center"/>
                </w:tcPr>
                <w:p w14:paraId="0C14E871">
                  <w:pPr>
                    <w:autoSpaceDE w:val="0"/>
                    <w:autoSpaceDN w:val="0"/>
                    <w:adjustRightInd w:val="0"/>
                    <w:snapToGrid w:val="0"/>
                    <w:jc w:val="center"/>
                    <w:rPr>
                      <w:rFonts w:eastAsiaTheme="minorEastAsia"/>
                      <w:color w:val="auto"/>
                      <w:kern w:val="21"/>
                      <w:szCs w:val="21"/>
                    </w:rPr>
                  </w:pPr>
                  <w:r>
                    <w:rPr>
                      <w:rFonts w:eastAsiaTheme="minorEastAsia"/>
                      <w:color w:val="auto"/>
                      <w:kern w:val="21"/>
                      <w:szCs w:val="21"/>
                    </w:rPr>
                    <w:t>本项目非海洋工程建设项目</w:t>
                  </w:r>
                </w:p>
              </w:tc>
              <w:tc>
                <w:tcPr>
                  <w:tcW w:w="1129" w:type="dxa"/>
                  <w:vAlign w:val="center"/>
                </w:tcPr>
                <w:p w14:paraId="6994B7A6">
                  <w:pPr>
                    <w:autoSpaceDE w:val="0"/>
                    <w:autoSpaceDN w:val="0"/>
                    <w:adjustRightInd w:val="0"/>
                    <w:snapToGrid w:val="0"/>
                    <w:jc w:val="center"/>
                    <w:rPr>
                      <w:rFonts w:hAnsiTheme="minorEastAsia" w:eastAsiaTheme="minorEastAsia"/>
                      <w:color w:val="auto"/>
                      <w:kern w:val="0"/>
                      <w:szCs w:val="21"/>
                    </w:rPr>
                  </w:pPr>
                  <w:r>
                    <w:rPr>
                      <w:rFonts w:hint="eastAsia" w:hAnsiTheme="minorEastAsia" w:eastAsiaTheme="minorEastAsia"/>
                      <w:color w:val="auto"/>
                      <w:kern w:val="0"/>
                      <w:szCs w:val="21"/>
                    </w:rPr>
                    <w:t>未设置</w:t>
                  </w:r>
                </w:p>
              </w:tc>
            </w:tr>
          </w:tbl>
          <w:p w14:paraId="3C14C99A">
            <w:pPr>
              <w:autoSpaceDE w:val="0"/>
              <w:autoSpaceDN w:val="0"/>
              <w:adjustRightInd w:val="0"/>
              <w:snapToGrid w:val="0"/>
              <w:jc w:val="center"/>
              <w:rPr>
                <w:color w:val="auto"/>
                <w:kern w:val="0"/>
                <w:sz w:val="24"/>
              </w:rPr>
            </w:pPr>
            <w:r>
              <w:rPr>
                <w:rFonts w:hint="default" w:ascii="Calibri" w:hAnsi="Calibri" w:eastAsia="宋体" w:cs="宋体"/>
                <w:bCs/>
                <w:color w:val="auto"/>
                <w:kern w:val="2"/>
                <w:sz w:val="21"/>
                <w:szCs w:val="21"/>
                <w:highlight w:val="none"/>
                <w:lang w:val="en-US" w:eastAsia="zh-CN" w:bidi="ar-SA"/>
              </w:rPr>
              <w:t>根据上表分析可知，本项目无需开展专项评价工作。</w:t>
            </w:r>
            <w:r>
              <w:rPr>
                <w:rFonts w:hint="eastAsia"/>
                <w:color w:val="auto"/>
                <w:kern w:val="0"/>
                <w:sz w:val="24"/>
              </w:rPr>
              <w:t xml:space="preserve">    </w:t>
            </w:r>
          </w:p>
        </w:tc>
      </w:tr>
      <w:tr w14:paraId="61E52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496" w:type="dxa"/>
            <w:vAlign w:val="center"/>
          </w:tcPr>
          <w:p w14:paraId="3559155C">
            <w:pPr>
              <w:autoSpaceDE w:val="0"/>
              <w:autoSpaceDN w:val="0"/>
              <w:adjustRightInd w:val="0"/>
              <w:snapToGrid w:val="0"/>
              <w:jc w:val="center"/>
              <w:rPr>
                <w:color w:val="auto"/>
                <w:kern w:val="0"/>
                <w:sz w:val="24"/>
              </w:rPr>
            </w:pPr>
            <w:r>
              <w:rPr>
                <w:color w:val="auto"/>
                <w:sz w:val="24"/>
              </w:rPr>
              <w:t>规划情况</w:t>
            </w:r>
          </w:p>
        </w:tc>
        <w:tc>
          <w:tcPr>
            <w:tcW w:w="6872" w:type="dxa"/>
            <w:gridSpan w:val="5"/>
            <w:vAlign w:val="center"/>
          </w:tcPr>
          <w:p w14:paraId="487DAF44">
            <w:pPr>
              <w:autoSpaceDE w:val="0"/>
              <w:autoSpaceDN w:val="0"/>
              <w:adjustRightInd w:val="0"/>
              <w:snapToGrid w:val="0"/>
              <w:jc w:val="center"/>
              <w:rPr>
                <w:rFonts w:eastAsiaTheme="minorEastAsia"/>
                <w:color w:val="auto"/>
                <w:kern w:val="0"/>
                <w:sz w:val="24"/>
                <w:shd w:val="clear" w:color="FFFFFF" w:fill="FFFFFF"/>
              </w:rPr>
            </w:pPr>
            <w:r>
              <w:rPr>
                <w:color w:val="auto"/>
                <w:kern w:val="0"/>
                <w:sz w:val="24"/>
              </w:rPr>
              <w:t>无</w:t>
            </w:r>
          </w:p>
        </w:tc>
      </w:tr>
      <w:tr w14:paraId="48E58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96" w:type="dxa"/>
            <w:vAlign w:val="center"/>
          </w:tcPr>
          <w:p w14:paraId="2D214075">
            <w:pPr>
              <w:adjustRightInd w:val="0"/>
              <w:snapToGrid w:val="0"/>
              <w:jc w:val="center"/>
              <w:rPr>
                <w:color w:val="auto"/>
                <w:sz w:val="24"/>
              </w:rPr>
            </w:pPr>
            <w:r>
              <w:rPr>
                <w:color w:val="auto"/>
                <w:sz w:val="24"/>
              </w:rPr>
              <w:t>规划环境影响</w:t>
            </w:r>
          </w:p>
          <w:p w14:paraId="05DECC7D">
            <w:pPr>
              <w:adjustRightInd w:val="0"/>
              <w:snapToGrid w:val="0"/>
              <w:jc w:val="center"/>
              <w:rPr>
                <w:color w:val="auto"/>
                <w:kern w:val="0"/>
                <w:sz w:val="24"/>
              </w:rPr>
            </w:pPr>
            <w:r>
              <w:rPr>
                <w:color w:val="auto"/>
                <w:sz w:val="24"/>
              </w:rPr>
              <w:t>评价情况</w:t>
            </w:r>
          </w:p>
        </w:tc>
        <w:tc>
          <w:tcPr>
            <w:tcW w:w="6872" w:type="dxa"/>
            <w:gridSpan w:val="5"/>
            <w:vAlign w:val="center"/>
          </w:tcPr>
          <w:p w14:paraId="653B7780">
            <w:pPr>
              <w:autoSpaceDE w:val="0"/>
              <w:autoSpaceDN w:val="0"/>
              <w:spacing w:line="360" w:lineRule="auto"/>
              <w:jc w:val="center"/>
              <w:rPr>
                <w:rFonts w:eastAsiaTheme="minorEastAsia"/>
                <w:color w:val="auto"/>
                <w:kern w:val="0"/>
                <w:sz w:val="24"/>
                <w:shd w:val="clear" w:color="FFFFFF" w:fill="FFFFFF"/>
              </w:rPr>
            </w:pPr>
            <w:r>
              <w:rPr>
                <w:color w:val="auto"/>
                <w:kern w:val="0"/>
                <w:sz w:val="24"/>
              </w:rPr>
              <w:t>无</w:t>
            </w:r>
          </w:p>
        </w:tc>
      </w:tr>
      <w:tr w14:paraId="7B5E8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496" w:type="dxa"/>
            <w:vAlign w:val="center"/>
          </w:tcPr>
          <w:p w14:paraId="6425CB98">
            <w:pPr>
              <w:autoSpaceDE w:val="0"/>
              <w:autoSpaceDN w:val="0"/>
              <w:adjustRightInd w:val="0"/>
              <w:snapToGrid w:val="0"/>
              <w:jc w:val="center"/>
              <w:rPr>
                <w:color w:val="auto"/>
                <w:kern w:val="0"/>
                <w:sz w:val="24"/>
              </w:rPr>
            </w:pPr>
            <w:r>
              <w:rPr>
                <w:color w:val="auto"/>
                <w:kern w:val="0"/>
                <w:sz w:val="24"/>
              </w:rPr>
              <w:t>规划及规划环境</w:t>
            </w:r>
          </w:p>
          <w:p w14:paraId="41127485">
            <w:pPr>
              <w:autoSpaceDE w:val="0"/>
              <w:autoSpaceDN w:val="0"/>
              <w:adjustRightInd w:val="0"/>
              <w:snapToGrid w:val="0"/>
              <w:jc w:val="center"/>
              <w:rPr>
                <w:color w:val="auto"/>
                <w:kern w:val="0"/>
                <w:sz w:val="24"/>
              </w:rPr>
            </w:pPr>
            <w:r>
              <w:rPr>
                <w:color w:val="auto"/>
                <w:kern w:val="0"/>
                <w:sz w:val="24"/>
              </w:rPr>
              <w:t>影响评价符合性分析</w:t>
            </w:r>
          </w:p>
        </w:tc>
        <w:tc>
          <w:tcPr>
            <w:tcW w:w="6872" w:type="dxa"/>
            <w:gridSpan w:val="5"/>
            <w:vAlign w:val="center"/>
          </w:tcPr>
          <w:p w14:paraId="76555D86">
            <w:pPr>
              <w:autoSpaceDE w:val="0"/>
              <w:autoSpaceDN w:val="0"/>
              <w:spacing w:line="360" w:lineRule="auto"/>
              <w:jc w:val="center"/>
              <w:rPr>
                <w:color w:val="auto"/>
                <w:kern w:val="0"/>
                <w:sz w:val="24"/>
              </w:rPr>
            </w:pPr>
            <w:r>
              <w:rPr>
                <w:color w:val="auto"/>
                <w:kern w:val="0"/>
                <w:sz w:val="24"/>
              </w:rPr>
              <w:t>无</w:t>
            </w:r>
          </w:p>
        </w:tc>
      </w:tr>
      <w:tr w14:paraId="6080F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96" w:type="dxa"/>
            <w:vAlign w:val="center"/>
          </w:tcPr>
          <w:p w14:paraId="45CF4046">
            <w:pPr>
              <w:autoSpaceDE w:val="0"/>
              <w:autoSpaceDN w:val="0"/>
              <w:adjustRightInd w:val="0"/>
              <w:snapToGrid w:val="0"/>
              <w:jc w:val="center"/>
              <w:rPr>
                <w:color w:val="auto"/>
                <w:kern w:val="0"/>
                <w:sz w:val="24"/>
              </w:rPr>
            </w:pPr>
            <w:r>
              <w:rPr>
                <w:color w:val="auto"/>
                <w:kern w:val="0"/>
                <w:sz w:val="24"/>
              </w:rPr>
              <w:t>其他符合性</w:t>
            </w:r>
          </w:p>
          <w:p w14:paraId="0101E272">
            <w:pPr>
              <w:autoSpaceDE w:val="0"/>
              <w:autoSpaceDN w:val="0"/>
              <w:adjustRightInd w:val="0"/>
              <w:snapToGrid w:val="0"/>
              <w:jc w:val="center"/>
              <w:rPr>
                <w:color w:val="auto"/>
                <w:kern w:val="0"/>
                <w:sz w:val="24"/>
              </w:rPr>
            </w:pPr>
            <w:r>
              <w:rPr>
                <w:color w:val="auto"/>
                <w:kern w:val="0"/>
                <w:sz w:val="24"/>
              </w:rPr>
              <w:t>分析</w:t>
            </w:r>
          </w:p>
        </w:tc>
        <w:tc>
          <w:tcPr>
            <w:tcW w:w="6872" w:type="dxa"/>
            <w:gridSpan w:val="5"/>
            <w:vAlign w:val="center"/>
          </w:tcPr>
          <w:p w14:paraId="4CC8D29D">
            <w:pPr>
              <w:spacing w:line="360" w:lineRule="auto"/>
              <w:ind w:firstLine="482" w:firstLineChars="200"/>
              <w:jc w:val="left"/>
              <w:rPr>
                <w:b/>
                <w:color w:val="auto"/>
                <w:kern w:val="0"/>
                <w:sz w:val="24"/>
                <w:szCs w:val="21"/>
              </w:rPr>
            </w:pPr>
            <w:r>
              <w:rPr>
                <w:b/>
                <w:color w:val="auto"/>
                <w:kern w:val="0"/>
                <w:sz w:val="24"/>
                <w:szCs w:val="21"/>
              </w:rPr>
              <w:t>1、与“三线一单”符合性分析</w:t>
            </w:r>
          </w:p>
          <w:p w14:paraId="5F984817">
            <w:pPr>
              <w:spacing w:line="360" w:lineRule="auto"/>
              <w:ind w:firstLine="480" w:firstLineChars="200"/>
              <w:contextualSpacing/>
              <w:jc w:val="left"/>
              <w:rPr>
                <w:color w:val="auto"/>
                <w:sz w:val="24"/>
                <w:szCs w:val="24"/>
              </w:rPr>
            </w:pPr>
            <w:r>
              <w:rPr>
                <w:rFonts w:hint="eastAsia" w:ascii="Calibri" w:hAnsi="Calibri" w:eastAsia="宋体" w:cs="宋体"/>
                <w:bCs/>
                <w:color w:val="auto"/>
                <w:sz w:val="24"/>
                <w:szCs w:val="24"/>
                <w:highlight w:val="none"/>
              </w:rPr>
              <w:t>根据</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黑龙江省生态环境分区管控文本（2023年版本）</w:t>
            </w:r>
            <w:r>
              <w:rPr>
                <w:rFonts w:hint="default" w:ascii="Times New Roman" w:hAnsi="Times New Roman" w:eastAsia="宋体" w:cs="Times New Roman"/>
                <w:bCs/>
                <w:color w:val="auto"/>
                <w:kern w:val="2"/>
                <w:sz w:val="24"/>
                <w:szCs w:val="24"/>
                <w:highlight w:val="none"/>
                <w:lang w:val="en-US" w:eastAsia="zh-CN" w:bidi="ar-SA"/>
              </w:rPr>
              <w:t>》（黑</w:t>
            </w:r>
            <w:r>
              <w:rPr>
                <w:rFonts w:hint="eastAsia" w:ascii="Times New Roman" w:hAnsi="Times New Roman" w:eastAsia="宋体" w:cs="Times New Roman"/>
                <w:bCs/>
                <w:color w:val="auto"/>
                <w:kern w:val="2"/>
                <w:sz w:val="24"/>
                <w:szCs w:val="24"/>
                <w:highlight w:val="none"/>
                <w:lang w:val="en-US" w:eastAsia="zh-CN" w:bidi="ar-SA"/>
              </w:rPr>
              <w:t>环</w:t>
            </w:r>
            <w:r>
              <w:rPr>
                <w:rFonts w:hint="default" w:ascii="Times New Roman" w:hAnsi="Times New Roman" w:eastAsia="宋体" w:cs="Times New Roman"/>
                <w:bCs/>
                <w:color w:val="auto"/>
                <w:kern w:val="2"/>
                <w:sz w:val="24"/>
                <w:szCs w:val="24"/>
                <w:highlight w:val="none"/>
                <w:lang w:val="en-US" w:eastAsia="zh-CN" w:bidi="ar-SA"/>
              </w:rPr>
              <w:t>发〔</w:t>
            </w:r>
            <w:r>
              <w:rPr>
                <w:rFonts w:hint="eastAsia" w:ascii="Times New Roman" w:hAnsi="Times New Roman" w:eastAsia="宋体" w:cs="Times New Roman"/>
                <w:bCs/>
                <w:color w:val="auto"/>
                <w:kern w:val="2"/>
                <w:sz w:val="24"/>
                <w:szCs w:val="24"/>
                <w:highlight w:val="none"/>
                <w:lang w:val="en-US" w:eastAsia="zh-CN" w:bidi="ar-SA"/>
              </w:rPr>
              <w:t>2024</w:t>
            </w:r>
            <w:r>
              <w:rPr>
                <w:rFonts w:hint="default" w:ascii="Times New Roman" w:hAnsi="Times New Roman" w:eastAsia="宋体" w:cs="Times New Roman"/>
                <w:bCs/>
                <w:color w:val="auto"/>
                <w:kern w:val="2"/>
                <w:sz w:val="24"/>
                <w:szCs w:val="24"/>
                <w:highlight w:val="none"/>
                <w:lang w:val="en-US" w:eastAsia="zh-CN" w:bidi="ar-SA"/>
              </w:rPr>
              <w:t>〕1号）</w:t>
            </w:r>
            <w:r>
              <w:rPr>
                <w:rFonts w:hint="eastAsia" w:ascii="Times New Roman" w:hAnsi="Times New Roman" w:eastAsia="宋体" w:cs="Times New Roman"/>
                <w:bCs/>
                <w:color w:val="auto"/>
                <w:kern w:val="2"/>
                <w:sz w:val="24"/>
                <w:szCs w:val="24"/>
                <w:highlight w:val="none"/>
                <w:lang w:val="en-US" w:eastAsia="zh-CN" w:bidi="ar-SA"/>
              </w:rPr>
              <w:t>和《伊春市人民政府关于实施“三线一单”生态环境分区管控的意见》（伊政规〔2022〕5号）</w:t>
            </w:r>
            <w:r>
              <w:rPr>
                <w:rFonts w:hint="eastAsia" w:ascii="Calibri" w:hAnsi="Calibri" w:eastAsia="宋体" w:cs="宋体"/>
                <w:bCs/>
                <w:color w:val="auto"/>
                <w:sz w:val="24"/>
                <w:szCs w:val="24"/>
                <w:highlight w:val="none"/>
              </w:rPr>
              <w:t>，</w:t>
            </w:r>
            <w:r>
              <w:rPr>
                <w:rFonts w:hint="eastAsia" w:ascii="Calibri" w:hAnsi="Calibri" w:eastAsia="宋体" w:cs="宋体"/>
                <w:bCs/>
                <w:color w:val="auto"/>
                <w:sz w:val="24"/>
                <w:szCs w:val="24"/>
                <w:highlight w:val="none"/>
                <w:lang w:val="zh-CN" w:eastAsia="zh-CN"/>
              </w:rPr>
              <w:t>本项目与“三线一单”符合性情况如下：</w:t>
            </w:r>
          </w:p>
          <w:p w14:paraId="3332E439">
            <w:pPr>
              <w:widowControl/>
              <w:spacing w:line="360" w:lineRule="auto"/>
              <w:ind w:firstLine="482" w:firstLineChars="200"/>
              <w:jc w:val="left"/>
              <w:rPr>
                <w:b/>
                <w:color w:val="auto"/>
                <w:sz w:val="24"/>
              </w:rPr>
            </w:pPr>
            <w:r>
              <w:rPr>
                <w:b/>
                <w:color w:val="auto"/>
                <w:sz w:val="24"/>
              </w:rPr>
              <w:t>（1）生态保护红线符合性分析</w:t>
            </w:r>
          </w:p>
          <w:p w14:paraId="1A78A12C">
            <w:pPr>
              <w:widowControl/>
              <w:spacing w:line="360" w:lineRule="auto"/>
              <w:ind w:firstLine="480" w:firstLineChars="200"/>
              <w:rPr>
                <w:rFonts w:hAnsiTheme="minorEastAsia" w:eastAsiaTheme="minorEastAsia"/>
                <w:color w:val="auto"/>
                <w:kern w:val="0"/>
                <w:sz w:val="24"/>
                <w:szCs w:val="21"/>
              </w:rPr>
            </w:pPr>
            <w:r>
              <w:rPr>
                <w:color w:val="auto"/>
                <w:sz w:val="24"/>
              </w:rPr>
              <w:t>本项目位于黑龙江省</w:t>
            </w:r>
            <w:r>
              <w:rPr>
                <w:rFonts w:hint="eastAsia"/>
                <w:color w:val="auto"/>
                <w:sz w:val="24"/>
                <w:szCs w:val="24"/>
                <w:lang w:val="en-US" w:eastAsia="zh-CN"/>
              </w:rPr>
              <w:t>伊春市伊美区伊东林场</w:t>
            </w:r>
            <w:r>
              <w:rPr>
                <w:bCs/>
                <w:color w:val="auto"/>
                <w:sz w:val="24"/>
              </w:rPr>
              <w:t>，</w:t>
            </w:r>
            <w:r>
              <w:rPr>
                <w:rFonts w:hAnsiTheme="minorEastAsia" w:eastAsiaTheme="minorEastAsia"/>
                <w:color w:val="auto"/>
                <w:kern w:val="0"/>
                <w:sz w:val="24"/>
                <w:szCs w:val="21"/>
              </w:rPr>
              <w:t>不在《黑龙江省生态保护红线划定方案》（上报稿）划定的生态保护红线范围内。符合“生态保护红线”要求。</w:t>
            </w:r>
          </w:p>
          <w:p w14:paraId="27FE7016">
            <w:pPr>
              <w:widowControl/>
              <w:spacing w:line="360" w:lineRule="auto"/>
              <w:ind w:firstLine="482" w:firstLineChars="200"/>
              <w:rPr>
                <w:b/>
                <w:color w:val="auto"/>
                <w:sz w:val="24"/>
              </w:rPr>
            </w:pPr>
            <w:r>
              <w:rPr>
                <w:b/>
                <w:color w:val="auto"/>
                <w:sz w:val="24"/>
              </w:rPr>
              <w:t>（2）环境质量底线符合性分析</w:t>
            </w:r>
          </w:p>
          <w:p w14:paraId="2F9AFD55">
            <w:pPr>
              <w:widowControl/>
              <w:spacing w:line="360" w:lineRule="auto"/>
              <w:ind w:firstLine="480" w:firstLineChars="200"/>
              <w:rPr>
                <w:color w:val="auto"/>
                <w:sz w:val="24"/>
                <w:szCs w:val="24"/>
              </w:rPr>
            </w:pPr>
            <w:r>
              <w:rPr>
                <w:rFonts w:hint="eastAsia" w:ascii="Times New Roman" w:hAnsi="Times New Roman" w:eastAsia="宋体" w:cs="Times New Roman"/>
                <w:bCs/>
                <w:color w:val="auto"/>
                <w:kern w:val="2"/>
                <w:sz w:val="24"/>
                <w:szCs w:val="24"/>
                <w:highlight w:val="none"/>
                <w:lang w:val="en-US" w:eastAsia="zh-CN" w:bidi="ar-SA"/>
              </w:rPr>
              <w:t>本项目所在区域大气环境执行《环境空气质量标准》（GB3095-2012）及修改单中的二级标准，项目区域声环境、水环境现状质量符合环境功能区划（即环境质量目标）要求。本项目运营后会产生一定的污染物，如废气、固废、噪声等，但在采取相应的污染防治措施后，各类污染物均可达标排放，不会对周边环境造成不良影响，不会降低区域环境质量</w:t>
            </w:r>
            <w:r>
              <w:rPr>
                <w:color w:val="auto"/>
                <w:kern w:val="0"/>
                <w:sz w:val="24"/>
                <w:szCs w:val="24"/>
              </w:rPr>
              <w:t>。</w:t>
            </w:r>
          </w:p>
          <w:p w14:paraId="5EC876ED">
            <w:pPr>
              <w:widowControl/>
              <w:spacing w:line="360" w:lineRule="auto"/>
              <w:ind w:firstLine="482" w:firstLineChars="200"/>
              <w:rPr>
                <w:b/>
                <w:color w:val="auto"/>
                <w:sz w:val="24"/>
              </w:rPr>
            </w:pPr>
            <w:r>
              <w:rPr>
                <w:b/>
                <w:color w:val="auto"/>
                <w:sz w:val="24"/>
              </w:rPr>
              <w:t>（3）资源利用上线符合性分析</w:t>
            </w:r>
          </w:p>
          <w:p w14:paraId="53675858">
            <w:pPr>
              <w:widowControl/>
              <w:spacing w:line="360" w:lineRule="auto"/>
              <w:ind w:firstLine="480" w:firstLineChars="200"/>
              <w:rPr>
                <w:color w:val="auto"/>
                <w:sz w:val="24"/>
              </w:rPr>
            </w:pPr>
            <w:r>
              <w:rPr>
                <w:rFonts w:hint="eastAsia" w:ascii="宋体" w:hAnsi="宋体"/>
                <w:color w:val="auto"/>
                <w:sz w:val="24"/>
              </w:rPr>
              <w:t>本项目用水采用厂区自打井，不属于高水耗，高能耗行业</w:t>
            </w:r>
            <w:r>
              <w:rPr>
                <w:rFonts w:hint="eastAsia"/>
                <w:color w:val="auto"/>
                <w:sz w:val="24"/>
              </w:rPr>
              <w:t>。</w:t>
            </w:r>
            <w:r>
              <w:rPr>
                <w:color w:val="auto"/>
                <w:sz w:val="24"/>
              </w:rPr>
              <w:t>生产不用水，仅生活用水，</w:t>
            </w:r>
            <w:r>
              <w:rPr>
                <w:rFonts w:hint="eastAsia" w:ascii="宋体" w:hAnsi="宋体"/>
                <w:color w:val="auto"/>
                <w:sz w:val="24"/>
              </w:rPr>
              <w:t>提高用水效率，</w:t>
            </w:r>
            <w:r>
              <w:rPr>
                <w:rFonts w:hint="eastAsia"/>
                <w:color w:val="auto"/>
                <w:sz w:val="24"/>
              </w:rPr>
              <w:t>且制定节水方案，</w:t>
            </w:r>
            <w:r>
              <w:rPr>
                <w:rFonts w:hint="eastAsia" w:ascii="宋体" w:hAnsi="宋体"/>
                <w:color w:val="auto"/>
                <w:sz w:val="24"/>
              </w:rPr>
              <w:t>减少对水资源的消耗</w:t>
            </w:r>
            <w:r>
              <w:rPr>
                <w:rFonts w:hint="eastAsia"/>
                <w:color w:val="auto"/>
                <w:sz w:val="24"/>
              </w:rPr>
              <w:t>。本项目选址土地为</w:t>
            </w:r>
            <w:r>
              <w:rPr>
                <w:rFonts w:hint="eastAsia"/>
                <w:color w:val="auto"/>
                <w:sz w:val="24"/>
                <w:lang w:val="en-US" w:eastAsia="zh-CN"/>
              </w:rPr>
              <w:t>临时</w:t>
            </w:r>
            <w:r>
              <w:rPr>
                <w:rFonts w:hint="eastAsia"/>
                <w:color w:val="auto"/>
                <w:sz w:val="24"/>
              </w:rPr>
              <w:t>用地，不占用基本农田。综上，本项目符合</w:t>
            </w:r>
            <w:r>
              <w:rPr>
                <w:rFonts w:hint="eastAsia"/>
                <w:color w:val="auto"/>
                <w:sz w:val="24"/>
                <w:lang w:val="en-US" w:eastAsia="zh-CN"/>
              </w:rPr>
              <w:t>伊春</w:t>
            </w:r>
            <w:r>
              <w:rPr>
                <w:rFonts w:hint="eastAsia"/>
                <w:color w:val="auto"/>
                <w:sz w:val="24"/>
              </w:rPr>
              <w:t>市能源、水资源、土地资源等资源利用上线要求。</w:t>
            </w:r>
          </w:p>
          <w:p w14:paraId="55F1FD1E">
            <w:pPr>
              <w:widowControl/>
              <w:spacing w:line="360" w:lineRule="auto"/>
              <w:ind w:firstLine="482" w:firstLineChars="200"/>
              <w:rPr>
                <w:b/>
                <w:color w:val="auto"/>
                <w:sz w:val="24"/>
              </w:rPr>
            </w:pPr>
            <w:r>
              <w:rPr>
                <w:b/>
                <w:color w:val="auto"/>
                <w:sz w:val="24"/>
              </w:rPr>
              <w:t>（4）环境准入清单符合性分析</w:t>
            </w:r>
          </w:p>
          <w:p w14:paraId="09EFFED8">
            <w:pPr>
              <w:widowControl/>
              <w:spacing w:line="360" w:lineRule="auto"/>
              <w:ind w:firstLine="480" w:firstLineChars="200"/>
              <w:rPr>
                <w:rFonts w:hAnsiTheme="minorEastAsia" w:eastAsiaTheme="minorEastAsia"/>
                <w:color w:val="auto"/>
                <w:sz w:val="24"/>
              </w:rPr>
            </w:pPr>
            <w:r>
              <w:rPr>
                <w:color w:val="auto"/>
                <w:sz w:val="24"/>
              </w:rPr>
              <w:t>本项目位于黑龙江省</w:t>
            </w:r>
            <w:r>
              <w:rPr>
                <w:rFonts w:hint="eastAsia"/>
                <w:color w:val="auto"/>
                <w:sz w:val="24"/>
                <w:szCs w:val="24"/>
                <w:lang w:val="en-US" w:eastAsia="zh-CN"/>
              </w:rPr>
              <w:t>伊春市伊美区伊东林场</w:t>
            </w:r>
            <w:r>
              <w:rPr>
                <w:bCs/>
                <w:color w:val="auto"/>
                <w:sz w:val="24"/>
              </w:rPr>
              <w:t>，</w:t>
            </w:r>
            <w:r>
              <w:rPr>
                <w:rFonts w:hint="eastAsia"/>
                <w:color w:val="auto"/>
                <w:sz w:val="24"/>
              </w:rPr>
              <w:t>本项目所处区域位于</w:t>
            </w:r>
            <w:r>
              <w:rPr>
                <w:rFonts w:hint="eastAsia"/>
                <w:color w:val="auto"/>
                <w:sz w:val="24"/>
                <w:highlight w:val="none"/>
                <w:lang w:val="en-US" w:eastAsia="zh-CN"/>
              </w:rPr>
              <w:t>重点</w:t>
            </w:r>
            <w:r>
              <w:rPr>
                <w:rFonts w:hint="eastAsia"/>
                <w:color w:val="auto"/>
                <w:sz w:val="24"/>
                <w:highlight w:val="none"/>
              </w:rPr>
              <w:t>管控单元</w:t>
            </w:r>
            <w:r>
              <w:rPr>
                <w:rFonts w:hint="eastAsia"/>
                <w:color w:val="auto"/>
                <w:sz w:val="24"/>
              </w:rPr>
              <w:t>内，</w:t>
            </w:r>
            <w:r>
              <w:rPr>
                <w:rFonts w:hAnsiTheme="minorEastAsia" w:eastAsiaTheme="minorEastAsia"/>
                <w:color w:val="auto"/>
                <w:sz w:val="24"/>
              </w:rPr>
              <w:t>根据《</w:t>
            </w:r>
            <w:r>
              <w:rPr>
                <w:rFonts w:hint="eastAsia" w:hAnsiTheme="minorEastAsia" w:eastAsiaTheme="minorEastAsia"/>
                <w:color w:val="auto"/>
                <w:sz w:val="24"/>
                <w:lang w:val="en-US" w:eastAsia="zh-CN"/>
              </w:rPr>
              <w:t>伊春</w:t>
            </w:r>
            <w:r>
              <w:rPr>
                <w:rFonts w:hAnsiTheme="minorEastAsia" w:eastAsiaTheme="minorEastAsia"/>
                <w:color w:val="auto"/>
                <w:sz w:val="24"/>
              </w:rPr>
              <w:t>市生态环境准入清单》</w:t>
            </w:r>
            <w:r>
              <w:rPr>
                <w:rFonts w:hint="eastAsia" w:hAnsiTheme="minorEastAsia" w:eastAsiaTheme="minorEastAsia"/>
                <w:color w:val="auto"/>
                <w:sz w:val="24"/>
              </w:rPr>
              <w:t>（2023年版）</w:t>
            </w:r>
            <w:r>
              <w:rPr>
                <w:rFonts w:hAnsiTheme="minorEastAsia" w:eastAsiaTheme="minorEastAsia"/>
                <w:color w:val="auto"/>
                <w:sz w:val="24"/>
              </w:rPr>
              <w:t>，具体管控要求及符合性分析见下表。</w:t>
            </w:r>
          </w:p>
          <w:p w14:paraId="2B6FB38D">
            <w:pPr>
              <w:autoSpaceDE w:val="0"/>
              <w:autoSpaceDN w:val="0"/>
              <w:contextualSpacing/>
              <w:jc w:val="center"/>
              <w:rPr>
                <w:b/>
                <w:color w:val="auto"/>
                <w:sz w:val="24"/>
              </w:rPr>
            </w:pPr>
            <w:r>
              <w:rPr>
                <w:b/>
                <w:color w:val="auto"/>
                <w:sz w:val="24"/>
              </w:rPr>
              <w:t>表1-</w:t>
            </w:r>
            <w:r>
              <w:rPr>
                <w:rFonts w:hint="eastAsia"/>
                <w:b/>
                <w:color w:val="auto"/>
                <w:sz w:val="24"/>
              </w:rPr>
              <w:t>2</w:t>
            </w:r>
            <w:r>
              <w:rPr>
                <w:b/>
                <w:color w:val="auto"/>
                <w:sz w:val="24"/>
              </w:rPr>
              <w:t xml:space="preserve"> 生态环境准入清单管控要求符合性分析</w:t>
            </w:r>
          </w:p>
          <w:tbl>
            <w:tblPr>
              <w:tblStyle w:val="27"/>
              <w:tblW w:w="6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77"/>
              <w:gridCol w:w="404"/>
              <w:gridCol w:w="437"/>
              <w:gridCol w:w="3008"/>
              <w:gridCol w:w="1461"/>
            </w:tblGrid>
            <w:tr w14:paraId="30EB3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tcBorders>
                    <w:top w:val="single" w:color="auto" w:sz="12" w:space="0"/>
                    <w:left w:val="nil"/>
                    <w:bottom w:val="single" w:color="auto" w:sz="4" w:space="0"/>
                    <w:right w:val="single" w:color="auto" w:sz="4" w:space="0"/>
                  </w:tcBorders>
                  <w:noWrap/>
                  <w:vAlign w:val="center"/>
                </w:tcPr>
                <w:p w14:paraId="6721E7E7">
                  <w:pPr>
                    <w:jc w:val="center"/>
                    <w:rPr>
                      <w:rFonts w:ascii="宋体" w:hAnsi="宋体"/>
                      <w:color w:val="auto"/>
                      <w:szCs w:val="21"/>
                    </w:rPr>
                  </w:pPr>
                  <w:r>
                    <w:rPr>
                      <w:rFonts w:hint="eastAsia" w:ascii="宋体" w:hAnsi="宋体"/>
                      <w:color w:val="auto"/>
                    </w:rPr>
                    <w:t>环境管控单元编码</w:t>
                  </w:r>
                </w:p>
              </w:tc>
              <w:tc>
                <w:tcPr>
                  <w:tcW w:w="377" w:type="dxa"/>
                  <w:tcBorders>
                    <w:top w:val="single" w:color="auto" w:sz="12" w:space="0"/>
                    <w:left w:val="single" w:color="auto" w:sz="4" w:space="0"/>
                    <w:bottom w:val="single" w:color="auto" w:sz="4" w:space="0"/>
                    <w:right w:val="single" w:color="auto" w:sz="4" w:space="0"/>
                  </w:tcBorders>
                  <w:noWrap/>
                  <w:vAlign w:val="center"/>
                </w:tcPr>
                <w:p w14:paraId="7DBD21AA">
                  <w:pPr>
                    <w:jc w:val="center"/>
                    <w:rPr>
                      <w:rFonts w:ascii="宋体" w:hAnsi="宋体"/>
                      <w:color w:val="auto"/>
                      <w:szCs w:val="21"/>
                    </w:rPr>
                  </w:pPr>
                  <w:r>
                    <w:rPr>
                      <w:rFonts w:hint="eastAsia" w:ascii="宋体" w:hAnsi="宋体"/>
                      <w:color w:val="auto"/>
                    </w:rPr>
                    <w:t>环境管控单元名称</w:t>
                  </w:r>
                </w:p>
              </w:tc>
              <w:tc>
                <w:tcPr>
                  <w:tcW w:w="404" w:type="dxa"/>
                  <w:tcBorders>
                    <w:top w:val="single" w:color="auto" w:sz="12" w:space="0"/>
                    <w:left w:val="single" w:color="auto" w:sz="4" w:space="0"/>
                    <w:bottom w:val="single" w:color="auto" w:sz="4" w:space="0"/>
                    <w:right w:val="single" w:color="auto" w:sz="4" w:space="0"/>
                  </w:tcBorders>
                  <w:noWrap/>
                  <w:vAlign w:val="center"/>
                </w:tcPr>
                <w:p w14:paraId="5A630FF5">
                  <w:pPr>
                    <w:jc w:val="center"/>
                    <w:rPr>
                      <w:rFonts w:ascii="宋体" w:hAnsi="宋体"/>
                      <w:color w:val="auto"/>
                      <w:szCs w:val="21"/>
                    </w:rPr>
                  </w:pPr>
                  <w:r>
                    <w:rPr>
                      <w:rFonts w:hint="eastAsia" w:ascii="宋体" w:hAnsi="宋体"/>
                      <w:color w:val="auto"/>
                    </w:rPr>
                    <w:t>管控单元类别</w:t>
                  </w:r>
                </w:p>
              </w:tc>
              <w:tc>
                <w:tcPr>
                  <w:tcW w:w="3445" w:type="dxa"/>
                  <w:gridSpan w:val="2"/>
                  <w:tcBorders>
                    <w:top w:val="single" w:color="auto" w:sz="12" w:space="0"/>
                    <w:left w:val="single" w:color="auto" w:sz="4" w:space="0"/>
                    <w:bottom w:val="single" w:color="auto" w:sz="4" w:space="0"/>
                    <w:right w:val="single" w:color="auto" w:sz="4" w:space="0"/>
                  </w:tcBorders>
                  <w:noWrap/>
                  <w:vAlign w:val="center"/>
                </w:tcPr>
                <w:p w14:paraId="6B78C022">
                  <w:pPr>
                    <w:jc w:val="center"/>
                    <w:rPr>
                      <w:rFonts w:ascii="宋体" w:hAnsi="宋体"/>
                      <w:color w:val="auto"/>
                      <w:szCs w:val="21"/>
                    </w:rPr>
                  </w:pPr>
                  <w:r>
                    <w:rPr>
                      <w:rFonts w:hint="eastAsia" w:ascii="宋体" w:hAnsi="宋体"/>
                      <w:color w:val="auto"/>
                      <w:kern w:val="0"/>
                    </w:rPr>
                    <w:t>管控要求</w:t>
                  </w:r>
                </w:p>
              </w:tc>
              <w:tc>
                <w:tcPr>
                  <w:tcW w:w="1461" w:type="dxa"/>
                  <w:tcBorders>
                    <w:top w:val="single" w:color="auto" w:sz="12" w:space="0"/>
                    <w:left w:val="single" w:color="auto" w:sz="4" w:space="0"/>
                    <w:bottom w:val="single" w:color="auto" w:sz="4" w:space="0"/>
                    <w:right w:val="nil"/>
                  </w:tcBorders>
                  <w:noWrap/>
                  <w:vAlign w:val="center"/>
                </w:tcPr>
                <w:p w14:paraId="1E4E533B">
                  <w:pPr>
                    <w:jc w:val="center"/>
                    <w:rPr>
                      <w:rFonts w:ascii="宋体" w:hAnsi="宋体"/>
                      <w:color w:val="auto"/>
                      <w:szCs w:val="21"/>
                    </w:rPr>
                  </w:pPr>
                  <w:r>
                    <w:rPr>
                      <w:rFonts w:hint="eastAsia" w:ascii="宋体" w:hAnsi="宋体"/>
                      <w:color w:val="auto"/>
                    </w:rPr>
                    <w:t>符合性分析</w:t>
                  </w:r>
                </w:p>
              </w:tc>
            </w:tr>
            <w:tr w14:paraId="15BB7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op w:val="single" w:color="auto" w:sz="4" w:space="0"/>
                    <w:left w:val="nil"/>
                    <w:right w:val="single" w:color="auto" w:sz="4" w:space="0"/>
                  </w:tcBorders>
                  <w:noWrap/>
                  <w:vAlign w:val="center"/>
                </w:tcPr>
                <w:p w14:paraId="1443E40E">
                  <w:pPr>
                    <w:pStyle w:val="78"/>
                    <w:ind w:hanging="87"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ZH23071720002</w:t>
                  </w:r>
                </w:p>
              </w:tc>
              <w:tc>
                <w:tcPr>
                  <w:tcW w:w="377" w:type="dxa"/>
                  <w:vMerge w:val="restart"/>
                  <w:tcBorders>
                    <w:top w:val="single" w:color="auto" w:sz="4" w:space="0"/>
                    <w:left w:val="single" w:color="auto" w:sz="4" w:space="0"/>
                    <w:right w:val="single" w:color="auto" w:sz="4" w:space="0"/>
                  </w:tcBorders>
                  <w:noWrap/>
                  <w:vAlign w:val="center"/>
                </w:tcPr>
                <w:p w14:paraId="07F0D2EA">
                  <w:pPr>
                    <w:pStyle w:val="78"/>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伊美区大气环境布局敏感重点管控区</w:t>
                  </w:r>
                </w:p>
              </w:tc>
              <w:tc>
                <w:tcPr>
                  <w:tcW w:w="404" w:type="dxa"/>
                  <w:vMerge w:val="restart"/>
                  <w:tcBorders>
                    <w:top w:val="single" w:color="auto" w:sz="4" w:space="0"/>
                    <w:left w:val="single" w:color="auto" w:sz="4" w:space="0"/>
                    <w:right w:val="single" w:color="auto" w:sz="4" w:space="0"/>
                  </w:tcBorders>
                  <w:noWrap/>
                  <w:vAlign w:val="center"/>
                </w:tcPr>
                <w:p w14:paraId="1AF5D7B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重点管控单元</w:t>
                  </w:r>
                </w:p>
              </w:tc>
              <w:tc>
                <w:tcPr>
                  <w:tcW w:w="437" w:type="dxa"/>
                  <w:tcBorders>
                    <w:top w:val="single" w:color="auto" w:sz="4" w:space="0"/>
                    <w:left w:val="single" w:color="auto" w:sz="4" w:space="0"/>
                    <w:bottom w:val="single" w:color="auto" w:sz="4" w:space="0"/>
                    <w:right w:val="single" w:color="auto" w:sz="4" w:space="0"/>
                  </w:tcBorders>
                  <w:noWrap/>
                  <w:vAlign w:val="center"/>
                </w:tcPr>
                <w:p w14:paraId="38766C27">
                  <w:pPr>
                    <w:pStyle w:val="78"/>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空间布局约束</w:t>
                  </w:r>
                </w:p>
              </w:tc>
              <w:tc>
                <w:tcPr>
                  <w:tcW w:w="3008" w:type="dxa"/>
                  <w:tcBorders>
                    <w:top w:val="single" w:color="auto" w:sz="4" w:space="0"/>
                    <w:left w:val="single" w:color="auto" w:sz="4" w:space="0"/>
                    <w:bottom w:val="single" w:color="auto" w:sz="4" w:space="0"/>
                    <w:right w:val="single" w:color="auto" w:sz="4" w:space="0"/>
                  </w:tcBorders>
                  <w:noWrap/>
                  <w:vAlign w:val="center"/>
                </w:tcPr>
                <w:p w14:paraId="7785CE71">
                  <w:pPr>
                    <w:pStyle w:val="78"/>
                    <w:ind w:right="105" w:rightChars="50"/>
                    <w:jc w:val="left"/>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1.严控“两高”行业产能。严格执行钢铁、水泥、平板玻璃等行业产能置换实施办法。</w:t>
                  </w:r>
                </w:p>
                <w:p w14:paraId="7791BFBC">
                  <w:pPr>
                    <w:pStyle w:val="78"/>
                    <w:ind w:right="105" w:rightChars="50"/>
                    <w:jc w:val="left"/>
                    <w:rPr>
                      <w:rFonts w:hint="default" w:ascii="Times New Roman" w:hAnsi="Times New Roman" w:eastAsia="宋体" w:cs="Times New Roman"/>
                      <w:color w:val="auto"/>
                      <w:spacing w:val="-3"/>
                      <w:kern w:val="0"/>
                    </w:rPr>
                  </w:pPr>
                  <w:r>
                    <w:rPr>
                      <w:rFonts w:hint="default" w:ascii="Times New Roman" w:hAnsi="Times New Roman" w:eastAsia="宋体" w:cs="Times New Roman"/>
                      <w:color w:val="auto"/>
                      <w:sz w:val="21"/>
                      <w:szCs w:val="21"/>
                      <w:highlight w:val="none"/>
                      <w:lang w:val="en-US"/>
                    </w:rPr>
                    <w:t>2.利用水泥窑协同处置城市生活垃圾、危险废弃物、电石渣等固废伴生水泥项目，必须依托现有新型干法水泥熟料生产线进行不扩产能改造。</w:t>
                  </w:r>
                </w:p>
              </w:tc>
              <w:tc>
                <w:tcPr>
                  <w:tcW w:w="1461" w:type="dxa"/>
                  <w:vMerge w:val="restart"/>
                  <w:tcBorders>
                    <w:top w:val="single" w:color="auto" w:sz="4" w:space="0"/>
                    <w:left w:val="single" w:color="auto" w:sz="4" w:space="0"/>
                    <w:right w:val="nil"/>
                  </w:tcBorders>
                  <w:noWrap/>
                  <w:vAlign w:val="center"/>
                </w:tcPr>
                <w:p w14:paraId="6F71AF1B">
                  <w:pPr>
                    <w:rPr>
                      <w:rFonts w:ascii="宋体" w:hAnsi="宋体"/>
                      <w:color w:val="auto"/>
                      <w:kern w:val="0"/>
                      <w:szCs w:val="21"/>
                    </w:rPr>
                  </w:pPr>
                  <w:r>
                    <w:rPr>
                      <w:rFonts w:hint="eastAsia" w:ascii="宋体" w:hAnsi="宋体"/>
                      <w:color w:val="auto"/>
                      <w:kern w:val="0"/>
                    </w:rPr>
                    <w:t>本项目污染物排放均满足相应标准，本项目属于</w:t>
                  </w:r>
                  <w:r>
                    <w:rPr>
                      <w:rFonts w:ascii="宋体" w:hAnsi="宋体"/>
                      <w:color w:val="auto"/>
                      <w:kern w:val="0"/>
                    </w:rPr>
                    <w:t>沥青混凝土加工</w:t>
                  </w:r>
                  <w:r>
                    <w:rPr>
                      <w:rFonts w:hint="eastAsia" w:ascii="宋体" w:hAnsi="宋体"/>
                      <w:color w:val="auto"/>
                      <w:kern w:val="0"/>
                    </w:rPr>
                    <w:t>项目，</w:t>
                  </w:r>
                  <w:r>
                    <w:rPr>
                      <w:rFonts w:hAnsi="宋体"/>
                      <w:color w:val="auto"/>
                      <w:kern w:val="0"/>
                    </w:rPr>
                    <w:t>不涉及生产、使用淘汰类产品和产能，</w:t>
                  </w:r>
                  <w:r>
                    <w:rPr>
                      <w:rFonts w:hint="eastAsia" w:ascii="宋体" w:hAnsi="宋体"/>
                      <w:color w:val="auto"/>
                      <w:kern w:val="0"/>
                    </w:rPr>
                    <w:t>符合</w:t>
                  </w:r>
                  <w:r>
                    <w:rPr>
                      <w:rFonts w:hint="eastAsia" w:ascii="宋体" w:hAnsi="宋体"/>
                      <w:color w:val="auto"/>
                      <w:kern w:val="0"/>
                      <w:lang w:val="en-US" w:eastAsia="zh-CN"/>
                    </w:rPr>
                    <w:t>管控</w:t>
                  </w:r>
                  <w:r>
                    <w:rPr>
                      <w:rFonts w:hint="eastAsia" w:ascii="宋体" w:hAnsi="宋体"/>
                      <w:color w:val="auto"/>
                      <w:kern w:val="0"/>
                    </w:rPr>
                    <w:t>要求。</w:t>
                  </w:r>
                </w:p>
              </w:tc>
            </w:tr>
            <w:tr w14:paraId="3B64B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left w:val="nil"/>
                    <w:right w:val="single" w:color="auto" w:sz="4" w:space="0"/>
                  </w:tcBorders>
                  <w:noWrap/>
                  <w:vAlign w:val="center"/>
                </w:tcPr>
                <w:p w14:paraId="743FF153">
                  <w:pPr>
                    <w:pStyle w:val="78"/>
                    <w:ind w:hanging="87" w:firstLineChars="0"/>
                    <w:rPr>
                      <w:rFonts w:hint="default" w:ascii="Times New Roman" w:hAnsi="Times New Roman" w:eastAsia="宋体" w:cs="Times New Roman"/>
                      <w:color w:val="auto"/>
                      <w:sz w:val="21"/>
                      <w:szCs w:val="21"/>
                      <w:highlight w:val="none"/>
                    </w:rPr>
                  </w:pPr>
                </w:p>
              </w:tc>
              <w:tc>
                <w:tcPr>
                  <w:tcW w:w="377" w:type="dxa"/>
                  <w:vMerge w:val="continue"/>
                  <w:tcBorders>
                    <w:left w:val="single" w:color="auto" w:sz="4" w:space="0"/>
                    <w:right w:val="single" w:color="auto" w:sz="4" w:space="0"/>
                  </w:tcBorders>
                  <w:noWrap/>
                  <w:vAlign w:val="center"/>
                </w:tcPr>
                <w:p w14:paraId="292DA3E6">
                  <w:pPr>
                    <w:pStyle w:val="78"/>
                    <w:rPr>
                      <w:rFonts w:hint="default" w:ascii="Times New Roman" w:hAnsi="Times New Roman" w:eastAsia="宋体" w:cs="Times New Roman"/>
                      <w:color w:val="auto"/>
                      <w:sz w:val="21"/>
                      <w:szCs w:val="21"/>
                      <w:highlight w:val="none"/>
                    </w:rPr>
                  </w:pPr>
                </w:p>
              </w:tc>
              <w:tc>
                <w:tcPr>
                  <w:tcW w:w="404" w:type="dxa"/>
                  <w:vMerge w:val="continue"/>
                  <w:tcBorders>
                    <w:left w:val="single" w:color="auto" w:sz="4" w:space="0"/>
                    <w:right w:val="single" w:color="auto" w:sz="4" w:space="0"/>
                  </w:tcBorders>
                  <w:noWrap/>
                  <w:vAlign w:val="center"/>
                </w:tcPr>
                <w:p w14:paraId="0D8A3CB6">
                  <w:pPr>
                    <w:jc w:val="center"/>
                    <w:rPr>
                      <w:rFonts w:hint="default" w:ascii="Times New Roman" w:hAnsi="Times New Roman" w:eastAsia="宋体" w:cs="Times New Roman"/>
                      <w:color w:val="auto"/>
                      <w:sz w:val="21"/>
                      <w:szCs w:val="21"/>
                      <w:highlight w:val="none"/>
                    </w:rPr>
                  </w:pPr>
                </w:p>
              </w:tc>
              <w:tc>
                <w:tcPr>
                  <w:tcW w:w="437" w:type="dxa"/>
                  <w:tcBorders>
                    <w:top w:val="single" w:color="auto" w:sz="4" w:space="0"/>
                    <w:left w:val="single" w:color="auto" w:sz="4" w:space="0"/>
                    <w:bottom w:val="single" w:color="auto" w:sz="4" w:space="0"/>
                    <w:right w:val="single" w:color="auto" w:sz="4" w:space="0"/>
                  </w:tcBorders>
                  <w:noWrap/>
                  <w:vAlign w:val="center"/>
                </w:tcPr>
                <w:p w14:paraId="199BD8E7">
                  <w:pPr>
                    <w:pStyle w:val="78"/>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highlight w:val="none"/>
                    </w:rPr>
                    <w:t>污染物排放管控</w:t>
                  </w:r>
                </w:p>
              </w:tc>
              <w:tc>
                <w:tcPr>
                  <w:tcW w:w="3008" w:type="dxa"/>
                  <w:tcBorders>
                    <w:top w:val="single" w:color="auto" w:sz="4" w:space="0"/>
                    <w:left w:val="single" w:color="auto" w:sz="4" w:space="0"/>
                    <w:bottom w:val="single" w:color="auto" w:sz="4" w:space="0"/>
                    <w:right w:val="single" w:color="auto" w:sz="4" w:space="0"/>
                  </w:tcBorders>
                  <w:noWrap/>
                  <w:vAlign w:val="center"/>
                </w:tcPr>
                <w:p w14:paraId="084B75B5">
                  <w:pPr>
                    <w:pStyle w:val="78"/>
                    <w:ind w:right="105" w:rightChars="50"/>
                    <w:jc w:val="left"/>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1.对以煤、石焦油、渣油、重油等为燃料的锅炉和工业炉窑，加快使用清洁低碳能源以及工厂余热、电力热力等进行替代。</w:t>
                  </w:r>
                </w:p>
                <w:p w14:paraId="4EE98510">
                  <w:pPr>
                    <w:pStyle w:val="78"/>
                    <w:ind w:right="105" w:rightChars="50"/>
                    <w:jc w:val="left"/>
                    <w:rPr>
                      <w:rFonts w:hint="default" w:ascii="Times New Roman" w:hAnsi="Times New Roman" w:eastAsia="宋体" w:cs="Times New Roman"/>
                      <w:color w:val="auto"/>
                      <w:spacing w:val="-3"/>
                      <w:kern w:val="0"/>
                    </w:rPr>
                  </w:pPr>
                  <w:r>
                    <w:rPr>
                      <w:rFonts w:hint="default" w:ascii="Times New Roman" w:hAnsi="Times New Roman" w:eastAsia="宋体" w:cs="Times New Roman"/>
                      <w:color w:val="auto"/>
                      <w:sz w:val="21"/>
                      <w:szCs w:val="21"/>
                      <w:highlight w:val="none"/>
                      <w:lang w:val="en-US" w:eastAsia="zh-CN"/>
                    </w:rPr>
                    <w:t>2.到2025年，在用65蒸吨/小时以上的燃煤锅炉（含电力）实现超低排放，钢铁企业基本实现超低排放。</w:t>
                  </w:r>
                </w:p>
              </w:tc>
              <w:tc>
                <w:tcPr>
                  <w:tcW w:w="1461" w:type="dxa"/>
                  <w:vMerge w:val="continue"/>
                  <w:tcBorders>
                    <w:left w:val="single" w:color="auto" w:sz="4" w:space="0"/>
                    <w:right w:val="nil"/>
                  </w:tcBorders>
                  <w:noWrap/>
                  <w:vAlign w:val="center"/>
                </w:tcPr>
                <w:p w14:paraId="24507DD8">
                  <w:pPr>
                    <w:rPr>
                      <w:rFonts w:hint="eastAsia" w:ascii="宋体" w:hAnsi="宋体"/>
                      <w:color w:val="auto"/>
                      <w:kern w:val="0"/>
                    </w:rPr>
                  </w:pPr>
                </w:p>
              </w:tc>
            </w:tr>
            <w:tr w14:paraId="325E8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left w:val="nil"/>
                    <w:bottom w:val="single" w:color="auto" w:sz="12" w:space="0"/>
                    <w:right w:val="single" w:color="auto" w:sz="4" w:space="0"/>
                  </w:tcBorders>
                  <w:noWrap/>
                  <w:vAlign w:val="center"/>
                </w:tcPr>
                <w:p w14:paraId="59D064A5">
                  <w:pPr>
                    <w:pStyle w:val="78"/>
                    <w:ind w:hanging="87" w:firstLineChars="0"/>
                    <w:rPr>
                      <w:rFonts w:hint="default" w:ascii="Times New Roman" w:hAnsi="Times New Roman" w:eastAsia="宋体" w:cs="Times New Roman"/>
                      <w:color w:val="auto"/>
                      <w:sz w:val="21"/>
                      <w:szCs w:val="21"/>
                      <w:highlight w:val="none"/>
                    </w:rPr>
                  </w:pPr>
                </w:p>
              </w:tc>
              <w:tc>
                <w:tcPr>
                  <w:tcW w:w="377" w:type="dxa"/>
                  <w:vMerge w:val="continue"/>
                  <w:tcBorders>
                    <w:left w:val="single" w:color="auto" w:sz="4" w:space="0"/>
                    <w:bottom w:val="single" w:color="auto" w:sz="12" w:space="0"/>
                    <w:right w:val="single" w:color="auto" w:sz="4" w:space="0"/>
                  </w:tcBorders>
                  <w:noWrap/>
                  <w:vAlign w:val="center"/>
                </w:tcPr>
                <w:p w14:paraId="5A5E4022">
                  <w:pPr>
                    <w:pStyle w:val="78"/>
                    <w:rPr>
                      <w:rFonts w:hint="default" w:ascii="Times New Roman" w:hAnsi="Times New Roman" w:eastAsia="宋体" w:cs="Times New Roman"/>
                      <w:color w:val="auto"/>
                      <w:sz w:val="21"/>
                      <w:szCs w:val="21"/>
                      <w:highlight w:val="none"/>
                    </w:rPr>
                  </w:pPr>
                </w:p>
              </w:tc>
              <w:tc>
                <w:tcPr>
                  <w:tcW w:w="404" w:type="dxa"/>
                  <w:vMerge w:val="continue"/>
                  <w:tcBorders>
                    <w:left w:val="single" w:color="auto" w:sz="4" w:space="0"/>
                    <w:bottom w:val="single" w:color="auto" w:sz="12" w:space="0"/>
                    <w:right w:val="single" w:color="auto" w:sz="4" w:space="0"/>
                  </w:tcBorders>
                  <w:noWrap/>
                  <w:vAlign w:val="center"/>
                </w:tcPr>
                <w:p w14:paraId="67AADABD">
                  <w:pPr>
                    <w:jc w:val="center"/>
                    <w:rPr>
                      <w:rFonts w:hint="default" w:ascii="Times New Roman" w:hAnsi="Times New Roman" w:eastAsia="宋体" w:cs="Times New Roman"/>
                      <w:color w:val="auto"/>
                      <w:sz w:val="21"/>
                      <w:szCs w:val="21"/>
                      <w:highlight w:val="none"/>
                    </w:rPr>
                  </w:pPr>
                </w:p>
              </w:tc>
              <w:tc>
                <w:tcPr>
                  <w:tcW w:w="437" w:type="dxa"/>
                  <w:tcBorders>
                    <w:top w:val="single" w:color="auto" w:sz="4" w:space="0"/>
                    <w:left w:val="single" w:color="auto" w:sz="4" w:space="0"/>
                    <w:bottom w:val="single" w:color="auto" w:sz="12" w:space="0"/>
                    <w:right w:val="single" w:color="auto" w:sz="4" w:space="0"/>
                  </w:tcBorders>
                  <w:noWrap/>
                  <w:vAlign w:val="center"/>
                </w:tcPr>
                <w:p w14:paraId="5564D3D7">
                  <w:pPr>
                    <w:pStyle w:val="78"/>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highlight w:val="none"/>
                    </w:rPr>
                    <w:t>环境风险防控</w:t>
                  </w:r>
                </w:p>
              </w:tc>
              <w:tc>
                <w:tcPr>
                  <w:tcW w:w="3008" w:type="dxa"/>
                  <w:tcBorders>
                    <w:top w:val="single" w:color="auto" w:sz="4" w:space="0"/>
                    <w:left w:val="single" w:color="auto" w:sz="4" w:space="0"/>
                    <w:bottom w:val="single" w:color="auto" w:sz="12" w:space="0"/>
                    <w:right w:val="single" w:color="auto" w:sz="4" w:space="0"/>
                  </w:tcBorders>
                  <w:noWrap/>
                  <w:vAlign w:val="center"/>
                </w:tcPr>
                <w:p w14:paraId="2535AA7A">
                  <w:pPr>
                    <w:pStyle w:val="78"/>
                    <w:ind w:right="105" w:rightChars="50"/>
                    <w:jc w:val="left"/>
                    <w:rPr>
                      <w:rFonts w:hint="default" w:ascii="Times New Roman" w:hAnsi="Times New Roman" w:eastAsia="宋体" w:cs="Times New Roman"/>
                      <w:color w:val="auto"/>
                      <w:spacing w:val="-3"/>
                      <w:kern w:val="0"/>
                    </w:rPr>
                  </w:pPr>
                  <w:r>
                    <w:rPr>
                      <w:rFonts w:hint="default" w:ascii="Times New Roman" w:hAnsi="Times New Roman" w:eastAsia="宋体" w:cs="Times New Roman"/>
                      <w:color w:val="auto"/>
                      <w:sz w:val="21"/>
                      <w:szCs w:val="21"/>
                      <w:highlight w:val="none"/>
                      <w:lang w:val="en-US"/>
                    </w:rPr>
                    <w:t>禁止在居民区、学校、医疗和养老机构等周边新建有色金属冶炼、焦化等行业企业。</w:t>
                  </w:r>
                </w:p>
              </w:tc>
              <w:tc>
                <w:tcPr>
                  <w:tcW w:w="1461" w:type="dxa"/>
                  <w:vMerge w:val="continue"/>
                  <w:tcBorders>
                    <w:left w:val="single" w:color="auto" w:sz="4" w:space="0"/>
                    <w:bottom w:val="single" w:color="auto" w:sz="12" w:space="0"/>
                    <w:right w:val="nil"/>
                  </w:tcBorders>
                  <w:noWrap/>
                  <w:vAlign w:val="center"/>
                </w:tcPr>
                <w:p w14:paraId="64851171">
                  <w:pPr>
                    <w:rPr>
                      <w:rFonts w:hint="eastAsia" w:ascii="宋体" w:hAnsi="宋体"/>
                      <w:color w:val="auto"/>
                      <w:kern w:val="0"/>
                    </w:rPr>
                  </w:pPr>
                </w:p>
              </w:tc>
            </w:tr>
          </w:tbl>
          <w:p w14:paraId="11E7AE22">
            <w:pPr>
              <w:autoSpaceDE w:val="0"/>
              <w:autoSpaceDN w:val="0"/>
              <w:adjustRightInd w:val="0"/>
              <w:snapToGrid w:val="0"/>
              <w:spacing w:line="360" w:lineRule="auto"/>
              <w:ind w:firstLine="480" w:firstLineChars="200"/>
              <w:jc w:val="left"/>
              <w:rPr>
                <w:rFonts w:ascii="宋体" w:hAnsi="宋体"/>
                <w:color w:val="auto"/>
                <w:kern w:val="0"/>
                <w:sz w:val="24"/>
              </w:rPr>
            </w:pPr>
            <w:r>
              <w:rPr>
                <w:color w:val="auto"/>
                <w:kern w:val="0"/>
                <w:sz w:val="24"/>
                <w:szCs w:val="21"/>
              </w:rPr>
              <w:t>本项目采取了有效、可行的污染治理措施，各项污染物均可达标排放，本项目建设对周围环境影响较小，</w:t>
            </w:r>
            <w:r>
              <w:rPr>
                <w:rFonts w:hint="eastAsia" w:ascii="宋体" w:hAnsi="宋体"/>
                <w:color w:val="auto"/>
                <w:sz w:val="24"/>
              </w:rPr>
              <w:t>因此</w:t>
            </w:r>
            <w:r>
              <w:rPr>
                <w:rFonts w:hint="eastAsia" w:ascii="宋体" w:hAnsi="宋体"/>
                <w:color w:val="auto"/>
                <w:kern w:val="0"/>
                <w:sz w:val="24"/>
              </w:rPr>
              <w:t>本项目符合</w:t>
            </w:r>
            <w:r>
              <w:rPr>
                <w:rFonts w:hint="eastAsia" w:ascii="Times New Roman" w:hAnsi="Times New Roman" w:eastAsia="宋体" w:cs="Times New Roman"/>
                <w:bCs/>
                <w:color w:val="auto"/>
                <w:kern w:val="2"/>
                <w:sz w:val="24"/>
                <w:szCs w:val="24"/>
                <w:highlight w:val="none"/>
                <w:lang w:val="en-US" w:eastAsia="zh-CN" w:bidi="ar-SA"/>
              </w:rPr>
              <w:t>《伊春市人民政府关于实施“三线一单”生态环境分区管控的意见》（伊政规〔2022〕5号）</w:t>
            </w:r>
            <w:r>
              <w:rPr>
                <w:rFonts w:hint="eastAsia" w:ascii="宋体" w:hAnsi="宋体"/>
                <w:color w:val="auto"/>
                <w:kern w:val="0"/>
                <w:sz w:val="24"/>
              </w:rPr>
              <w:t>要求。</w:t>
            </w:r>
          </w:p>
          <w:p w14:paraId="5BC7EAD3">
            <w:pPr>
              <w:autoSpaceDE w:val="0"/>
              <w:autoSpaceDN w:val="0"/>
              <w:adjustRightInd w:val="0"/>
              <w:snapToGrid w:val="0"/>
              <w:spacing w:line="360" w:lineRule="auto"/>
              <w:ind w:firstLine="482" w:firstLineChars="200"/>
              <w:jc w:val="left"/>
              <w:rPr>
                <w:b/>
                <w:bCs/>
                <w:color w:val="auto"/>
                <w:kern w:val="0"/>
                <w:sz w:val="24"/>
                <w:szCs w:val="21"/>
              </w:rPr>
            </w:pPr>
            <w:r>
              <w:rPr>
                <w:b/>
                <w:color w:val="auto"/>
                <w:kern w:val="0"/>
                <w:sz w:val="24"/>
                <w:szCs w:val="21"/>
              </w:rPr>
              <w:t>2、与</w:t>
            </w:r>
            <w:r>
              <w:rPr>
                <w:b/>
                <w:bCs/>
                <w:color w:val="auto"/>
                <w:kern w:val="0"/>
                <w:sz w:val="24"/>
                <w:szCs w:val="21"/>
              </w:rPr>
              <w:t>《环境空气细颗粒物污染综合防治技术政策》符合性分析</w:t>
            </w:r>
          </w:p>
          <w:p w14:paraId="3DA3E607">
            <w:pPr>
              <w:autoSpaceDE w:val="0"/>
              <w:autoSpaceDN w:val="0"/>
              <w:adjustRightInd w:val="0"/>
              <w:snapToGrid w:val="0"/>
              <w:spacing w:line="360" w:lineRule="auto"/>
              <w:ind w:firstLine="480" w:firstLineChars="200"/>
              <w:rPr>
                <w:color w:val="auto"/>
                <w:sz w:val="24"/>
              </w:rPr>
            </w:pPr>
            <w:r>
              <w:rPr>
                <w:color w:val="auto"/>
                <w:sz w:val="24"/>
              </w:rPr>
              <w:t>（1）</w:t>
            </w:r>
            <w:r>
              <w:rPr>
                <w:bCs/>
                <w:color w:val="auto"/>
                <w:sz w:val="24"/>
              </w:rPr>
              <w:t>三、防治工业污染要求：（十一）</w:t>
            </w:r>
            <w:r>
              <w:rPr>
                <w:color w:val="auto"/>
                <w:sz w:val="24"/>
              </w:rPr>
              <w:t>应加强对各类污染源的监管，确保污染治理设施稳定运行，切实落实企业环保责任。鼓励采用低能耗、低污染的生产工艺，提高各个行业的清洁生产水平，降低污染物产生量。（十二）应制定严格、完善的国家和地方工业污染物排放标准，明确各行业排放控制要求。在环境污染严重、污染物排放量大的地区，应制定实施严格的地方排放标准或国家排放标准特别排放限值。（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十五）产生大气颗粒物及其前体物污染物的生产活动应尽量采用密闭装置，避免无组织排放；无法完全密闭的，应安装集气装置收集逸散的污染物，经净化后排放。</w:t>
            </w:r>
          </w:p>
          <w:p w14:paraId="3F212260">
            <w:pPr>
              <w:autoSpaceDE w:val="0"/>
              <w:autoSpaceDN w:val="0"/>
              <w:adjustRightInd w:val="0"/>
              <w:snapToGrid w:val="0"/>
              <w:spacing w:line="360" w:lineRule="auto"/>
              <w:ind w:firstLine="480" w:firstLineChars="200"/>
              <w:jc w:val="left"/>
              <w:rPr>
                <w:rFonts w:eastAsiaTheme="minorEastAsia"/>
                <w:bCs/>
                <w:color w:val="auto"/>
                <w:sz w:val="24"/>
              </w:rPr>
            </w:pPr>
            <w:r>
              <w:rPr>
                <w:color w:val="auto"/>
                <w:sz w:val="24"/>
              </w:rPr>
              <w:t>符合性分析：本项目为沥青混凝土加工项目。生产采用低能耗、低污染的工艺。</w:t>
            </w:r>
            <w:r>
              <w:rPr>
                <w:bCs/>
                <w:color w:val="auto"/>
                <w:sz w:val="24"/>
              </w:rPr>
              <w:t>本项目矿粉采用封闭式罐车运入厂区，碎石运输车辆全部采用苫布覆盖；原料的输送、计量及投料均为封闭式。搅拌站、干燥筒整体封闭。</w:t>
            </w:r>
            <w:r>
              <w:rPr>
                <w:rFonts w:eastAsiaTheme="minorEastAsia"/>
                <w:bCs/>
                <w:color w:val="auto"/>
                <w:sz w:val="24"/>
              </w:rPr>
              <w:t>本项目</w:t>
            </w:r>
            <w:r>
              <w:rPr>
                <w:rFonts w:eastAsiaTheme="minorEastAsia"/>
                <w:color w:val="auto"/>
                <w:sz w:val="24"/>
              </w:rPr>
              <w:t>碎石筛分、烘干废气、热料仓落料废气、</w:t>
            </w:r>
            <w:r>
              <w:rPr>
                <w:rFonts w:eastAsiaTheme="minorEastAsia"/>
                <w:bCs/>
                <w:color w:val="auto"/>
                <w:sz w:val="24"/>
              </w:rPr>
              <w:t>矿粉筒仓装卸废气、冷料仓上料废气、</w:t>
            </w:r>
            <w:r>
              <w:rPr>
                <w:rFonts w:hint="eastAsia" w:eastAsiaTheme="minorEastAsia"/>
                <w:color w:val="auto"/>
                <w:sz w:val="24"/>
                <w:highlight w:val="none"/>
              </w:rPr>
              <w:t>28MW</w:t>
            </w:r>
            <w:r>
              <w:rPr>
                <w:rFonts w:eastAsiaTheme="minorEastAsia"/>
                <w:color w:val="auto"/>
                <w:sz w:val="24"/>
                <w:highlight w:val="none"/>
              </w:rPr>
              <w:t>燃</w:t>
            </w:r>
            <w:r>
              <w:rPr>
                <w:rFonts w:hint="eastAsia" w:eastAsiaTheme="minorEastAsia"/>
                <w:color w:val="auto"/>
                <w:sz w:val="24"/>
                <w:highlight w:val="none"/>
              </w:rPr>
              <w:t>天然气</w:t>
            </w:r>
            <w:r>
              <w:rPr>
                <w:rFonts w:eastAsiaTheme="minorEastAsia"/>
                <w:color w:val="auto"/>
                <w:sz w:val="24"/>
                <w:highlight w:val="none"/>
              </w:rPr>
              <w:t>燃烧器烟气</w:t>
            </w:r>
            <w:r>
              <w:rPr>
                <w:rFonts w:eastAsiaTheme="minorEastAsia"/>
                <w:color w:val="auto"/>
                <w:sz w:val="24"/>
              </w:rPr>
              <w:t>经</w:t>
            </w:r>
            <w:r>
              <w:rPr>
                <w:rFonts w:hint="eastAsia" w:eastAsiaTheme="minorEastAsia"/>
                <w:color w:val="auto"/>
                <w:sz w:val="24"/>
              </w:rPr>
              <w:t>除尘</w:t>
            </w:r>
            <w:r>
              <w:rPr>
                <w:rFonts w:eastAsiaTheme="minorEastAsia"/>
                <w:color w:val="auto"/>
                <w:sz w:val="24"/>
              </w:rPr>
              <w:t>系统（重力</w:t>
            </w:r>
            <w:r>
              <w:rPr>
                <w:rFonts w:hint="eastAsia" w:eastAsiaTheme="minorEastAsia"/>
                <w:color w:val="auto"/>
                <w:sz w:val="24"/>
              </w:rPr>
              <w:t>+布袋</w:t>
            </w:r>
            <w:r>
              <w:rPr>
                <w:rFonts w:eastAsiaTheme="minorEastAsia"/>
                <w:color w:val="auto"/>
                <w:sz w:val="24"/>
              </w:rPr>
              <w:t>）处理后，由</w:t>
            </w:r>
            <w:r>
              <w:rPr>
                <w:rFonts w:hint="eastAsia" w:eastAsiaTheme="minorEastAsia"/>
                <w:color w:val="auto"/>
                <w:sz w:val="24"/>
              </w:rPr>
              <w:t>15</w:t>
            </w:r>
            <w:r>
              <w:rPr>
                <w:rFonts w:eastAsiaTheme="minorEastAsia"/>
                <w:color w:val="auto"/>
                <w:sz w:val="24"/>
              </w:rPr>
              <w:t>m高</w:t>
            </w:r>
            <w:r>
              <w:rPr>
                <w:rFonts w:hint="eastAsia" w:eastAsiaTheme="minorEastAsia"/>
                <w:color w:val="auto"/>
                <w:sz w:val="24"/>
              </w:rPr>
              <w:t>除尘</w:t>
            </w:r>
            <w:r>
              <w:rPr>
                <w:rFonts w:eastAsiaTheme="minorEastAsia"/>
                <w:color w:val="auto"/>
                <w:sz w:val="24"/>
              </w:rPr>
              <w:t>系统</w:t>
            </w:r>
            <w:r>
              <w:rPr>
                <w:rFonts w:hint="eastAsia"/>
                <w:color w:val="auto"/>
                <w:sz w:val="24"/>
              </w:rPr>
              <w:t>排气筒</w:t>
            </w:r>
            <w:r>
              <w:rPr>
                <w:rFonts w:hint="eastAsia"/>
                <w:color w:val="auto"/>
                <w:kern w:val="0"/>
                <w:sz w:val="24"/>
              </w:rPr>
              <w:t>（DA001）</w:t>
            </w:r>
            <w:r>
              <w:rPr>
                <w:rFonts w:eastAsiaTheme="minorEastAsia"/>
                <w:color w:val="auto"/>
                <w:sz w:val="24"/>
              </w:rPr>
              <w:t>排放，除尘效率为99%</w:t>
            </w:r>
            <w:r>
              <w:rPr>
                <w:rFonts w:eastAsiaTheme="minorEastAsia"/>
                <w:bCs/>
                <w:color w:val="auto"/>
                <w:sz w:val="24"/>
              </w:rPr>
              <w:t>；本项目1台</w:t>
            </w:r>
            <w:r>
              <w:rPr>
                <w:rFonts w:hint="eastAsia"/>
                <w:color w:val="auto"/>
                <w:sz w:val="24"/>
                <w:szCs w:val="24"/>
                <w:lang w:val="en-US" w:eastAsia="zh-CN"/>
              </w:rPr>
              <w:t>1.5</w:t>
            </w:r>
            <w:r>
              <w:rPr>
                <w:rFonts w:hint="eastAsia"/>
                <w:color w:val="auto"/>
                <w:sz w:val="24"/>
                <w:szCs w:val="24"/>
              </w:rPr>
              <w:t>t/h</w:t>
            </w:r>
            <w:r>
              <w:rPr>
                <w:rFonts w:eastAsiaTheme="minorEastAsia"/>
                <w:bCs/>
                <w:color w:val="auto"/>
                <w:sz w:val="24"/>
                <w:szCs w:val="24"/>
              </w:rPr>
              <w:t>燃</w:t>
            </w:r>
            <w:r>
              <w:rPr>
                <w:rFonts w:hint="eastAsia" w:eastAsiaTheme="minorEastAsia"/>
                <w:bCs/>
                <w:color w:val="auto"/>
                <w:sz w:val="24"/>
                <w:szCs w:val="24"/>
                <w:lang w:val="en-US" w:eastAsia="zh-CN"/>
              </w:rPr>
              <w:t>气</w:t>
            </w:r>
            <w:r>
              <w:rPr>
                <w:rFonts w:eastAsiaTheme="minorEastAsia"/>
                <w:bCs/>
                <w:color w:val="auto"/>
                <w:sz w:val="24"/>
              </w:rPr>
              <w:t>导热油炉用于加热沥青，</w:t>
            </w:r>
            <w:r>
              <w:rPr>
                <w:rFonts w:eastAsiaTheme="minorEastAsia"/>
                <w:color w:val="auto"/>
                <w:sz w:val="24"/>
              </w:rPr>
              <w:t>导热油炉</w:t>
            </w:r>
            <w:r>
              <w:rPr>
                <w:rFonts w:eastAsiaTheme="minorEastAsia"/>
                <w:bCs/>
                <w:color w:val="auto"/>
                <w:sz w:val="24"/>
              </w:rPr>
              <w:t>烟气经</w:t>
            </w:r>
            <w:r>
              <w:rPr>
                <w:rFonts w:hint="eastAsia" w:eastAsiaTheme="minorEastAsia"/>
                <w:bCs/>
                <w:color w:val="auto"/>
                <w:sz w:val="24"/>
              </w:rPr>
              <w:t>低氮燃烧</w:t>
            </w:r>
            <w:r>
              <w:rPr>
                <w:rFonts w:eastAsiaTheme="minorEastAsia"/>
                <w:bCs/>
                <w:color w:val="auto"/>
                <w:sz w:val="24"/>
              </w:rPr>
              <w:t>处理后（除</w:t>
            </w:r>
            <w:r>
              <w:rPr>
                <w:rFonts w:hint="eastAsia" w:eastAsiaTheme="minorEastAsia"/>
                <w:bCs/>
                <w:color w:val="auto"/>
                <w:sz w:val="24"/>
              </w:rPr>
              <w:t>氮</w:t>
            </w:r>
            <w:r>
              <w:rPr>
                <w:rFonts w:eastAsiaTheme="minorEastAsia"/>
                <w:bCs/>
                <w:color w:val="auto"/>
                <w:sz w:val="24"/>
              </w:rPr>
              <w:t>效率</w:t>
            </w:r>
            <w:r>
              <w:rPr>
                <w:rFonts w:hint="eastAsia" w:eastAsiaTheme="minorEastAsia"/>
                <w:bCs/>
                <w:color w:val="auto"/>
                <w:sz w:val="24"/>
              </w:rPr>
              <w:t>30</w:t>
            </w:r>
            <w:r>
              <w:rPr>
                <w:rFonts w:eastAsiaTheme="minorEastAsia"/>
                <w:bCs/>
                <w:color w:val="auto"/>
                <w:sz w:val="24"/>
              </w:rPr>
              <w:t>%），由1根</w:t>
            </w:r>
            <w:r>
              <w:rPr>
                <w:rFonts w:hint="eastAsia" w:eastAsiaTheme="minorEastAsia"/>
                <w:bCs/>
                <w:color w:val="auto"/>
                <w:sz w:val="24"/>
              </w:rPr>
              <w:t>12</w:t>
            </w:r>
            <w:r>
              <w:rPr>
                <w:rFonts w:eastAsiaTheme="minorEastAsia"/>
                <w:bCs/>
                <w:color w:val="auto"/>
                <w:sz w:val="24"/>
              </w:rPr>
              <w:t>m高</w:t>
            </w:r>
            <w:r>
              <w:rPr>
                <w:rFonts w:hint="eastAsia"/>
                <w:color w:val="auto"/>
                <w:sz w:val="24"/>
              </w:rPr>
              <w:t>排气筒</w:t>
            </w:r>
            <w:r>
              <w:rPr>
                <w:rFonts w:hint="eastAsia"/>
                <w:color w:val="auto"/>
                <w:kern w:val="0"/>
                <w:sz w:val="24"/>
              </w:rPr>
              <w:t>（DA002）</w:t>
            </w:r>
            <w:r>
              <w:rPr>
                <w:rFonts w:eastAsiaTheme="minorEastAsia"/>
                <w:bCs/>
                <w:color w:val="auto"/>
                <w:sz w:val="24"/>
              </w:rPr>
              <w:t>排放；本项目在沥青混凝土拌和沥青储罐处会产生非甲烷总烃、沥青烟和苯并[a]芘，</w:t>
            </w:r>
            <w:r>
              <w:rPr>
                <w:color w:val="auto"/>
                <w:sz w:val="24"/>
              </w:rPr>
              <w:t>沥青在密闭储罐中储存过程中产生的烟气以及出料产生的烟气通过负压收集系统集中收集（收集效率</w:t>
            </w:r>
            <w:r>
              <w:rPr>
                <w:rFonts w:hint="eastAsia"/>
                <w:color w:val="auto"/>
                <w:sz w:val="24"/>
              </w:rPr>
              <w:t>95</w:t>
            </w:r>
            <w:r>
              <w:rPr>
                <w:color w:val="auto"/>
                <w:sz w:val="24"/>
              </w:rPr>
              <w:t>%，环保设施的最大总风量为</w:t>
            </w:r>
            <w:r>
              <w:rPr>
                <w:rFonts w:hint="eastAsia"/>
                <w:color w:val="auto"/>
                <w:sz w:val="24"/>
              </w:rPr>
              <w:t>4</w:t>
            </w:r>
            <w:r>
              <w:rPr>
                <w:color w:val="auto"/>
                <w:sz w:val="24"/>
              </w:rPr>
              <w:t>0000m</w:t>
            </w:r>
            <w:r>
              <w:rPr>
                <w:color w:val="auto"/>
                <w:sz w:val="24"/>
                <w:vertAlign w:val="superscript"/>
              </w:rPr>
              <w:t>3</w:t>
            </w:r>
            <w:r>
              <w:rPr>
                <w:color w:val="auto"/>
                <w:sz w:val="24"/>
              </w:rPr>
              <w:t>/h），</w:t>
            </w:r>
            <w:r>
              <w:rPr>
                <w:rFonts w:eastAsiaTheme="minorEastAsia"/>
                <w:bCs/>
                <w:color w:val="auto"/>
                <w:sz w:val="24"/>
              </w:rPr>
              <w:t>经</w:t>
            </w:r>
            <w:r>
              <w:rPr>
                <w:rFonts w:eastAsiaTheme="minorEastAsia"/>
                <w:bCs/>
                <w:color w:val="auto"/>
                <w:sz w:val="24"/>
                <w:highlight w:val="none"/>
              </w:rPr>
              <w:t>气浮旋流塔</w:t>
            </w:r>
            <w:r>
              <w:rPr>
                <w:rFonts w:hint="eastAsia" w:eastAsiaTheme="minorEastAsia"/>
                <w:bCs/>
                <w:color w:val="auto"/>
                <w:sz w:val="24"/>
                <w:highlight w:val="none"/>
              </w:rPr>
              <w:t>+三维一体化废气处理设备（由电离子+光催化+高碘值碳吸附组成）</w:t>
            </w:r>
            <w:r>
              <w:rPr>
                <w:rFonts w:eastAsiaTheme="minorEastAsia"/>
                <w:bCs/>
                <w:color w:val="auto"/>
                <w:sz w:val="24"/>
              </w:rPr>
              <w:t>（</w:t>
            </w:r>
            <w:r>
              <w:rPr>
                <w:rFonts w:hint="eastAsia" w:eastAsiaTheme="minorEastAsia"/>
                <w:bCs/>
                <w:color w:val="auto"/>
                <w:sz w:val="24"/>
              </w:rPr>
              <w:t>处理</w:t>
            </w:r>
            <w:r>
              <w:rPr>
                <w:rFonts w:eastAsiaTheme="minorEastAsia"/>
                <w:bCs/>
                <w:color w:val="auto"/>
                <w:sz w:val="24"/>
              </w:rPr>
              <w:t>效率</w:t>
            </w:r>
            <w:r>
              <w:rPr>
                <w:rFonts w:hint="eastAsia" w:eastAsiaTheme="minorEastAsia"/>
                <w:bCs/>
                <w:color w:val="auto"/>
                <w:sz w:val="24"/>
              </w:rPr>
              <w:t>95</w:t>
            </w:r>
            <w:r>
              <w:rPr>
                <w:rFonts w:eastAsiaTheme="minorEastAsia"/>
                <w:bCs/>
                <w:color w:val="auto"/>
                <w:sz w:val="24"/>
              </w:rPr>
              <w:t>%）处理后，经</w:t>
            </w:r>
            <w:r>
              <w:rPr>
                <w:rFonts w:hint="eastAsia" w:eastAsiaTheme="minorEastAsia"/>
                <w:bCs/>
                <w:color w:val="auto"/>
                <w:sz w:val="24"/>
              </w:rPr>
              <w:t>15</w:t>
            </w:r>
            <w:r>
              <w:rPr>
                <w:rFonts w:eastAsiaTheme="minorEastAsia"/>
                <w:bCs/>
                <w:color w:val="auto"/>
                <w:sz w:val="24"/>
              </w:rPr>
              <w:t>m高</w:t>
            </w:r>
            <w:r>
              <w:rPr>
                <w:color w:val="auto"/>
                <w:sz w:val="24"/>
              </w:rPr>
              <w:t>沥青搅拌排气筒</w:t>
            </w:r>
            <w:r>
              <w:rPr>
                <w:rFonts w:hint="eastAsia"/>
                <w:color w:val="auto"/>
                <w:kern w:val="0"/>
                <w:sz w:val="24"/>
              </w:rPr>
              <w:t>（DA003）</w:t>
            </w:r>
            <w:r>
              <w:rPr>
                <w:rFonts w:eastAsiaTheme="minorEastAsia"/>
                <w:bCs/>
                <w:color w:val="auto"/>
                <w:sz w:val="24"/>
              </w:rPr>
              <w:t>排放；</w:t>
            </w:r>
            <w:r>
              <w:rPr>
                <w:color w:val="auto"/>
                <w:sz w:val="24"/>
              </w:rPr>
              <w:t>厂界</w:t>
            </w:r>
            <w:r>
              <w:rPr>
                <w:rFonts w:hint="eastAsia"/>
                <w:color w:val="auto"/>
                <w:sz w:val="24"/>
              </w:rPr>
              <w:t>污染物</w:t>
            </w:r>
            <w:r>
              <w:rPr>
                <w:color w:val="auto"/>
                <w:sz w:val="24"/>
              </w:rPr>
              <w:t>排放浓度满足《大气污染物综合排放标准》(GB16297-1996)中表2无组织排放浓度限值，</w:t>
            </w:r>
            <w:r>
              <w:rPr>
                <w:bCs/>
                <w:color w:val="auto"/>
                <w:sz w:val="24"/>
              </w:rPr>
              <w:t>符合《环境空气细颗粒物污染综合防治技术政策》中三、防治工业污染要求。</w:t>
            </w:r>
          </w:p>
          <w:p w14:paraId="24799F78">
            <w:pPr>
              <w:autoSpaceDE w:val="0"/>
              <w:autoSpaceDN w:val="0"/>
              <w:adjustRightInd w:val="0"/>
              <w:snapToGrid w:val="0"/>
              <w:spacing w:line="360" w:lineRule="auto"/>
              <w:ind w:firstLine="480" w:firstLineChars="200"/>
              <w:rPr>
                <w:bCs/>
                <w:color w:val="auto"/>
                <w:sz w:val="24"/>
              </w:rPr>
            </w:pPr>
            <w:r>
              <w:rPr>
                <w:color w:val="auto"/>
                <w:sz w:val="24"/>
              </w:rPr>
              <w:t>（2）</w:t>
            </w:r>
            <w:r>
              <w:rPr>
                <w:bCs/>
                <w:color w:val="auto"/>
                <w:sz w:val="24"/>
              </w:rPr>
              <w:t>五、防治扬尘污染要求：（二十二）扬尘污染源应以道路扬尘、施工扬尘、粉状物料贮存场扬尘、城市裸土起尘等为防治重点。应参照《防治城市扬尘污染技术规范》，开展城市扬尘综合整治，减少城市裸地面积，采取植树种草等措施提高绿化率，或适当采用地面硬化措施，遏止扬尘污染。（二十三）对各种施工工地、各种粉状物料贮存场、各种港口装卸码头等，应采取设置围挡墙、防尘网和喷洒抑尘剂等有效的防尘、抑尘措施，防止颗粒物逸散；设置车辆清洗装置，保持上路行驶车辆的清洁；鼓励各类土建工程使用预搅拌的商品混凝土。（二十四）实行粉状物料及渣土车辆密闭运输，加强监管，防止遗撒。及时进行道路清扫、冲洗、洒水作业，减少道路扬尘。规范园林绿化设计和施工管理，防止园林绿地土壤向道路流失。</w:t>
            </w:r>
          </w:p>
          <w:p w14:paraId="16C5C4AC">
            <w:pPr>
              <w:autoSpaceDE w:val="0"/>
              <w:autoSpaceDN w:val="0"/>
              <w:adjustRightInd w:val="0"/>
              <w:snapToGrid w:val="0"/>
              <w:spacing w:line="360" w:lineRule="auto"/>
              <w:ind w:firstLine="480" w:firstLineChars="200"/>
              <w:rPr>
                <w:bCs/>
                <w:color w:val="auto"/>
              </w:rPr>
            </w:pPr>
            <w:r>
              <w:rPr>
                <w:color w:val="auto"/>
                <w:sz w:val="24"/>
              </w:rPr>
              <w:t>符合性分析：</w:t>
            </w:r>
            <w:r>
              <w:rPr>
                <w:rFonts w:hint="eastAsia"/>
                <w:bCs/>
                <w:color w:val="auto"/>
                <w:sz w:val="24"/>
              </w:rPr>
              <w:t>施工期土方表面压实、定期喷水、覆盖等措施；运输车按规定配置防洒落装备，装载不宜过满，保证运输过程中不散落；并规划好运输车辆的运行路线与时间，避免在繁华区、交通集中区和居民住宅等敏感区行驶；运输车辆加蓬盖，且出装、卸场地前先冲洗干净，减少车轮、底盘等携带泥土散落路面；对运输过程中散落在路面上的泥土要及时清扫，以减少运行过程中的扬尘</w:t>
            </w:r>
            <w:r>
              <w:rPr>
                <w:bCs/>
                <w:color w:val="auto"/>
                <w:sz w:val="24"/>
              </w:rPr>
              <w:t>。</w:t>
            </w:r>
            <w:r>
              <w:rPr>
                <w:rFonts w:hint="eastAsia"/>
                <w:bCs/>
                <w:color w:val="auto"/>
                <w:sz w:val="24"/>
              </w:rPr>
              <w:t>厂区</w:t>
            </w:r>
            <w:r>
              <w:rPr>
                <w:bCs/>
                <w:color w:val="auto"/>
                <w:sz w:val="24"/>
              </w:rPr>
              <w:t>设置防风抑尘网、洒水喷淋、铲装集堆过程洒水喷淋，可减少扬尘</w:t>
            </w:r>
            <w:r>
              <w:rPr>
                <w:color w:val="auto"/>
                <w:sz w:val="24"/>
              </w:rPr>
              <w:t>。</w:t>
            </w:r>
            <w:r>
              <w:rPr>
                <w:bCs/>
                <w:color w:val="auto"/>
                <w:sz w:val="24"/>
              </w:rPr>
              <w:t>符合《环境空气细颗粒物污染综合防治技术政策》中五、防治扬尘污染要求。</w:t>
            </w:r>
          </w:p>
          <w:p w14:paraId="207FA8AC">
            <w:pPr>
              <w:autoSpaceDE w:val="0"/>
              <w:autoSpaceDN w:val="0"/>
              <w:adjustRightInd w:val="0"/>
              <w:snapToGrid w:val="0"/>
              <w:spacing w:line="360" w:lineRule="auto"/>
              <w:ind w:firstLine="480" w:firstLineChars="200"/>
              <w:rPr>
                <w:color w:val="auto"/>
              </w:rPr>
            </w:pPr>
            <w:r>
              <w:rPr>
                <w:color w:val="auto"/>
                <w:sz w:val="24"/>
              </w:rPr>
              <w:t>（3）</w:t>
            </w:r>
            <w:r>
              <w:rPr>
                <w:bCs/>
                <w:color w:val="auto"/>
                <w:sz w:val="24"/>
              </w:rPr>
              <w:t>六、防治生活污染要求</w:t>
            </w:r>
            <w:r>
              <w:rPr>
                <w:color w:val="auto"/>
                <w:sz w:val="24"/>
              </w:rPr>
              <w:t>：（二十五）生活污染来源复杂、分布广泛，治理工作应调动社会各界的积极性，鼓励公众参与。应在全社会倡导形成节俭、绿色生活方式，摒弃奢侈、浪费、炫耀的消费习惯。倡导绿色消费，通过消费者选择和市场竞争，促使企业生产环境友好型消费品。（二十六）治理饮食业、干洗业、小型燃煤燃油锅炉等生活污染源，严格控制油烟、挥发性有机物、烟尘等污染物排放。推广使用具备溶剂回收功能的封闭式干洗机。应有效控制城市露天烧烤。生活垃圾和城市园林绿化废物应及时清运，进行无害化处理，防止露天焚烧。（二十八）在城市郊区和农村地区，推广使用清洁能源和高效节能锅炉，有条件的地区宜发展集中供暖或地热等采暖方式，以替代小型燃煤、燃油取暖炉，减轻面源污染。（二十九）开展环境文化建设，形成有益于环境保护的公序良俗，倡导良好生活习惯。倡导有益于健康的饮食习惯和低油烟、低污染、低能耗的烹调方式。提倡以无烟方式进行祭扫等礼仪活动，减少燃放烟花爆竹。</w:t>
            </w:r>
          </w:p>
          <w:p w14:paraId="453421DA">
            <w:pPr>
              <w:autoSpaceDE w:val="0"/>
              <w:autoSpaceDN w:val="0"/>
              <w:adjustRightInd w:val="0"/>
              <w:snapToGrid w:val="0"/>
              <w:spacing w:line="360" w:lineRule="auto"/>
              <w:ind w:firstLine="480" w:firstLineChars="200"/>
              <w:jc w:val="left"/>
              <w:rPr>
                <w:bCs/>
                <w:color w:val="auto"/>
                <w:sz w:val="24"/>
              </w:rPr>
            </w:pPr>
            <w:r>
              <w:rPr>
                <w:color w:val="auto"/>
                <w:sz w:val="24"/>
              </w:rPr>
              <w:t>符合性分析：本项目为沥青混凝土加工项目，不建设食堂及宿舍，</w:t>
            </w:r>
            <w:r>
              <w:rPr>
                <w:rFonts w:hint="eastAsia"/>
                <w:color w:val="auto"/>
                <w:sz w:val="24"/>
                <w:szCs w:val="24"/>
                <w:lang w:val="en-US" w:eastAsia="zh-CN"/>
              </w:rPr>
              <w:t>办公室使用电暖气</w:t>
            </w:r>
            <w:r>
              <w:rPr>
                <w:color w:val="auto"/>
                <w:sz w:val="24"/>
              </w:rPr>
              <w:t>，</w:t>
            </w:r>
            <w:r>
              <w:rPr>
                <w:bCs/>
                <w:color w:val="auto"/>
                <w:sz w:val="24"/>
              </w:rPr>
              <w:t>符合《环境空气细颗粒物污染综合防治技术政策》中六、防治生活污染要求。</w:t>
            </w:r>
          </w:p>
          <w:p w14:paraId="3199DE89">
            <w:pPr>
              <w:autoSpaceDE w:val="0"/>
              <w:autoSpaceDN w:val="0"/>
              <w:adjustRightInd w:val="0"/>
              <w:snapToGrid w:val="0"/>
              <w:spacing w:line="360" w:lineRule="auto"/>
              <w:ind w:firstLine="482" w:firstLineChars="200"/>
              <w:jc w:val="left"/>
              <w:rPr>
                <w:b/>
                <w:bCs/>
                <w:color w:val="auto"/>
                <w:kern w:val="0"/>
                <w:sz w:val="24"/>
                <w:szCs w:val="21"/>
              </w:rPr>
            </w:pPr>
            <w:r>
              <w:rPr>
                <w:b/>
                <w:color w:val="auto"/>
                <w:kern w:val="0"/>
                <w:sz w:val="24"/>
                <w:szCs w:val="21"/>
              </w:rPr>
              <w:t>3、</w:t>
            </w:r>
            <w:r>
              <w:rPr>
                <w:b/>
                <w:bCs/>
                <w:color w:val="auto"/>
                <w:kern w:val="0"/>
                <w:sz w:val="24"/>
                <w:szCs w:val="21"/>
              </w:rPr>
              <w:t>与《黑龙江省大气污染防治条例》的符合性分析</w:t>
            </w:r>
          </w:p>
          <w:p w14:paraId="20E3B90E">
            <w:pPr>
              <w:autoSpaceDE w:val="0"/>
              <w:autoSpaceDN w:val="0"/>
              <w:contextualSpacing/>
              <w:jc w:val="center"/>
              <w:rPr>
                <w:b/>
                <w:color w:val="auto"/>
                <w:sz w:val="24"/>
              </w:rPr>
            </w:pPr>
            <w:r>
              <w:rPr>
                <w:b/>
                <w:color w:val="auto"/>
                <w:sz w:val="24"/>
              </w:rPr>
              <w:t>表1-</w:t>
            </w:r>
            <w:r>
              <w:rPr>
                <w:rFonts w:hint="eastAsia"/>
                <w:b/>
                <w:color w:val="auto"/>
                <w:sz w:val="24"/>
              </w:rPr>
              <w:t>3</w:t>
            </w:r>
            <w:r>
              <w:rPr>
                <w:b/>
                <w:color w:val="auto"/>
                <w:sz w:val="24"/>
              </w:rPr>
              <w:t xml:space="preserve"> 与黑龙江省大气污染防治条例符合性分析</w:t>
            </w:r>
          </w:p>
          <w:tbl>
            <w:tblPr>
              <w:tblStyle w:val="27"/>
              <w:tblW w:w="65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3261"/>
              <w:gridCol w:w="2409"/>
              <w:gridCol w:w="433"/>
            </w:tblGrid>
            <w:tr w14:paraId="7A325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4" w:type="dxa"/>
                  <w:tcBorders>
                    <w:right w:val="single" w:color="auto" w:sz="2" w:space="0"/>
                  </w:tcBorders>
                  <w:vAlign w:val="center"/>
                </w:tcPr>
                <w:p w14:paraId="78FBA452">
                  <w:pPr>
                    <w:autoSpaceDE w:val="0"/>
                    <w:autoSpaceDN w:val="0"/>
                    <w:jc w:val="center"/>
                    <w:rPr>
                      <w:color w:val="auto"/>
                      <w:szCs w:val="21"/>
                    </w:rPr>
                  </w:pPr>
                  <w:r>
                    <w:rPr>
                      <w:color w:val="auto"/>
                      <w:szCs w:val="21"/>
                    </w:rPr>
                    <w:t>序号</w:t>
                  </w:r>
                </w:p>
              </w:tc>
              <w:tc>
                <w:tcPr>
                  <w:tcW w:w="3261" w:type="dxa"/>
                  <w:tcBorders>
                    <w:left w:val="single" w:color="auto" w:sz="2" w:space="0"/>
                  </w:tcBorders>
                  <w:vAlign w:val="center"/>
                </w:tcPr>
                <w:p w14:paraId="06975221">
                  <w:pPr>
                    <w:autoSpaceDE w:val="0"/>
                    <w:autoSpaceDN w:val="0"/>
                    <w:jc w:val="center"/>
                    <w:rPr>
                      <w:color w:val="auto"/>
                      <w:szCs w:val="21"/>
                    </w:rPr>
                  </w:pPr>
                  <w:r>
                    <w:rPr>
                      <w:color w:val="auto"/>
                      <w:szCs w:val="21"/>
                    </w:rPr>
                    <w:t>黑龙江省大气污染防治条例</w:t>
                  </w:r>
                </w:p>
              </w:tc>
              <w:tc>
                <w:tcPr>
                  <w:tcW w:w="2409" w:type="dxa"/>
                  <w:tcBorders>
                    <w:right w:val="single" w:color="auto" w:sz="2" w:space="0"/>
                  </w:tcBorders>
                  <w:vAlign w:val="center"/>
                </w:tcPr>
                <w:p w14:paraId="3C312A0E">
                  <w:pPr>
                    <w:autoSpaceDE w:val="0"/>
                    <w:autoSpaceDN w:val="0"/>
                    <w:jc w:val="center"/>
                    <w:rPr>
                      <w:color w:val="auto"/>
                      <w:szCs w:val="21"/>
                    </w:rPr>
                  </w:pPr>
                  <w:r>
                    <w:rPr>
                      <w:color w:val="auto"/>
                      <w:szCs w:val="21"/>
                    </w:rPr>
                    <w:t>本项目</w:t>
                  </w:r>
                </w:p>
              </w:tc>
              <w:tc>
                <w:tcPr>
                  <w:tcW w:w="433" w:type="dxa"/>
                  <w:tcBorders>
                    <w:left w:val="single" w:color="auto" w:sz="2" w:space="0"/>
                  </w:tcBorders>
                  <w:vAlign w:val="center"/>
                </w:tcPr>
                <w:p w14:paraId="25BAF2E7">
                  <w:pPr>
                    <w:autoSpaceDE w:val="0"/>
                    <w:autoSpaceDN w:val="0"/>
                    <w:jc w:val="center"/>
                    <w:rPr>
                      <w:color w:val="auto"/>
                      <w:szCs w:val="21"/>
                    </w:rPr>
                  </w:pPr>
                  <w:r>
                    <w:rPr>
                      <w:color w:val="auto"/>
                      <w:szCs w:val="21"/>
                    </w:rPr>
                    <w:t>符合性</w:t>
                  </w:r>
                </w:p>
              </w:tc>
            </w:tr>
            <w:tr w14:paraId="49540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34" w:type="dxa"/>
                  <w:tcBorders>
                    <w:right w:val="single" w:color="auto" w:sz="2" w:space="0"/>
                  </w:tcBorders>
                  <w:vAlign w:val="center"/>
                </w:tcPr>
                <w:p w14:paraId="25A887AE">
                  <w:pPr>
                    <w:autoSpaceDE w:val="0"/>
                    <w:autoSpaceDN w:val="0"/>
                    <w:jc w:val="center"/>
                    <w:rPr>
                      <w:color w:val="auto"/>
                      <w:szCs w:val="21"/>
                    </w:rPr>
                  </w:pPr>
                  <w:r>
                    <w:rPr>
                      <w:rFonts w:hint="eastAsia"/>
                      <w:color w:val="auto"/>
                      <w:szCs w:val="21"/>
                    </w:rPr>
                    <w:t>1</w:t>
                  </w:r>
                </w:p>
              </w:tc>
              <w:tc>
                <w:tcPr>
                  <w:tcW w:w="3261" w:type="dxa"/>
                  <w:tcBorders>
                    <w:left w:val="single" w:color="auto" w:sz="2" w:space="0"/>
                  </w:tcBorders>
                  <w:vAlign w:val="center"/>
                </w:tcPr>
                <w:p w14:paraId="392ABE04">
                  <w:pPr>
                    <w:widowControl/>
                    <w:shd w:val="clear" w:color="auto" w:fill="FFFFFF"/>
                    <w:spacing w:line="258" w:lineRule="atLeast"/>
                    <w:rPr>
                      <w:color w:val="auto"/>
                      <w:szCs w:val="21"/>
                    </w:rPr>
                  </w:pPr>
                  <w:r>
                    <w:rPr>
                      <w:color w:val="auto"/>
                      <w:szCs w:val="21"/>
                    </w:rPr>
                    <w:t>建设单位应当将防治扬尘污染的费用列入工程造价，并在施工承包合同中明确施工单位的扬尘污染防治责任。房屋建筑、市政基础设施建设等施工单位应当制定、实施包括重污染天气应对措施在内的施工扬尘污染防治实施方案，并遵守下列规定：</w:t>
                  </w:r>
                </w:p>
                <w:p w14:paraId="1161ED6D">
                  <w:pPr>
                    <w:widowControl/>
                    <w:shd w:val="clear" w:color="auto" w:fill="FFFFFF"/>
                    <w:spacing w:line="258" w:lineRule="atLeast"/>
                    <w:rPr>
                      <w:color w:val="auto"/>
                      <w:szCs w:val="21"/>
                    </w:rPr>
                  </w:pPr>
                  <w:r>
                    <w:rPr>
                      <w:color w:val="auto"/>
                      <w:szCs w:val="21"/>
                    </w:rPr>
                    <w:t>（一）在施工工地设置硬质围挡，并负责维护；（二）在施工工地公示扬尘污染防治措施、负责人、扬尘监督管理主管部门等信息；（三）在施工工地出口设置车辆冲洗设施，车辆不得带泥上路，施工工地通道以及出入口周边的道路不得存放建筑垃圾；（四）施工工地出入口、主要通道、加工区等采取硬化处理措施；（五）对施工工地内堆存的建筑土方、工程渣土、建筑垃圾，采取密闭式防尘网遮盖；（六）在施工工地建筑结构脚手架外侧设置有效抑尘的密闭式防尘网；（七）采取封闭方式及时清运建筑垃圾；（八）有效防尘、降尘的其他措施。</w:t>
                  </w:r>
                </w:p>
              </w:tc>
              <w:tc>
                <w:tcPr>
                  <w:tcW w:w="2409" w:type="dxa"/>
                  <w:tcBorders>
                    <w:right w:val="single" w:color="auto" w:sz="2" w:space="0"/>
                  </w:tcBorders>
                  <w:vAlign w:val="center"/>
                </w:tcPr>
                <w:p w14:paraId="30A1FCD5">
                  <w:pPr>
                    <w:autoSpaceDE w:val="0"/>
                    <w:autoSpaceDN w:val="0"/>
                    <w:rPr>
                      <w:b/>
                      <w:bCs/>
                      <w:color w:val="auto"/>
                      <w:szCs w:val="21"/>
                    </w:rPr>
                  </w:pPr>
                  <w:r>
                    <w:rPr>
                      <w:rFonts w:hint="eastAsia"/>
                      <w:bCs/>
                      <w:color w:val="auto"/>
                      <w:szCs w:val="21"/>
                    </w:rPr>
                    <w:t>施工废水沉淀后用于场地洒水抑尘。生活污水排入防渗旱厕，定期清掏，外运堆肥，不外排。</w:t>
                  </w:r>
                </w:p>
                <w:p w14:paraId="6AC4E32F">
                  <w:pPr>
                    <w:autoSpaceDE w:val="0"/>
                    <w:autoSpaceDN w:val="0"/>
                    <w:rPr>
                      <w:bCs/>
                      <w:color w:val="auto"/>
                      <w:szCs w:val="21"/>
                    </w:rPr>
                  </w:pPr>
                  <w:r>
                    <w:rPr>
                      <w:rFonts w:hint="eastAsia"/>
                      <w:bCs/>
                      <w:color w:val="auto"/>
                      <w:szCs w:val="21"/>
                    </w:rPr>
                    <w:t>开挖过程中，洒水降尘；施工期土方表面压实、定期喷水、覆盖等措施；运输车按规定配置防洒落装备，装载不宜过满，保证运输过程中不散落；并规划好运输车辆的运行路线与时间，尽量避免在繁华区、交通集中区和居民住宅等敏感区行驶；运输车辆加蓬盖，且出装、卸场地前先冲洗干净，减少车轮、底盘等携带泥土散落路面；对运输过程中散落在路面上的泥土要及时清扫，以减少运行过程中的扬尘。合理安排高噪声设备远离敏感目标作业，同时夜间不施工。汽车晚间运输用灯光示警，禁鸣喇叭。选用低噪声机械设备，对产生噪声的施工设备加强维护和维修工作，亦对噪声有良好作用。施工残土、建筑垃圾为主要固体废物，及时清运，并按市政部门指定地点堆放。运输车辆加盖遮挡，防止产生二次扬尘。生活垃圾统一收集后由市政统一处理，</w:t>
                  </w:r>
                  <w:r>
                    <w:rPr>
                      <w:bCs/>
                      <w:color w:val="auto"/>
                      <w:szCs w:val="21"/>
                    </w:rPr>
                    <w:t>不会对周围环境造成影响。因此，本项目施工期对周边环境无明显影响。</w:t>
                  </w:r>
                </w:p>
              </w:tc>
              <w:tc>
                <w:tcPr>
                  <w:tcW w:w="433" w:type="dxa"/>
                  <w:tcBorders>
                    <w:left w:val="single" w:color="auto" w:sz="2" w:space="0"/>
                  </w:tcBorders>
                  <w:vAlign w:val="center"/>
                </w:tcPr>
                <w:p w14:paraId="016DB71C">
                  <w:pPr>
                    <w:contextualSpacing/>
                    <w:jc w:val="center"/>
                    <w:rPr>
                      <w:bCs/>
                      <w:color w:val="auto"/>
                      <w:szCs w:val="21"/>
                    </w:rPr>
                  </w:pPr>
                  <w:r>
                    <w:rPr>
                      <w:bCs/>
                      <w:color w:val="auto"/>
                      <w:szCs w:val="21"/>
                    </w:rPr>
                    <w:t>符合</w:t>
                  </w:r>
                </w:p>
              </w:tc>
            </w:tr>
            <w:tr w14:paraId="15989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34" w:type="dxa"/>
                  <w:tcBorders>
                    <w:right w:val="single" w:color="auto" w:sz="2" w:space="0"/>
                  </w:tcBorders>
                  <w:vAlign w:val="center"/>
                </w:tcPr>
                <w:p w14:paraId="7B7DB441">
                  <w:pPr>
                    <w:autoSpaceDE w:val="0"/>
                    <w:autoSpaceDN w:val="0"/>
                    <w:jc w:val="center"/>
                    <w:rPr>
                      <w:color w:val="auto"/>
                      <w:szCs w:val="21"/>
                    </w:rPr>
                  </w:pPr>
                  <w:r>
                    <w:rPr>
                      <w:rFonts w:hint="eastAsia"/>
                      <w:color w:val="auto"/>
                      <w:szCs w:val="21"/>
                    </w:rPr>
                    <w:t>2</w:t>
                  </w:r>
                </w:p>
              </w:tc>
              <w:tc>
                <w:tcPr>
                  <w:tcW w:w="3261" w:type="dxa"/>
                  <w:tcBorders>
                    <w:left w:val="single" w:color="auto" w:sz="2" w:space="0"/>
                  </w:tcBorders>
                  <w:vAlign w:val="center"/>
                </w:tcPr>
                <w:p w14:paraId="533A965B">
                  <w:pPr>
                    <w:autoSpaceDE w:val="0"/>
                    <w:autoSpaceDN w:val="0"/>
                    <w:rPr>
                      <w:color w:val="auto"/>
                      <w:szCs w:val="21"/>
                    </w:rPr>
                  </w:pPr>
                  <w:r>
                    <w:rPr>
                      <w:color w:val="auto"/>
                      <w:szCs w:val="21"/>
                    </w:rPr>
                    <w:t>暂时不能开工的建设用地，建设单位应当对裸露地面进行覆盖；超过三个月的，应当进行绿化、铺装或者遮盖。</w:t>
                  </w:r>
                </w:p>
              </w:tc>
              <w:tc>
                <w:tcPr>
                  <w:tcW w:w="2409" w:type="dxa"/>
                  <w:tcBorders>
                    <w:right w:val="single" w:color="auto" w:sz="2" w:space="0"/>
                  </w:tcBorders>
                  <w:vAlign w:val="center"/>
                </w:tcPr>
                <w:p w14:paraId="0B3FED25">
                  <w:pPr>
                    <w:autoSpaceDE w:val="0"/>
                    <w:autoSpaceDN w:val="0"/>
                    <w:rPr>
                      <w:color w:val="auto"/>
                      <w:szCs w:val="21"/>
                    </w:rPr>
                  </w:pPr>
                  <w:r>
                    <w:rPr>
                      <w:bCs/>
                      <w:color w:val="auto"/>
                      <w:szCs w:val="21"/>
                    </w:rPr>
                    <w:t>本项目开工建设前</w:t>
                  </w:r>
                  <w:r>
                    <w:rPr>
                      <w:color w:val="auto"/>
                      <w:szCs w:val="21"/>
                    </w:rPr>
                    <w:t>对裸露地面进行覆盖</w:t>
                  </w:r>
                  <w:r>
                    <w:rPr>
                      <w:bCs/>
                      <w:color w:val="auto"/>
                      <w:szCs w:val="21"/>
                    </w:rPr>
                    <w:t>。</w:t>
                  </w:r>
                </w:p>
              </w:tc>
              <w:tc>
                <w:tcPr>
                  <w:tcW w:w="433" w:type="dxa"/>
                  <w:tcBorders>
                    <w:left w:val="single" w:color="auto" w:sz="2" w:space="0"/>
                  </w:tcBorders>
                  <w:vAlign w:val="center"/>
                </w:tcPr>
                <w:p w14:paraId="257C3A33">
                  <w:pPr>
                    <w:contextualSpacing/>
                    <w:jc w:val="center"/>
                    <w:rPr>
                      <w:bCs/>
                      <w:color w:val="auto"/>
                      <w:szCs w:val="21"/>
                    </w:rPr>
                  </w:pPr>
                  <w:r>
                    <w:rPr>
                      <w:bCs/>
                      <w:color w:val="auto"/>
                      <w:szCs w:val="21"/>
                    </w:rPr>
                    <w:t>符合</w:t>
                  </w:r>
                </w:p>
              </w:tc>
            </w:tr>
            <w:tr w14:paraId="66371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34" w:type="dxa"/>
                  <w:tcBorders>
                    <w:right w:val="single" w:color="auto" w:sz="2" w:space="0"/>
                  </w:tcBorders>
                  <w:vAlign w:val="center"/>
                </w:tcPr>
                <w:p w14:paraId="52D10925">
                  <w:pPr>
                    <w:autoSpaceDE w:val="0"/>
                    <w:autoSpaceDN w:val="0"/>
                    <w:jc w:val="center"/>
                    <w:rPr>
                      <w:color w:val="auto"/>
                      <w:szCs w:val="21"/>
                    </w:rPr>
                  </w:pPr>
                  <w:r>
                    <w:rPr>
                      <w:rFonts w:hint="eastAsia"/>
                      <w:color w:val="auto"/>
                      <w:szCs w:val="21"/>
                    </w:rPr>
                    <w:t>3</w:t>
                  </w:r>
                </w:p>
              </w:tc>
              <w:tc>
                <w:tcPr>
                  <w:tcW w:w="3261" w:type="dxa"/>
                  <w:tcBorders>
                    <w:left w:val="single" w:color="auto" w:sz="2" w:space="0"/>
                  </w:tcBorders>
                  <w:vAlign w:val="center"/>
                </w:tcPr>
                <w:p w14:paraId="513CC6F5">
                  <w:pPr>
                    <w:autoSpaceDE w:val="0"/>
                    <w:autoSpaceDN w:val="0"/>
                    <w:rPr>
                      <w:color w:val="auto"/>
                      <w:szCs w:val="21"/>
                    </w:rPr>
                  </w:pPr>
                  <w:r>
                    <w:rPr>
                      <w:color w:val="auto"/>
                      <w:szCs w:val="21"/>
                    </w:rPr>
                    <w:t>矿山企业应当按照设计和开发利用方案作业，设置废石、废渣、泥土等专门存放地，并采取围挡、硬化施工道路、洒水降尘、设置防风抑尘网或者防尘布等防尘、降尘措施。开采后应当及时进行</w:t>
                  </w:r>
                  <w:r>
                    <w:rPr>
                      <w:color w:val="auto"/>
                    </w:rPr>
                    <w:fldChar w:fldCharType="begin"/>
                  </w:r>
                  <w:r>
                    <w:rPr>
                      <w:color w:val="auto"/>
                    </w:rPr>
                    <w:instrText xml:space="preserve"> HYPERLINK "http://www.chndaqi.com/news/field?fid=42" \t "_blank" \o "生态修复" </w:instrText>
                  </w:r>
                  <w:r>
                    <w:rPr>
                      <w:color w:val="auto"/>
                    </w:rPr>
                    <w:fldChar w:fldCharType="separate"/>
                  </w:r>
                  <w:r>
                    <w:rPr>
                      <w:rStyle w:val="32"/>
                      <w:color w:val="auto"/>
                      <w:szCs w:val="21"/>
                      <w:u w:val="none"/>
                    </w:rPr>
                    <w:t>生态修复</w:t>
                  </w:r>
                  <w:r>
                    <w:rPr>
                      <w:rStyle w:val="32"/>
                      <w:color w:val="auto"/>
                      <w:szCs w:val="21"/>
                      <w:u w:val="none"/>
                    </w:rPr>
                    <w:fldChar w:fldCharType="end"/>
                  </w:r>
                  <w:r>
                    <w:rPr>
                      <w:color w:val="auto"/>
                      <w:szCs w:val="21"/>
                    </w:rPr>
                    <w:t>，防治扬尘污染。</w:t>
                  </w:r>
                </w:p>
              </w:tc>
              <w:tc>
                <w:tcPr>
                  <w:tcW w:w="2409" w:type="dxa"/>
                  <w:tcBorders>
                    <w:right w:val="single" w:color="auto" w:sz="2" w:space="0"/>
                  </w:tcBorders>
                  <w:vAlign w:val="center"/>
                </w:tcPr>
                <w:p w14:paraId="66282DB2">
                  <w:pPr>
                    <w:autoSpaceDE w:val="0"/>
                    <w:autoSpaceDN w:val="0"/>
                    <w:rPr>
                      <w:color w:val="auto"/>
                      <w:szCs w:val="21"/>
                    </w:rPr>
                  </w:pPr>
                  <w:r>
                    <w:rPr>
                      <w:color w:val="auto"/>
                      <w:kern w:val="0"/>
                      <w:szCs w:val="21"/>
                    </w:rPr>
                    <w:t>本项目为沥青混凝土加工项目，非</w:t>
                  </w:r>
                  <w:r>
                    <w:rPr>
                      <w:color w:val="auto"/>
                      <w:szCs w:val="21"/>
                    </w:rPr>
                    <w:t>矿山企业</w:t>
                  </w:r>
                  <w:r>
                    <w:rPr>
                      <w:color w:val="auto"/>
                      <w:kern w:val="0"/>
                      <w:szCs w:val="21"/>
                    </w:rPr>
                    <w:t>。</w:t>
                  </w:r>
                </w:p>
              </w:tc>
              <w:tc>
                <w:tcPr>
                  <w:tcW w:w="433" w:type="dxa"/>
                  <w:tcBorders>
                    <w:left w:val="single" w:color="auto" w:sz="2" w:space="0"/>
                  </w:tcBorders>
                  <w:vAlign w:val="center"/>
                </w:tcPr>
                <w:p w14:paraId="139EA3AF">
                  <w:pPr>
                    <w:autoSpaceDE w:val="0"/>
                    <w:autoSpaceDN w:val="0"/>
                    <w:jc w:val="center"/>
                    <w:rPr>
                      <w:color w:val="auto"/>
                      <w:szCs w:val="21"/>
                    </w:rPr>
                  </w:pPr>
                  <w:r>
                    <w:rPr>
                      <w:color w:val="auto"/>
                      <w:szCs w:val="21"/>
                    </w:rPr>
                    <w:t>符合</w:t>
                  </w:r>
                </w:p>
              </w:tc>
            </w:tr>
          </w:tbl>
          <w:p w14:paraId="50A6B8D5">
            <w:pPr>
              <w:autoSpaceDE w:val="0"/>
              <w:autoSpaceDN w:val="0"/>
              <w:adjustRightInd w:val="0"/>
              <w:snapToGrid w:val="0"/>
              <w:spacing w:line="360" w:lineRule="auto"/>
              <w:ind w:firstLine="482" w:firstLineChars="200"/>
              <w:jc w:val="left"/>
              <w:rPr>
                <w:b/>
                <w:color w:val="auto"/>
                <w:sz w:val="24"/>
              </w:rPr>
            </w:pPr>
            <w:r>
              <w:rPr>
                <w:rFonts w:hint="eastAsia"/>
                <w:b/>
                <w:color w:val="auto"/>
                <w:kern w:val="0"/>
                <w:sz w:val="24"/>
                <w:szCs w:val="21"/>
              </w:rPr>
              <w:t>4、</w:t>
            </w:r>
            <w:r>
              <w:rPr>
                <w:rFonts w:hint="eastAsia"/>
                <w:b/>
                <w:color w:val="auto"/>
                <w:sz w:val="24"/>
              </w:rPr>
              <w:t>与</w:t>
            </w:r>
            <w:r>
              <w:rPr>
                <w:rFonts w:hint="eastAsia"/>
                <w:b/>
                <w:bCs/>
                <w:color w:val="auto"/>
                <w:sz w:val="24"/>
              </w:rPr>
              <w:t>《地下水管理条例》（中华人民共和国国务院令 第748号）符合性分析</w:t>
            </w:r>
          </w:p>
          <w:p w14:paraId="45719B13">
            <w:pPr>
              <w:jc w:val="center"/>
              <w:rPr>
                <w:b/>
                <w:bCs/>
                <w:color w:val="auto"/>
                <w:sz w:val="24"/>
              </w:rPr>
            </w:pPr>
            <w:r>
              <w:rPr>
                <w:rFonts w:hAnsi="宋体"/>
                <w:b/>
                <w:bCs/>
                <w:color w:val="auto"/>
                <w:sz w:val="24"/>
              </w:rPr>
              <w:t>表</w:t>
            </w:r>
            <w:r>
              <w:rPr>
                <w:b/>
                <w:bCs/>
                <w:color w:val="auto"/>
                <w:sz w:val="24"/>
              </w:rPr>
              <w:t>1-</w:t>
            </w:r>
            <w:r>
              <w:rPr>
                <w:rFonts w:hint="eastAsia"/>
                <w:b/>
                <w:bCs/>
                <w:color w:val="auto"/>
                <w:sz w:val="24"/>
              </w:rPr>
              <w:t>4</w:t>
            </w:r>
            <w:r>
              <w:rPr>
                <w:b/>
                <w:bCs/>
                <w:color w:val="auto"/>
                <w:sz w:val="24"/>
              </w:rPr>
              <w:t xml:space="preserve"> </w:t>
            </w:r>
            <w:r>
              <w:rPr>
                <w:rFonts w:hAnsi="宋体"/>
                <w:b/>
                <w:bCs/>
                <w:color w:val="auto"/>
                <w:sz w:val="24"/>
              </w:rPr>
              <w:t>与</w:t>
            </w:r>
            <w:r>
              <w:rPr>
                <w:rFonts w:hint="eastAsia" w:hAnsi="宋体"/>
                <w:b/>
                <w:bCs/>
                <w:color w:val="auto"/>
                <w:sz w:val="24"/>
              </w:rPr>
              <w:t>《地下水管理条例》</w:t>
            </w:r>
            <w:r>
              <w:rPr>
                <w:rFonts w:hAnsi="宋体"/>
                <w:b/>
                <w:bCs/>
                <w:color w:val="auto"/>
                <w:sz w:val="24"/>
              </w:rPr>
              <w:t>符合性一览表</w:t>
            </w:r>
          </w:p>
          <w:tbl>
            <w:tblPr>
              <w:tblStyle w:val="27"/>
              <w:tblW w:w="66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1"/>
              <w:gridCol w:w="19"/>
              <w:gridCol w:w="3098"/>
              <w:gridCol w:w="24"/>
              <w:gridCol w:w="2386"/>
              <w:gridCol w:w="23"/>
              <w:gridCol w:w="550"/>
              <w:gridCol w:w="47"/>
            </w:tblGrid>
            <w:tr w14:paraId="4DD3A3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2" w:type="pct"/>
                <w:trHeight w:val="86" w:hRule="atLeast"/>
                <w:tblHeader/>
                <w:jc w:val="center"/>
              </w:trPr>
              <w:tc>
                <w:tcPr>
                  <w:tcW w:w="356" w:type="pct"/>
                  <w:vAlign w:val="center"/>
                </w:tcPr>
                <w:p w14:paraId="2FBEE0E7">
                  <w:pPr>
                    <w:pStyle w:val="96"/>
                    <w:spacing w:line="0" w:lineRule="atLeast"/>
                    <w:rPr>
                      <w:rFonts w:eastAsiaTheme="minorEastAsia"/>
                      <w:color w:val="auto"/>
                    </w:rPr>
                  </w:pPr>
                  <w:r>
                    <w:rPr>
                      <w:rFonts w:hAnsiTheme="minorEastAsia" w:eastAsiaTheme="minorEastAsia"/>
                      <w:color w:val="auto"/>
                    </w:rPr>
                    <w:t>序号</w:t>
                  </w:r>
                </w:p>
              </w:tc>
              <w:tc>
                <w:tcPr>
                  <w:tcW w:w="2355" w:type="pct"/>
                  <w:gridSpan w:val="2"/>
                  <w:vAlign w:val="center"/>
                </w:tcPr>
                <w:p w14:paraId="1D897BC0">
                  <w:pPr>
                    <w:pStyle w:val="96"/>
                    <w:spacing w:line="0" w:lineRule="atLeast"/>
                    <w:rPr>
                      <w:rFonts w:eastAsiaTheme="minorEastAsia"/>
                      <w:color w:val="auto"/>
                    </w:rPr>
                  </w:pPr>
                  <w:r>
                    <w:rPr>
                      <w:rFonts w:hAnsiTheme="minorEastAsia" w:eastAsiaTheme="minorEastAsia"/>
                      <w:color w:val="auto"/>
                    </w:rPr>
                    <w:t>《地下水管理条例》（中华人民共和国国务院令</w:t>
                  </w:r>
                  <w:r>
                    <w:rPr>
                      <w:rFonts w:eastAsiaTheme="minorEastAsia"/>
                      <w:color w:val="auto"/>
                    </w:rPr>
                    <w:t xml:space="preserve"> </w:t>
                  </w:r>
                  <w:r>
                    <w:rPr>
                      <w:rFonts w:hAnsiTheme="minorEastAsia" w:eastAsiaTheme="minorEastAsia"/>
                      <w:color w:val="auto"/>
                    </w:rPr>
                    <w:t>第</w:t>
                  </w:r>
                  <w:r>
                    <w:rPr>
                      <w:rFonts w:eastAsiaTheme="minorEastAsia"/>
                      <w:color w:val="auto"/>
                    </w:rPr>
                    <w:t>748</w:t>
                  </w:r>
                  <w:r>
                    <w:rPr>
                      <w:rFonts w:hAnsiTheme="minorEastAsia" w:eastAsiaTheme="minorEastAsia"/>
                      <w:color w:val="auto"/>
                    </w:rPr>
                    <w:t>号）</w:t>
                  </w:r>
                </w:p>
              </w:tc>
              <w:tc>
                <w:tcPr>
                  <w:tcW w:w="1821" w:type="pct"/>
                  <w:gridSpan w:val="2"/>
                  <w:vAlign w:val="center"/>
                </w:tcPr>
                <w:p w14:paraId="415F9E0F">
                  <w:pPr>
                    <w:pStyle w:val="96"/>
                    <w:spacing w:line="0" w:lineRule="atLeast"/>
                    <w:rPr>
                      <w:rFonts w:eastAsiaTheme="minorEastAsia"/>
                      <w:color w:val="auto"/>
                    </w:rPr>
                  </w:pPr>
                  <w:r>
                    <w:rPr>
                      <w:rFonts w:hAnsiTheme="minorEastAsia" w:eastAsiaTheme="minorEastAsia"/>
                      <w:color w:val="auto"/>
                    </w:rPr>
                    <w:t>本项目</w:t>
                  </w:r>
                </w:p>
              </w:tc>
              <w:tc>
                <w:tcPr>
                  <w:tcW w:w="433" w:type="pct"/>
                  <w:gridSpan w:val="2"/>
                  <w:vAlign w:val="center"/>
                </w:tcPr>
                <w:p w14:paraId="7182FBD0">
                  <w:pPr>
                    <w:pStyle w:val="96"/>
                    <w:spacing w:line="0" w:lineRule="atLeast"/>
                    <w:rPr>
                      <w:rFonts w:eastAsiaTheme="minorEastAsia"/>
                      <w:color w:val="auto"/>
                    </w:rPr>
                  </w:pPr>
                  <w:r>
                    <w:rPr>
                      <w:rFonts w:hAnsiTheme="minorEastAsia" w:eastAsiaTheme="minorEastAsia"/>
                      <w:color w:val="auto"/>
                      <w:kern w:val="0"/>
                      <w:szCs w:val="21"/>
                    </w:rPr>
                    <w:t>符合性</w:t>
                  </w:r>
                </w:p>
              </w:tc>
            </w:tr>
            <w:tr w14:paraId="455EB2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2" w:type="pct"/>
                <w:trHeight w:val="677" w:hRule="atLeast"/>
                <w:jc w:val="center"/>
              </w:trPr>
              <w:tc>
                <w:tcPr>
                  <w:tcW w:w="356" w:type="pct"/>
                  <w:vAlign w:val="center"/>
                </w:tcPr>
                <w:p w14:paraId="724EB06C">
                  <w:pPr>
                    <w:pStyle w:val="96"/>
                    <w:spacing w:line="0" w:lineRule="atLeast"/>
                    <w:rPr>
                      <w:rFonts w:eastAsiaTheme="minorEastAsia"/>
                      <w:color w:val="auto"/>
                    </w:rPr>
                  </w:pPr>
                  <w:r>
                    <w:rPr>
                      <w:rFonts w:eastAsiaTheme="minorEastAsia"/>
                      <w:color w:val="auto"/>
                    </w:rPr>
                    <w:t>1</w:t>
                  </w:r>
                </w:p>
              </w:tc>
              <w:tc>
                <w:tcPr>
                  <w:tcW w:w="2355" w:type="pct"/>
                  <w:gridSpan w:val="2"/>
                  <w:vAlign w:val="center"/>
                </w:tcPr>
                <w:p w14:paraId="1DC9C687">
                  <w:pPr>
                    <w:pStyle w:val="96"/>
                    <w:spacing w:line="0" w:lineRule="atLeast"/>
                    <w:rPr>
                      <w:rFonts w:eastAsiaTheme="minorEastAsia"/>
                      <w:color w:val="auto"/>
                      <w:szCs w:val="21"/>
                    </w:rPr>
                  </w:pPr>
                  <w:r>
                    <w:rPr>
                      <w:rFonts w:hAnsiTheme="minorEastAsia" w:eastAsiaTheme="minorEastAsia"/>
                      <w:color w:val="auto"/>
                      <w:szCs w:val="21"/>
                    </w:rPr>
                    <w:t>利用地下水的单位和个人应当加强地下水取水工程管理，节约、保护地下水，防止地下水污染。</w:t>
                  </w:r>
                </w:p>
              </w:tc>
              <w:tc>
                <w:tcPr>
                  <w:tcW w:w="1821" w:type="pct"/>
                  <w:gridSpan w:val="2"/>
                  <w:vAlign w:val="center"/>
                </w:tcPr>
                <w:p w14:paraId="2144C3F9">
                  <w:pPr>
                    <w:pStyle w:val="96"/>
                    <w:spacing w:line="0" w:lineRule="atLeast"/>
                    <w:rPr>
                      <w:rFonts w:eastAsiaTheme="minorEastAsia"/>
                      <w:color w:val="auto"/>
                    </w:rPr>
                  </w:pPr>
                  <w:r>
                    <w:rPr>
                      <w:rFonts w:hAnsiTheme="minorEastAsia" w:eastAsiaTheme="minorEastAsia"/>
                      <w:color w:val="auto"/>
                      <w:szCs w:val="21"/>
                    </w:rPr>
                    <w:t>本项目利用地下水，</w:t>
                  </w:r>
                  <w:r>
                    <w:rPr>
                      <w:rFonts w:hint="eastAsia" w:hAnsiTheme="minorEastAsia" w:eastAsiaTheme="minorEastAsia"/>
                      <w:color w:val="auto"/>
                      <w:szCs w:val="21"/>
                    </w:rPr>
                    <w:t>用水主要为生活用水和降尘用水，生活污水排入防渗旱厕，定期清掏，外运堆肥，不外排。无生产废水。</w:t>
                  </w:r>
                </w:p>
              </w:tc>
              <w:tc>
                <w:tcPr>
                  <w:tcW w:w="433" w:type="pct"/>
                  <w:gridSpan w:val="2"/>
                  <w:vAlign w:val="center"/>
                </w:tcPr>
                <w:p w14:paraId="1C840F21">
                  <w:pPr>
                    <w:pStyle w:val="96"/>
                    <w:spacing w:line="0" w:lineRule="atLeast"/>
                    <w:rPr>
                      <w:rFonts w:eastAsiaTheme="minorEastAsia"/>
                      <w:color w:val="auto"/>
                    </w:rPr>
                  </w:pPr>
                  <w:r>
                    <w:rPr>
                      <w:rFonts w:hAnsiTheme="minorEastAsia" w:eastAsiaTheme="minorEastAsia"/>
                      <w:color w:val="auto"/>
                    </w:rPr>
                    <w:t>符合</w:t>
                  </w:r>
                </w:p>
              </w:tc>
            </w:tr>
            <w:tr w14:paraId="423E5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2" w:type="pct"/>
                <w:trHeight w:val="677" w:hRule="atLeast"/>
                <w:jc w:val="center"/>
              </w:trPr>
              <w:tc>
                <w:tcPr>
                  <w:tcW w:w="356" w:type="pct"/>
                  <w:vAlign w:val="center"/>
                </w:tcPr>
                <w:p w14:paraId="0291018C">
                  <w:pPr>
                    <w:pStyle w:val="96"/>
                    <w:spacing w:line="0" w:lineRule="atLeast"/>
                    <w:rPr>
                      <w:rFonts w:eastAsiaTheme="minorEastAsia"/>
                      <w:color w:val="auto"/>
                    </w:rPr>
                  </w:pPr>
                  <w:r>
                    <w:rPr>
                      <w:rFonts w:eastAsiaTheme="minorEastAsia"/>
                      <w:color w:val="auto"/>
                    </w:rPr>
                    <w:t>2</w:t>
                  </w:r>
                </w:p>
              </w:tc>
              <w:tc>
                <w:tcPr>
                  <w:tcW w:w="2355" w:type="pct"/>
                  <w:gridSpan w:val="2"/>
                  <w:vAlign w:val="center"/>
                </w:tcPr>
                <w:p w14:paraId="624B8CE9">
                  <w:pPr>
                    <w:pStyle w:val="22"/>
                    <w:shd w:val="clear" w:color="auto" w:fill="FFFFFF"/>
                    <w:spacing w:before="0" w:beforeAutospacing="0" w:after="0" w:afterAutospacing="0" w:line="0" w:lineRule="atLeast"/>
                    <w:jc w:val="center"/>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建设单位和个人应当采取措施防止地下工程建设对地下水补给、径流、排泄等造成重大不利影响。</w:t>
                  </w:r>
                </w:p>
              </w:tc>
              <w:tc>
                <w:tcPr>
                  <w:tcW w:w="1821" w:type="pct"/>
                  <w:gridSpan w:val="2"/>
                  <w:vAlign w:val="center"/>
                </w:tcPr>
                <w:p w14:paraId="1E5A9DAD">
                  <w:pPr>
                    <w:pStyle w:val="96"/>
                    <w:spacing w:line="0" w:lineRule="atLeast"/>
                    <w:rPr>
                      <w:rFonts w:eastAsiaTheme="minorEastAsia"/>
                      <w:color w:val="auto"/>
                      <w:szCs w:val="21"/>
                    </w:rPr>
                  </w:pPr>
                  <w:r>
                    <w:rPr>
                      <w:rFonts w:hAnsiTheme="minorEastAsia" w:eastAsiaTheme="minorEastAsia"/>
                      <w:color w:val="auto"/>
                      <w:szCs w:val="21"/>
                    </w:rPr>
                    <w:t>项目运营对地下水构成污染的可能环节设置防渗，不存在地下水污染途径</w:t>
                  </w:r>
                  <w:r>
                    <w:rPr>
                      <w:rFonts w:hint="eastAsia" w:hAnsiTheme="minorEastAsia" w:eastAsiaTheme="minorEastAsia"/>
                      <w:color w:val="auto"/>
                      <w:szCs w:val="21"/>
                    </w:rPr>
                    <w:t>。</w:t>
                  </w:r>
                </w:p>
              </w:tc>
              <w:tc>
                <w:tcPr>
                  <w:tcW w:w="433" w:type="pct"/>
                  <w:gridSpan w:val="2"/>
                  <w:vAlign w:val="center"/>
                </w:tcPr>
                <w:p w14:paraId="5452D5FF">
                  <w:pPr>
                    <w:pStyle w:val="96"/>
                    <w:spacing w:line="0" w:lineRule="atLeast"/>
                    <w:rPr>
                      <w:rFonts w:eastAsiaTheme="minorEastAsia"/>
                      <w:color w:val="auto"/>
                    </w:rPr>
                  </w:pPr>
                  <w:r>
                    <w:rPr>
                      <w:rFonts w:hAnsiTheme="minorEastAsia" w:eastAsiaTheme="minorEastAsia"/>
                      <w:color w:val="auto"/>
                    </w:rPr>
                    <w:t>符合</w:t>
                  </w:r>
                </w:p>
              </w:tc>
            </w:tr>
            <w:tr w14:paraId="3BE3F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31" w:hRule="atLeast"/>
                <w:jc w:val="center"/>
              </w:trPr>
              <w:tc>
                <w:tcPr>
                  <w:tcW w:w="370" w:type="pct"/>
                  <w:gridSpan w:val="2"/>
                  <w:vAlign w:val="center"/>
                </w:tcPr>
                <w:p w14:paraId="3267113D">
                  <w:pPr>
                    <w:pStyle w:val="96"/>
                    <w:spacing w:line="0" w:lineRule="atLeast"/>
                    <w:rPr>
                      <w:rFonts w:eastAsiaTheme="minorEastAsia"/>
                      <w:color w:val="auto"/>
                    </w:rPr>
                  </w:pPr>
                  <w:r>
                    <w:rPr>
                      <w:rFonts w:hint="eastAsia" w:eastAsiaTheme="minorEastAsia"/>
                      <w:color w:val="auto"/>
                    </w:rPr>
                    <w:t>3</w:t>
                  </w:r>
                </w:p>
              </w:tc>
              <w:tc>
                <w:tcPr>
                  <w:tcW w:w="2358" w:type="pct"/>
                  <w:gridSpan w:val="2"/>
                  <w:vAlign w:val="center"/>
                </w:tcPr>
                <w:p w14:paraId="2190ECCB">
                  <w:pPr>
                    <w:pStyle w:val="22"/>
                    <w:shd w:val="clear" w:color="auto" w:fill="FFFFFF"/>
                    <w:spacing w:before="0" w:beforeAutospacing="0" w:after="0" w:afterAutospacing="0" w:line="0" w:lineRule="atLeast"/>
                    <w:jc w:val="center"/>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使用先进节约用水技术、工艺和设备，采取循环用水、综合利用及废水处理回用等措施，实施技术改造，降低用水消耗</w:t>
                  </w:r>
                </w:p>
                <w:p w14:paraId="277178AB">
                  <w:pPr>
                    <w:pStyle w:val="22"/>
                    <w:shd w:val="clear" w:color="auto" w:fill="FFFFFF"/>
                    <w:spacing w:before="0" w:beforeAutospacing="0" w:after="0" w:afterAutospacing="0" w:line="0" w:lineRule="atLeast"/>
                    <w:jc w:val="center"/>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（一）列入淘汰落后的、耗水量高的工艺、设备和产品名录的；</w:t>
                  </w:r>
                </w:p>
                <w:p w14:paraId="4522D8D5">
                  <w:pPr>
                    <w:widowControl/>
                    <w:shd w:val="clear" w:color="auto" w:fill="FFFFFF"/>
                    <w:spacing w:line="0" w:lineRule="atLeast"/>
                    <w:jc w:val="center"/>
                    <w:rPr>
                      <w:rFonts w:eastAsiaTheme="minorEastAsia"/>
                      <w:color w:val="auto"/>
                      <w:szCs w:val="21"/>
                    </w:rPr>
                  </w:pPr>
                  <w:r>
                    <w:rPr>
                      <w:rFonts w:hAnsiTheme="minorEastAsia" w:eastAsiaTheme="minorEastAsia"/>
                      <w:color w:val="auto"/>
                      <w:szCs w:val="21"/>
                    </w:rPr>
                    <w:t>（二）列入限期禁止采用的严重污染水环境的工艺名录和限期禁止生产、销售、进口、使用的严重污染水环境的设备名录的。</w:t>
                  </w:r>
                </w:p>
              </w:tc>
              <w:tc>
                <w:tcPr>
                  <w:tcW w:w="1820" w:type="pct"/>
                  <w:gridSpan w:val="2"/>
                  <w:vAlign w:val="center"/>
                </w:tcPr>
                <w:p w14:paraId="7D2926D7">
                  <w:pPr>
                    <w:pStyle w:val="96"/>
                    <w:spacing w:line="0" w:lineRule="atLeast"/>
                    <w:rPr>
                      <w:rFonts w:eastAsiaTheme="minorEastAsia"/>
                      <w:color w:val="auto"/>
                    </w:rPr>
                  </w:pPr>
                  <w:r>
                    <w:rPr>
                      <w:rFonts w:hAnsiTheme="minorEastAsia" w:eastAsiaTheme="minorEastAsia"/>
                      <w:color w:val="auto"/>
                      <w:szCs w:val="21"/>
                    </w:rPr>
                    <w:t>本项目生产工艺及设备不属于列入淘汰落后的、耗水量高的工艺、设备和产品名录的；不属于列入限期禁止采用的严重污染水环境的工艺名录和限期禁止生产、销售、进口、使用的严重污染水环境的设备名录的</w:t>
                  </w:r>
                  <w:r>
                    <w:rPr>
                      <w:rFonts w:hint="eastAsia" w:hAnsiTheme="minorEastAsia" w:eastAsiaTheme="minorEastAsia"/>
                      <w:color w:val="auto"/>
                      <w:szCs w:val="21"/>
                    </w:rPr>
                    <w:t>。</w:t>
                  </w:r>
                </w:p>
              </w:tc>
              <w:tc>
                <w:tcPr>
                  <w:tcW w:w="451" w:type="pct"/>
                  <w:gridSpan w:val="2"/>
                  <w:vAlign w:val="center"/>
                </w:tcPr>
                <w:p w14:paraId="7BFE4D5A">
                  <w:pPr>
                    <w:pStyle w:val="96"/>
                    <w:spacing w:line="0" w:lineRule="atLeast"/>
                    <w:rPr>
                      <w:rFonts w:eastAsiaTheme="minorEastAsia"/>
                      <w:color w:val="auto"/>
                    </w:rPr>
                  </w:pPr>
                  <w:r>
                    <w:rPr>
                      <w:rFonts w:hAnsiTheme="minorEastAsia" w:eastAsiaTheme="minorEastAsia"/>
                      <w:color w:val="auto"/>
                    </w:rPr>
                    <w:t>符合</w:t>
                  </w:r>
                </w:p>
              </w:tc>
            </w:tr>
            <w:tr w14:paraId="1DEB54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370" w:type="pct"/>
                  <w:gridSpan w:val="2"/>
                  <w:vAlign w:val="center"/>
                </w:tcPr>
                <w:p w14:paraId="33FDF133">
                  <w:pPr>
                    <w:pStyle w:val="96"/>
                    <w:spacing w:line="0" w:lineRule="atLeast"/>
                    <w:rPr>
                      <w:rFonts w:eastAsiaTheme="minorEastAsia"/>
                      <w:color w:val="auto"/>
                    </w:rPr>
                  </w:pPr>
                  <w:r>
                    <w:rPr>
                      <w:rFonts w:eastAsiaTheme="minorEastAsia"/>
                      <w:color w:val="auto"/>
                    </w:rPr>
                    <w:t>4</w:t>
                  </w:r>
                </w:p>
              </w:tc>
              <w:tc>
                <w:tcPr>
                  <w:tcW w:w="2358" w:type="pct"/>
                  <w:gridSpan w:val="2"/>
                  <w:vAlign w:val="center"/>
                </w:tcPr>
                <w:p w14:paraId="2D496E5E">
                  <w:pPr>
                    <w:pStyle w:val="22"/>
                    <w:shd w:val="clear" w:color="auto" w:fill="FFFFFF"/>
                    <w:spacing w:before="0" w:beforeAutospacing="0" w:after="0" w:afterAutospacing="0" w:line="0" w:lineRule="atLeast"/>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禁止下列污染或者可能污染地下水的行为：</w:t>
                  </w:r>
                </w:p>
                <w:p w14:paraId="28E77762">
                  <w:pPr>
                    <w:pStyle w:val="22"/>
                    <w:shd w:val="clear" w:color="auto" w:fill="FFFFFF"/>
                    <w:spacing w:before="0" w:beforeAutospacing="0" w:after="0" w:afterAutospacing="0" w:line="0" w:lineRule="atLeast"/>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（一）利用渗井、渗坑、裂隙、溶洞以及私设暗管等逃避监管的方式排放水污染物；</w:t>
                  </w:r>
                </w:p>
                <w:p w14:paraId="42CDC2FE">
                  <w:pPr>
                    <w:pStyle w:val="22"/>
                    <w:shd w:val="clear" w:color="auto" w:fill="FFFFFF"/>
                    <w:spacing w:before="0" w:beforeAutospacing="0" w:after="0" w:afterAutospacing="0" w:line="0" w:lineRule="atLeast"/>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（二）利用岩层孔隙、裂隙、溶洞、废弃矿坑等贮存石化原料及产品、农药、危险废物、城镇污水处理设施产生的污泥和处理后的污泥或者其他有毒有害物质；</w:t>
                  </w:r>
                </w:p>
                <w:p w14:paraId="5B90922F">
                  <w:pPr>
                    <w:pStyle w:val="22"/>
                    <w:shd w:val="clear" w:color="auto" w:fill="FFFFFF"/>
                    <w:spacing w:before="0" w:beforeAutospacing="0" w:after="0" w:afterAutospacing="0" w:line="0" w:lineRule="atLeast"/>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（三）利用无防渗漏措施的沟渠、坑塘等输送或者贮存含有毒污染物的废水、含病原体的污水和其他废弃物；</w:t>
                  </w:r>
                </w:p>
                <w:p w14:paraId="7B3CFA9E">
                  <w:pPr>
                    <w:pStyle w:val="22"/>
                    <w:shd w:val="clear" w:color="auto" w:fill="FFFFFF"/>
                    <w:spacing w:before="0" w:beforeAutospacing="0" w:after="0" w:afterAutospacing="0" w:line="0" w:lineRule="atLeast"/>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（四）法律、法规禁止的其他污染或者可能污染地下水的行为。</w:t>
                  </w:r>
                </w:p>
              </w:tc>
              <w:tc>
                <w:tcPr>
                  <w:tcW w:w="1820" w:type="pct"/>
                  <w:gridSpan w:val="2"/>
                  <w:vAlign w:val="center"/>
                </w:tcPr>
                <w:p w14:paraId="099B1A2A">
                  <w:pPr>
                    <w:pStyle w:val="96"/>
                    <w:spacing w:line="0" w:lineRule="atLeast"/>
                    <w:rPr>
                      <w:rFonts w:eastAsiaTheme="minorEastAsia"/>
                      <w:color w:val="auto"/>
                      <w:szCs w:val="21"/>
                    </w:rPr>
                  </w:pPr>
                  <w:r>
                    <w:rPr>
                      <w:rFonts w:hAnsiTheme="minorEastAsia" w:eastAsiaTheme="minorEastAsia"/>
                      <w:bCs/>
                      <w:color w:val="auto"/>
                      <w:szCs w:val="21"/>
                    </w:rPr>
                    <w:t>本项目</w:t>
                  </w:r>
                  <w:r>
                    <w:rPr>
                      <w:rFonts w:hint="eastAsia" w:hAnsiTheme="minorEastAsia" w:eastAsiaTheme="minorEastAsia"/>
                      <w:bCs/>
                      <w:color w:val="auto"/>
                      <w:szCs w:val="21"/>
                    </w:rPr>
                    <w:t>无生产废水产生；生活污水排入防渗旱厕，定期清掏，外运堆肥，不外排。生活污水</w:t>
                  </w:r>
                  <w:r>
                    <w:rPr>
                      <w:rFonts w:hAnsiTheme="minorEastAsia" w:eastAsiaTheme="minorEastAsia"/>
                      <w:bCs/>
                      <w:color w:val="auto"/>
                      <w:szCs w:val="21"/>
                    </w:rPr>
                    <w:t>不排放至</w:t>
                  </w:r>
                  <w:r>
                    <w:rPr>
                      <w:rFonts w:hAnsiTheme="minorEastAsia" w:eastAsiaTheme="minorEastAsia"/>
                      <w:color w:val="auto"/>
                      <w:szCs w:val="21"/>
                    </w:rPr>
                    <w:t>渗井、渗坑、裂隙、溶洞；无污染地下水等行为</w:t>
                  </w:r>
                  <w:r>
                    <w:rPr>
                      <w:rFonts w:hint="eastAsia" w:hAnsiTheme="minorEastAsia" w:eastAsiaTheme="minorEastAsia"/>
                      <w:color w:val="auto"/>
                      <w:szCs w:val="21"/>
                    </w:rPr>
                    <w:t>。</w:t>
                  </w:r>
                </w:p>
              </w:tc>
              <w:tc>
                <w:tcPr>
                  <w:tcW w:w="451" w:type="pct"/>
                  <w:gridSpan w:val="2"/>
                  <w:vAlign w:val="center"/>
                </w:tcPr>
                <w:p w14:paraId="1FCE53DB">
                  <w:pPr>
                    <w:pStyle w:val="96"/>
                    <w:spacing w:line="0" w:lineRule="atLeast"/>
                    <w:rPr>
                      <w:rFonts w:eastAsiaTheme="minorEastAsia"/>
                      <w:color w:val="auto"/>
                    </w:rPr>
                  </w:pPr>
                  <w:r>
                    <w:rPr>
                      <w:rFonts w:hAnsiTheme="minorEastAsia" w:eastAsiaTheme="minorEastAsia"/>
                      <w:color w:val="auto"/>
                    </w:rPr>
                    <w:t>符合</w:t>
                  </w:r>
                </w:p>
              </w:tc>
            </w:tr>
          </w:tbl>
          <w:p w14:paraId="06493FA8">
            <w:pPr>
              <w:autoSpaceDE w:val="0"/>
              <w:autoSpaceDN w:val="0"/>
              <w:adjustRightInd w:val="0"/>
              <w:snapToGrid w:val="0"/>
              <w:spacing w:line="360" w:lineRule="auto"/>
              <w:ind w:firstLine="482" w:firstLineChars="200"/>
              <w:jc w:val="left"/>
              <w:rPr>
                <w:b/>
                <w:bCs/>
                <w:color w:val="auto"/>
                <w:sz w:val="24"/>
              </w:rPr>
            </w:pPr>
            <w:r>
              <w:rPr>
                <w:rFonts w:hint="eastAsia"/>
                <w:b/>
                <w:color w:val="auto"/>
                <w:sz w:val="24"/>
              </w:rPr>
              <w:t>5、</w:t>
            </w:r>
            <w:r>
              <w:rPr>
                <w:b/>
                <w:bCs/>
                <w:color w:val="auto"/>
                <w:sz w:val="24"/>
              </w:rPr>
              <w:t>与</w:t>
            </w:r>
            <w:r>
              <w:rPr>
                <w:rFonts w:hint="eastAsia"/>
                <w:b/>
                <w:bCs/>
                <w:color w:val="auto"/>
                <w:sz w:val="24"/>
              </w:rPr>
              <w:t>《高污染燃料目录》（国环规大气〔2017〕2号）符合性</w:t>
            </w:r>
            <w:r>
              <w:rPr>
                <w:b/>
                <w:bCs/>
                <w:color w:val="auto"/>
                <w:sz w:val="24"/>
              </w:rPr>
              <w:t>分析</w:t>
            </w:r>
          </w:p>
          <w:p w14:paraId="541762A8">
            <w:pPr>
              <w:autoSpaceDE w:val="0"/>
              <w:autoSpaceDN w:val="0"/>
              <w:adjustRightInd w:val="0"/>
              <w:snapToGrid w:val="0"/>
              <w:spacing w:line="360" w:lineRule="auto"/>
              <w:ind w:firstLine="480" w:firstLineChars="200"/>
              <w:jc w:val="left"/>
              <w:rPr>
                <w:bCs/>
                <w:color w:val="auto"/>
                <w:sz w:val="24"/>
              </w:rPr>
            </w:pPr>
            <w:r>
              <w:rPr>
                <w:rFonts w:hint="eastAsia"/>
                <w:bCs/>
                <w:color w:val="auto"/>
                <w:sz w:val="24"/>
              </w:rPr>
              <w:t>文件指出禁燃区不得使用高污染燃料，</w:t>
            </w:r>
            <w:r>
              <w:rPr>
                <w:rFonts w:hint="eastAsia"/>
                <w:bCs/>
                <w:color w:val="auto"/>
                <w:kern w:val="0"/>
                <w:sz w:val="24"/>
                <w:szCs w:val="21"/>
              </w:rPr>
              <w:t>根据哈尔滨市人民政府关于划定高污染燃料禁燃区及有关事项的通告，本项目不属于禁燃区，根据《高污染燃料目录》（国环规大气〔2017〕2号），本项目使用燃料</w:t>
            </w:r>
            <w:r>
              <w:rPr>
                <w:rFonts w:hint="eastAsia"/>
                <w:bCs/>
                <w:color w:val="auto"/>
                <w:kern w:val="0"/>
                <w:sz w:val="24"/>
                <w:szCs w:val="21"/>
                <w:lang w:val="en-US" w:eastAsia="zh-CN"/>
              </w:rPr>
              <w:t>气</w:t>
            </w:r>
            <w:r>
              <w:rPr>
                <w:rFonts w:hint="eastAsia"/>
                <w:bCs/>
                <w:color w:val="auto"/>
                <w:kern w:val="0"/>
                <w:sz w:val="24"/>
                <w:szCs w:val="21"/>
              </w:rPr>
              <w:t>不属于</w:t>
            </w:r>
            <w:r>
              <w:rPr>
                <w:bCs/>
                <w:color w:val="auto"/>
                <w:kern w:val="0"/>
                <w:sz w:val="24"/>
                <w:szCs w:val="21"/>
              </w:rPr>
              <w:t>石油焦、油页岩、原油、重油、渣油、煤焦油</w:t>
            </w:r>
            <w:r>
              <w:rPr>
                <w:rFonts w:hint="eastAsia"/>
                <w:bCs/>
                <w:color w:val="auto"/>
                <w:kern w:val="0"/>
                <w:sz w:val="24"/>
                <w:szCs w:val="21"/>
              </w:rPr>
              <w:t>，不属于高污染燃料，故符合</w:t>
            </w:r>
            <w:r>
              <w:rPr>
                <w:rFonts w:hint="eastAsia"/>
                <w:bCs/>
                <w:color w:val="auto"/>
                <w:sz w:val="24"/>
              </w:rPr>
              <w:t>《高污染燃料目录》（国环规大气〔2017〕2号）要求。</w:t>
            </w:r>
          </w:p>
          <w:p w14:paraId="0A552DA5">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sz w:val="24"/>
                <w:lang w:val="en-US" w:eastAsia="zh-CN"/>
              </w:rPr>
              <w:t>6</w:t>
            </w:r>
            <w:r>
              <w:rPr>
                <w:rFonts w:hint="eastAsia"/>
                <w:b/>
                <w:color w:val="auto"/>
                <w:sz w:val="24"/>
              </w:rPr>
              <w:t>、</w:t>
            </w:r>
            <w:r>
              <w:rPr>
                <w:rFonts w:hint="eastAsia"/>
                <w:b/>
                <w:color w:val="auto"/>
                <w:kern w:val="0"/>
                <w:sz w:val="24"/>
                <w:szCs w:val="21"/>
              </w:rPr>
              <w:t>与《黑龙江省“十四五”生态环境保护规划》符合性分析</w:t>
            </w:r>
          </w:p>
          <w:p w14:paraId="6A5ABD3C">
            <w:pPr>
              <w:autoSpaceDE w:val="0"/>
              <w:autoSpaceDN w:val="0"/>
              <w:adjustRightInd w:val="0"/>
              <w:snapToGrid w:val="0"/>
              <w:spacing w:line="360" w:lineRule="auto"/>
              <w:ind w:firstLine="480" w:firstLineChars="200"/>
              <w:rPr>
                <w:color w:val="auto"/>
                <w:sz w:val="24"/>
              </w:rPr>
            </w:pPr>
            <w:r>
              <w:rPr>
                <w:color w:val="auto"/>
                <w:sz w:val="24"/>
              </w:rPr>
              <w:t>《规划》提出：</w:t>
            </w:r>
            <w:r>
              <w:rPr>
                <w:rFonts w:hint="eastAsia"/>
                <w:color w:val="auto"/>
                <w:sz w:val="24"/>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城市裸露地面、粉粒类物料堆放以及大型煤炭和矿石码头、干散货码头物料堆场，全面完成抑尘设施建设和物料输送系统封闭改造，鼓励有条件的码头堆场实施全封闭改造。</w:t>
            </w:r>
          </w:p>
          <w:p w14:paraId="7E771BCA">
            <w:pPr>
              <w:spacing w:line="360" w:lineRule="auto"/>
              <w:ind w:firstLine="480" w:firstLineChars="200"/>
              <w:contextualSpacing/>
              <w:jc w:val="left"/>
              <w:rPr>
                <w:color w:val="auto"/>
                <w:sz w:val="24"/>
              </w:rPr>
            </w:pPr>
            <w:r>
              <w:rPr>
                <w:rFonts w:eastAsiaTheme="minorEastAsia"/>
                <w:bCs/>
                <w:color w:val="auto"/>
                <w:sz w:val="24"/>
              </w:rPr>
              <w:t>本项目矿粉采用封闭式罐车运入厂区，碎石运输车辆全部采用苫布覆盖，运输过程做到不超载，不滴、撒、漏，厂区地面洒水降尘；原料的输送、计量及投料均为封闭式。搅拌站整体封闭；厂区</w:t>
            </w:r>
            <w:r>
              <w:rPr>
                <w:rFonts w:hint="eastAsia" w:eastAsiaTheme="minorEastAsia"/>
                <w:bCs/>
                <w:color w:val="auto"/>
                <w:sz w:val="24"/>
              </w:rPr>
              <w:t>西侧</w:t>
            </w:r>
            <w:r>
              <w:rPr>
                <w:rFonts w:eastAsiaTheme="minorEastAsia"/>
                <w:bCs/>
                <w:color w:val="auto"/>
                <w:sz w:val="24"/>
              </w:rPr>
              <w:t>设置防风抑尘网，北、东</w:t>
            </w:r>
            <w:r>
              <w:rPr>
                <w:rFonts w:hint="eastAsia" w:eastAsiaTheme="minorEastAsia"/>
                <w:bCs/>
                <w:color w:val="auto"/>
                <w:sz w:val="24"/>
              </w:rPr>
              <w:t>、南侧为建筑物屏障，</w:t>
            </w:r>
            <w:r>
              <w:rPr>
                <w:rFonts w:eastAsiaTheme="minorEastAsia"/>
                <w:bCs/>
                <w:color w:val="auto"/>
                <w:sz w:val="24"/>
              </w:rPr>
              <w:t>堆场</w:t>
            </w:r>
            <w:r>
              <w:rPr>
                <w:rFonts w:hint="eastAsia"/>
                <w:color w:val="auto"/>
                <w:kern w:val="0"/>
                <w:sz w:val="24"/>
              </w:rPr>
              <w:t>每天洒水抑尘2次，</w:t>
            </w:r>
            <w:r>
              <w:rPr>
                <w:rFonts w:eastAsiaTheme="minorEastAsia"/>
                <w:bCs/>
                <w:color w:val="auto"/>
                <w:sz w:val="24"/>
              </w:rPr>
              <w:t>铲装集堆过程洒水喷淋，在矿粉筒仓顶部通过集气管道连接至除尘系统</w:t>
            </w:r>
            <w:r>
              <w:rPr>
                <w:color w:val="auto"/>
                <w:sz w:val="24"/>
              </w:rPr>
              <w:t>。综上，本项目采取污染防治措施符合</w:t>
            </w:r>
            <w:r>
              <w:rPr>
                <w:rFonts w:hint="eastAsia"/>
                <w:color w:val="auto"/>
                <w:sz w:val="24"/>
              </w:rPr>
              <w:t>《黑龙江省“十四五”生态环境保护规划》要求。</w:t>
            </w:r>
          </w:p>
          <w:p w14:paraId="4C7540BB">
            <w:pPr>
              <w:autoSpaceDE w:val="0"/>
              <w:autoSpaceDN w:val="0"/>
              <w:adjustRightInd w:val="0"/>
              <w:snapToGrid w:val="0"/>
              <w:spacing w:line="360" w:lineRule="auto"/>
              <w:ind w:firstLine="472" w:firstLineChars="196"/>
              <w:rPr>
                <w:color w:val="auto"/>
                <w:sz w:val="24"/>
              </w:rPr>
            </w:pPr>
            <w:r>
              <w:rPr>
                <w:rFonts w:hint="eastAsia"/>
                <w:b/>
                <w:color w:val="auto"/>
                <w:kern w:val="0"/>
                <w:sz w:val="24"/>
                <w:szCs w:val="21"/>
              </w:rPr>
              <w:t>9</w:t>
            </w:r>
            <w:r>
              <w:rPr>
                <w:b/>
                <w:color w:val="auto"/>
                <w:kern w:val="0"/>
                <w:sz w:val="24"/>
                <w:szCs w:val="21"/>
              </w:rPr>
              <w:t>、</w:t>
            </w:r>
            <w:r>
              <w:rPr>
                <w:rFonts w:ascii="Calibri" w:hAnsi="Calibri" w:cs="宋体"/>
                <w:b/>
                <w:color w:val="auto"/>
                <w:sz w:val="24"/>
              </w:rPr>
              <w:t>与《</w:t>
            </w:r>
            <w:r>
              <w:rPr>
                <w:rFonts w:hint="eastAsia"/>
                <w:b/>
                <w:color w:val="auto"/>
                <w:sz w:val="24"/>
              </w:rPr>
              <w:t>黑龙江省空气质量持续改善行动计划实施方案</w:t>
            </w:r>
            <w:r>
              <w:rPr>
                <w:rFonts w:ascii="Calibri" w:hAnsi="Calibri" w:cs="宋体"/>
                <w:b/>
                <w:color w:val="auto"/>
                <w:sz w:val="24"/>
              </w:rPr>
              <w:t>》符合性分析</w:t>
            </w:r>
          </w:p>
          <w:p w14:paraId="5D6D2640">
            <w:pPr>
              <w:spacing w:line="360" w:lineRule="auto"/>
              <w:ind w:firstLine="480" w:firstLineChars="200"/>
              <w:rPr>
                <w:color w:val="auto"/>
                <w:sz w:val="24"/>
              </w:rPr>
            </w:pPr>
            <w:r>
              <w:rPr>
                <w:rFonts w:hint="eastAsia"/>
                <w:color w:val="auto"/>
                <w:sz w:val="24"/>
              </w:rPr>
              <w:t>根据黑龙江省空气质量持续改善行动计划实施方案中：五、持续加强面源污染治理、（十九）深化扬尘污染综合治理。全面推行绿色施工，严格执行“六个百分之百”，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w:t>
            </w:r>
          </w:p>
          <w:p w14:paraId="211043BA">
            <w:pPr>
              <w:spacing w:line="360" w:lineRule="auto"/>
              <w:ind w:firstLine="480" w:firstLineChars="200"/>
              <w:contextualSpacing/>
              <w:jc w:val="left"/>
              <w:rPr>
                <w:color w:val="auto"/>
                <w:sz w:val="24"/>
              </w:rPr>
            </w:pPr>
            <w:r>
              <w:rPr>
                <w:rFonts w:eastAsiaTheme="minorEastAsia"/>
                <w:bCs/>
                <w:color w:val="auto"/>
                <w:sz w:val="24"/>
              </w:rPr>
              <w:t>本项目矿粉采用封闭式罐车运入厂区，碎石运输车辆全部采用苫布覆盖，运输过程做到不超载，不滴、撒、漏，厂区地面洒水降尘；原料的输送、计量及投料均为封闭式。搅拌站整体封闭；厂区设置防风抑尘网</w:t>
            </w:r>
            <w:r>
              <w:rPr>
                <w:rFonts w:hint="eastAsia" w:eastAsiaTheme="minorEastAsia"/>
                <w:bCs/>
                <w:color w:val="auto"/>
                <w:sz w:val="24"/>
              </w:rPr>
              <w:t>，</w:t>
            </w:r>
            <w:r>
              <w:rPr>
                <w:rFonts w:eastAsiaTheme="minorEastAsia"/>
                <w:bCs/>
                <w:color w:val="auto"/>
                <w:sz w:val="24"/>
              </w:rPr>
              <w:t>堆场</w:t>
            </w:r>
            <w:r>
              <w:rPr>
                <w:rFonts w:hint="eastAsia"/>
                <w:color w:val="auto"/>
                <w:kern w:val="0"/>
                <w:sz w:val="24"/>
              </w:rPr>
              <w:t>每天洒水抑尘2次，</w:t>
            </w:r>
            <w:r>
              <w:rPr>
                <w:rFonts w:eastAsiaTheme="minorEastAsia"/>
                <w:bCs/>
                <w:color w:val="auto"/>
                <w:sz w:val="24"/>
              </w:rPr>
              <w:t>铲装集堆过程洒水喷淋，在矿粉筒仓顶部通过集气管道连接至除尘系统</w:t>
            </w:r>
            <w:r>
              <w:rPr>
                <w:color w:val="auto"/>
                <w:sz w:val="24"/>
              </w:rPr>
              <w:t>。综上，本项目采取污染防治措施符合</w:t>
            </w:r>
            <w:r>
              <w:rPr>
                <w:rFonts w:hint="eastAsia"/>
                <w:color w:val="auto"/>
                <w:sz w:val="24"/>
              </w:rPr>
              <w:t>《黑龙江省空气质量持续改善行动计划实施方案》要求。</w:t>
            </w:r>
          </w:p>
          <w:p w14:paraId="61EFE683">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10</w:t>
            </w:r>
            <w:r>
              <w:rPr>
                <w:b/>
                <w:color w:val="auto"/>
                <w:kern w:val="0"/>
                <w:sz w:val="24"/>
                <w:szCs w:val="21"/>
              </w:rPr>
              <w:t>、</w:t>
            </w:r>
            <w:r>
              <w:rPr>
                <w:b/>
                <w:bCs/>
                <w:color w:val="auto"/>
                <w:kern w:val="0"/>
                <w:sz w:val="24"/>
                <w:szCs w:val="21"/>
              </w:rPr>
              <w:t>产业政策符合性分析</w:t>
            </w:r>
          </w:p>
          <w:p w14:paraId="3EB53BD8">
            <w:pPr>
              <w:autoSpaceDE w:val="0"/>
              <w:autoSpaceDN w:val="0"/>
              <w:adjustRightInd w:val="0"/>
              <w:snapToGrid w:val="0"/>
              <w:spacing w:line="360" w:lineRule="auto"/>
              <w:ind w:firstLine="480" w:firstLineChars="200"/>
              <w:jc w:val="left"/>
              <w:rPr>
                <w:color w:val="auto"/>
                <w:sz w:val="24"/>
              </w:rPr>
            </w:pPr>
            <w:r>
              <w:rPr>
                <w:color w:val="auto"/>
                <w:sz w:val="24"/>
              </w:rPr>
              <w:t>本项目不属于《产业结构调整指导目录（20</w:t>
            </w:r>
            <w:r>
              <w:rPr>
                <w:rFonts w:hint="eastAsia"/>
                <w:color w:val="auto"/>
                <w:sz w:val="24"/>
              </w:rPr>
              <w:t>24</w:t>
            </w:r>
            <w:r>
              <w:rPr>
                <w:color w:val="auto"/>
                <w:sz w:val="24"/>
              </w:rPr>
              <w:t>年本）》中限制类和淘汰类项目，属于允许类，符合国家产业政策。</w:t>
            </w:r>
          </w:p>
          <w:p w14:paraId="2781680C">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11</w:t>
            </w:r>
            <w:r>
              <w:rPr>
                <w:b/>
                <w:color w:val="auto"/>
                <w:kern w:val="0"/>
                <w:sz w:val="24"/>
                <w:szCs w:val="21"/>
              </w:rPr>
              <w:t>、选址合理性分析</w:t>
            </w:r>
          </w:p>
          <w:p w14:paraId="0A97E7A2">
            <w:pPr>
              <w:autoSpaceDE w:val="0"/>
              <w:autoSpaceDN w:val="0"/>
              <w:spacing w:line="360" w:lineRule="auto"/>
              <w:ind w:firstLine="470" w:firstLineChars="196"/>
              <w:contextualSpacing/>
              <w:jc w:val="left"/>
              <w:rPr>
                <w:rFonts w:ascii="宋体" w:hAnsi="宋体"/>
                <w:color w:val="auto"/>
                <w:kern w:val="0"/>
                <w:sz w:val="24"/>
              </w:rPr>
            </w:pPr>
            <w:r>
              <w:rPr>
                <w:color w:val="auto"/>
                <w:kern w:val="0"/>
                <w:sz w:val="24"/>
                <w:szCs w:val="21"/>
              </w:rPr>
              <w:t>（1）本项目位于</w:t>
            </w:r>
            <w:r>
              <w:rPr>
                <w:color w:val="auto"/>
                <w:sz w:val="24"/>
              </w:rPr>
              <w:t>黑龙江省</w:t>
            </w:r>
            <w:r>
              <w:rPr>
                <w:rFonts w:hint="eastAsia"/>
                <w:color w:val="auto"/>
                <w:sz w:val="24"/>
                <w:szCs w:val="24"/>
                <w:lang w:val="en-US" w:eastAsia="zh-CN"/>
              </w:rPr>
              <w:t>伊春市伊美区伊东林场</w:t>
            </w:r>
            <w:r>
              <w:rPr>
                <w:bCs/>
                <w:color w:val="auto"/>
                <w:sz w:val="24"/>
              </w:rPr>
              <w:t>，</w:t>
            </w:r>
            <w:r>
              <w:rPr>
                <w:rFonts w:hint="eastAsia" w:ascii="宋体" w:hAnsi="宋体"/>
                <w:color w:val="auto"/>
                <w:kern w:val="0"/>
                <w:sz w:val="24"/>
              </w:rPr>
              <w:t>项目用地为</w:t>
            </w:r>
            <w:r>
              <w:rPr>
                <w:rFonts w:hint="eastAsia"/>
                <w:color w:val="auto"/>
                <w:sz w:val="24"/>
                <w:lang w:val="en-US" w:eastAsia="zh-CN"/>
              </w:rPr>
              <w:t>临时</w:t>
            </w:r>
            <w:r>
              <w:rPr>
                <w:rFonts w:hint="eastAsia"/>
                <w:color w:val="auto"/>
                <w:sz w:val="24"/>
              </w:rPr>
              <w:t>用地</w:t>
            </w:r>
            <w:r>
              <w:rPr>
                <w:rFonts w:hint="eastAsia" w:ascii="宋体" w:hAnsi="宋体"/>
                <w:color w:val="auto"/>
                <w:kern w:val="0"/>
                <w:sz w:val="24"/>
              </w:rPr>
              <w:t>（具体见</w:t>
            </w:r>
            <w:r>
              <w:rPr>
                <w:rFonts w:hint="eastAsia" w:ascii="宋体" w:hAnsi="宋体"/>
                <w:color w:val="auto"/>
                <w:kern w:val="0"/>
                <w:sz w:val="24"/>
                <w:highlight w:val="none"/>
              </w:rPr>
              <w:t>附件</w:t>
            </w:r>
            <w:r>
              <w:rPr>
                <w:color w:val="auto"/>
                <w:kern w:val="0"/>
                <w:sz w:val="24"/>
                <w:highlight w:val="none"/>
              </w:rPr>
              <w:t>2</w:t>
            </w:r>
            <w:r>
              <w:rPr>
                <w:rFonts w:hint="eastAsia" w:ascii="宋体" w:hAnsi="宋体"/>
                <w:color w:val="auto"/>
                <w:kern w:val="0"/>
                <w:sz w:val="24"/>
              </w:rPr>
              <w:t>），</w:t>
            </w:r>
            <w:r>
              <w:rPr>
                <w:rFonts w:hint="eastAsia" w:ascii="宋体" w:hAnsi="宋体" w:cs="宋体"/>
                <w:color w:val="auto"/>
                <w:kern w:val="0"/>
                <w:sz w:val="24"/>
              </w:rPr>
              <w:t>所在区域范围内无自然保护区、风景名胜区、生态保护红线等环境敏感区，项目选址不属于生活饮用水源地保护区、温泉疗养区、基本农田保护区等其他需要特殊保护区域，</w:t>
            </w:r>
            <w:r>
              <w:rPr>
                <w:rFonts w:hint="eastAsia" w:ascii="宋体" w:hAnsi="宋体"/>
                <w:color w:val="auto"/>
                <w:kern w:val="0"/>
                <w:sz w:val="24"/>
              </w:rPr>
              <w:t>符合当地土地利用规划。</w:t>
            </w:r>
          </w:p>
          <w:p w14:paraId="42EDE330">
            <w:pPr>
              <w:spacing w:line="360" w:lineRule="auto"/>
              <w:ind w:firstLine="480" w:firstLineChars="200"/>
              <w:contextualSpacing/>
              <w:rPr>
                <w:bCs/>
                <w:color w:val="auto"/>
                <w:kern w:val="0"/>
                <w:sz w:val="24"/>
                <w:szCs w:val="21"/>
              </w:rPr>
            </w:pPr>
            <w:r>
              <w:rPr>
                <w:bCs/>
                <w:color w:val="auto"/>
                <w:kern w:val="0"/>
                <w:sz w:val="24"/>
                <w:szCs w:val="21"/>
              </w:rPr>
              <w:t>（2）项目运营过程中</w:t>
            </w:r>
            <w:r>
              <w:rPr>
                <w:rFonts w:hint="eastAsia" w:hAnsiTheme="minorEastAsia" w:eastAsiaTheme="minorEastAsia"/>
                <w:bCs/>
                <w:color w:val="auto"/>
                <w:sz w:val="24"/>
              </w:rPr>
              <w:t>无生产废水排放，固体废物妥善处置，</w:t>
            </w:r>
            <w:r>
              <w:rPr>
                <w:rFonts w:hAnsiTheme="minorEastAsia" w:eastAsiaTheme="minorEastAsia"/>
                <w:bCs/>
                <w:color w:val="auto"/>
                <w:kern w:val="0"/>
                <w:sz w:val="24"/>
                <w:szCs w:val="21"/>
              </w:rPr>
              <w:t>对周围环境影响不大。</w:t>
            </w:r>
            <w:r>
              <w:rPr>
                <w:bCs/>
                <w:color w:val="auto"/>
                <w:kern w:val="0"/>
                <w:sz w:val="24"/>
                <w:szCs w:val="21"/>
              </w:rPr>
              <w:t>运营过程中产生的设备噪声、</w:t>
            </w:r>
            <w:r>
              <w:rPr>
                <w:rFonts w:hint="eastAsia"/>
                <w:bCs/>
                <w:color w:val="auto"/>
                <w:kern w:val="0"/>
                <w:sz w:val="24"/>
                <w:szCs w:val="21"/>
              </w:rPr>
              <w:t>废气</w:t>
            </w:r>
            <w:r>
              <w:rPr>
                <w:bCs/>
                <w:color w:val="auto"/>
                <w:kern w:val="0"/>
                <w:sz w:val="24"/>
                <w:szCs w:val="21"/>
              </w:rPr>
              <w:t>等对周围环境将产生一定影响</w:t>
            </w:r>
            <w:r>
              <w:rPr>
                <w:rFonts w:hint="eastAsia"/>
                <w:bCs/>
                <w:color w:val="auto"/>
                <w:kern w:val="0"/>
                <w:sz w:val="24"/>
                <w:szCs w:val="21"/>
              </w:rPr>
              <w:t>。</w:t>
            </w:r>
          </w:p>
          <w:p w14:paraId="2903CC89">
            <w:pPr>
              <w:spacing w:line="360" w:lineRule="auto"/>
              <w:ind w:firstLine="480" w:firstLineChars="200"/>
              <w:contextualSpacing/>
              <w:jc w:val="left"/>
              <w:rPr>
                <w:rFonts w:eastAsiaTheme="minorEastAsia"/>
                <w:bCs/>
                <w:color w:val="auto"/>
                <w:sz w:val="24"/>
              </w:rPr>
            </w:pPr>
            <w:r>
              <w:rPr>
                <w:rFonts w:eastAsiaTheme="minorEastAsia"/>
                <w:bCs/>
                <w:color w:val="auto"/>
                <w:sz w:val="24"/>
              </w:rPr>
              <w:t>本项目矿粉采用封闭式罐车运入厂区，碎石运输车辆全部采用苫布覆盖，运输过程做到不超载，不滴、撒、漏，厂区地面洒水降尘；原料的输送、计量及投料均为封闭式。搅拌站整体封闭；厂区设置防风抑尘网</w:t>
            </w:r>
            <w:r>
              <w:rPr>
                <w:rFonts w:hint="eastAsia" w:eastAsiaTheme="minorEastAsia"/>
                <w:bCs/>
                <w:color w:val="auto"/>
                <w:sz w:val="24"/>
              </w:rPr>
              <w:t>，</w:t>
            </w:r>
            <w:r>
              <w:rPr>
                <w:rFonts w:eastAsiaTheme="minorEastAsia"/>
                <w:bCs/>
                <w:color w:val="auto"/>
                <w:sz w:val="24"/>
              </w:rPr>
              <w:t>堆场</w:t>
            </w:r>
            <w:r>
              <w:rPr>
                <w:rFonts w:hint="eastAsia"/>
                <w:color w:val="auto"/>
                <w:kern w:val="0"/>
                <w:sz w:val="24"/>
              </w:rPr>
              <w:t>每天洒水抑尘2次，</w:t>
            </w:r>
            <w:r>
              <w:rPr>
                <w:rFonts w:eastAsiaTheme="minorEastAsia"/>
                <w:bCs/>
                <w:color w:val="auto"/>
                <w:sz w:val="24"/>
              </w:rPr>
              <w:t>铲装集堆过程洒水喷淋；本项目碎石在上料时会产生粉尘，在冷料仓</w:t>
            </w:r>
            <w:r>
              <w:rPr>
                <w:rFonts w:hint="eastAsia" w:eastAsiaTheme="minorEastAsia"/>
                <w:bCs/>
                <w:color w:val="auto"/>
                <w:sz w:val="24"/>
              </w:rPr>
              <w:t>设置集气装置</w:t>
            </w:r>
            <w:r>
              <w:rPr>
                <w:rFonts w:eastAsiaTheme="minorEastAsia"/>
                <w:bCs/>
                <w:color w:val="auto"/>
                <w:sz w:val="24"/>
              </w:rPr>
              <w:t>（集气效率</w:t>
            </w:r>
            <w:r>
              <w:rPr>
                <w:rFonts w:hint="eastAsia" w:eastAsiaTheme="minorEastAsia"/>
                <w:bCs/>
                <w:color w:val="auto"/>
                <w:sz w:val="24"/>
              </w:rPr>
              <w:t>90%</w:t>
            </w:r>
            <w:r>
              <w:rPr>
                <w:rFonts w:eastAsiaTheme="minorEastAsia"/>
                <w:bCs/>
                <w:color w:val="auto"/>
                <w:sz w:val="24"/>
              </w:rPr>
              <w:t>），</w:t>
            </w:r>
            <w:r>
              <w:rPr>
                <w:rFonts w:hint="eastAsia" w:eastAsiaTheme="minorEastAsia"/>
                <w:bCs/>
                <w:color w:val="auto"/>
                <w:sz w:val="24"/>
              </w:rPr>
              <w:t>通过</w:t>
            </w:r>
            <w:r>
              <w:rPr>
                <w:rFonts w:eastAsiaTheme="minorEastAsia"/>
                <w:bCs/>
                <w:color w:val="auto"/>
                <w:sz w:val="24"/>
              </w:rPr>
              <w:t>管道连接至除尘系统（重力</w:t>
            </w:r>
            <w:r>
              <w:rPr>
                <w:rFonts w:hint="eastAsia" w:eastAsiaTheme="minorEastAsia"/>
                <w:bCs/>
                <w:color w:val="auto"/>
                <w:sz w:val="24"/>
              </w:rPr>
              <w:t>+布袋</w:t>
            </w:r>
            <w:r>
              <w:rPr>
                <w:rFonts w:eastAsiaTheme="minorEastAsia"/>
                <w:bCs/>
                <w:color w:val="auto"/>
                <w:sz w:val="24"/>
              </w:rPr>
              <w:t>），处理后经除尘系统烟囱（</w:t>
            </w:r>
            <w:r>
              <w:rPr>
                <w:rFonts w:hint="eastAsia" w:eastAsiaTheme="minorEastAsia"/>
                <w:bCs/>
                <w:color w:val="auto"/>
                <w:sz w:val="24"/>
              </w:rPr>
              <w:t>DA001</w:t>
            </w:r>
            <w:r>
              <w:rPr>
                <w:rFonts w:eastAsiaTheme="minorEastAsia"/>
                <w:bCs/>
                <w:color w:val="auto"/>
                <w:sz w:val="24"/>
              </w:rPr>
              <w:t>）排放，</w:t>
            </w:r>
            <w:r>
              <w:rPr>
                <w:rFonts w:eastAsiaTheme="minorEastAsia"/>
                <w:color w:val="auto"/>
                <w:sz w:val="24"/>
              </w:rPr>
              <w:t>除尘效率为99%；</w:t>
            </w:r>
            <w:r>
              <w:rPr>
                <w:rFonts w:eastAsiaTheme="minorEastAsia"/>
                <w:bCs/>
                <w:color w:val="auto"/>
                <w:sz w:val="24"/>
              </w:rPr>
              <w:t>本项目矿粉筒仓</w:t>
            </w:r>
            <w:r>
              <w:rPr>
                <w:rFonts w:hint="eastAsia" w:eastAsiaTheme="minorEastAsia"/>
                <w:bCs/>
                <w:color w:val="auto"/>
                <w:sz w:val="24"/>
              </w:rPr>
              <w:t>装卸</w:t>
            </w:r>
            <w:r>
              <w:rPr>
                <w:rFonts w:eastAsiaTheme="minorEastAsia"/>
                <w:bCs/>
                <w:color w:val="auto"/>
                <w:sz w:val="24"/>
              </w:rPr>
              <w:t>时会产生粉尘，在矿粉筒顶部通过集气管道连接至除尘系统（重力</w:t>
            </w:r>
            <w:r>
              <w:rPr>
                <w:rFonts w:hint="eastAsia" w:eastAsiaTheme="minorEastAsia"/>
                <w:bCs/>
                <w:color w:val="auto"/>
                <w:sz w:val="24"/>
              </w:rPr>
              <w:t>+布袋</w:t>
            </w:r>
            <w:r>
              <w:rPr>
                <w:rFonts w:eastAsiaTheme="minorEastAsia"/>
                <w:bCs/>
                <w:color w:val="auto"/>
                <w:sz w:val="24"/>
              </w:rPr>
              <w:t>），处理后经除尘系统烟囱（</w:t>
            </w:r>
            <w:r>
              <w:rPr>
                <w:rFonts w:hint="eastAsia" w:eastAsiaTheme="minorEastAsia"/>
                <w:bCs/>
                <w:color w:val="auto"/>
                <w:sz w:val="24"/>
              </w:rPr>
              <w:t>DA001</w:t>
            </w:r>
            <w:r>
              <w:rPr>
                <w:rFonts w:eastAsiaTheme="minorEastAsia"/>
                <w:bCs/>
                <w:color w:val="auto"/>
                <w:sz w:val="24"/>
              </w:rPr>
              <w:t>）排放，</w:t>
            </w:r>
            <w:r>
              <w:rPr>
                <w:rFonts w:eastAsiaTheme="minorEastAsia"/>
                <w:color w:val="auto"/>
                <w:sz w:val="24"/>
              </w:rPr>
              <w:t>除尘效率为99%；</w:t>
            </w:r>
            <w:r>
              <w:rPr>
                <w:rFonts w:hint="eastAsia" w:eastAsiaTheme="minorEastAsia"/>
                <w:bCs/>
                <w:color w:val="auto"/>
                <w:sz w:val="24"/>
              </w:rPr>
              <w:t>本项目碎石筛分、烘干废气、热料仓落料废气、</w:t>
            </w:r>
            <w:r>
              <w:rPr>
                <w:rFonts w:hint="eastAsia" w:eastAsiaTheme="minorEastAsia"/>
                <w:bCs/>
                <w:color w:val="auto"/>
                <w:sz w:val="24"/>
                <w:highlight w:val="none"/>
              </w:rPr>
              <w:t>28MW燃天然气燃烧器烟气</w:t>
            </w:r>
            <w:r>
              <w:rPr>
                <w:rFonts w:hint="eastAsia" w:eastAsiaTheme="minorEastAsia"/>
                <w:bCs/>
                <w:color w:val="auto"/>
                <w:sz w:val="24"/>
              </w:rPr>
              <w:t>经除尘系统（重力+布袋）处理后，由15m高除尘系统烟囱（DA001）排放，除尘效率为99%；本项目1台</w:t>
            </w:r>
            <w:r>
              <w:rPr>
                <w:rFonts w:hint="eastAsia"/>
                <w:color w:val="auto"/>
                <w:sz w:val="24"/>
                <w:szCs w:val="24"/>
                <w:lang w:val="en-US" w:eastAsia="zh-CN"/>
              </w:rPr>
              <w:t>1.5</w:t>
            </w:r>
            <w:r>
              <w:rPr>
                <w:rFonts w:hint="eastAsia"/>
                <w:color w:val="auto"/>
                <w:sz w:val="24"/>
                <w:szCs w:val="24"/>
              </w:rPr>
              <w:t>t/h</w:t>
            </w:r>
            <w:r>
              <w:rPr>
                <w:rFonts w:eastAsiaTheme="minorEastAsia"/>
                <w:bCs/>
                <w:color w:val="auto"/>
                <w:sz w:val="24"/>
                <w:szCs w:val="24"/>
              </w:rPr>
              <w:t>燃</w:t>
            </w:r>
            <w:r>
              <w:rPr>
                <w:rFonts w:hint="eastAsia" w:eastAsiaTheme="minorEastAsia"/>
                <w:bCs/>
                <w:color w:val="auto"/>
                <w:sz w:val="24"/>
                <w:szCs w:val="24"/>
                <w:lang w:val="en-US" w:eastAsia="zh-CN"/>
              </w:rPr>
              <w:t>气</w:t>
            </w:r>
            <w:r>
              <w:rPr>
                <w:rFonts w:hint="eastAsia" w:eastAsiaTheme="minorEastAsia"/>
                <w:bCs/>
                <w:color w:val="auto"/>
                <w:sz w:val="24"/>
              </w:rPr>
              <w:t>导热油炉用于加热沥青，导热油炉烟气经低氮燃烧处理后（除氮效率30%），由1根12m高排气筒（DA002）排放；本项目在沥青混凝土拌和沥青储罐处会产生</w:t>
            </w:r>
            <w:r>
              <w:rPr>
                <w:rFonts w:eastAsiaTheme="minorEastAsia"/>
                <w:bCs/>
                <w:color w:val="auto"/>
                <w:sz w:val="24"/>
              </w:rPr>
              <w:t>非甲烷总烃、</w:t>
            </w:r>
            <w:r>
              <w:rPr>
                <w:rFonts w:hint="eastAsia" w:eastAsiaTheme="minorEastAsia"/>
                <w:bCs/>
                <w:color w:val="auto"/>
                <w:sz w:val="24"/>
              </w:rPr>
              <w:t>沥青烟和苯并[a]芘，沥青在密闭储罐中储存过程中产生的烟气以及出料产生的烟气通过负压收集系统集中收集（收集效率95%，环保设施的最大总风量为40000m</w:t>
            </w:r>
            <w:r>
              <w:rPr>
                <w:rFonts w:hint="eastAsia" w:eastAsiaTheme="minorEastAsia"/>
                <w:bCs/>
                <w:color w:val="auto"/>
                <w:sz w:val="24"/>
                <w:vertAlign w:val="superscript"/>
              </w:rPr>
              <w:t>3</w:t>
            </w:r>
            <w:r>
              <w:rPr>
                <w:rFonts w:hint="eastAsia" w:eastAsiaTheme="minorEastAsia"/>
                <w:bCs/>
                <w:color w:val="auto"/>
                <w:sz w:val="24"/>
              </w:rPr>
              <w:t>/h），经</w:t>
            </w:r>
            <w:r>
              <w:rPr>
                <w:rFonts w:hint="eastAsia" w:eastAsiaTheme="minorEastAsia"/>
                <w:bCs/>
                <w:color w:val="auto"/>
                <w:sz w:val="24"/>
                <w:highlight w:val="none"/>
              </w:rPr>
              <w:t>气浮旋流塔+三维一体化废气处理设备（由电离子+光催化+高碘值碳吸附组成）（</w:t>
            </w:r>
            <w:r>
              <w:rPr>
                <w:rFonts w:hint="eastAsia" w:eastAsiaTheme="minorEastAsia"/>
                <w:bCs/>
                <w:color w:val="auto"/>
                <w:sz w:val="24"/>
              </w:rPr>
              <w:t>处理效率95%）处理后，经15m高沥青搅拌排气筒（DA003）排放。</w:t>
            </w:r>
          </w:p>
          <w:p w14:paraId="0E945667">
            <w:pPr>
              <w:spacing w:line="360" w:lineRule="auto"/>
              <w:ind w:firstLine="480" w:firstLineChars="200"/>
              <w:contextualSpacing/>
              <w:rPr>
                <w:bCs/>
                <w:color w:val="auto"/>
                <w:sz w:val="24"/>
              </w:rPr>
            </w:pPr>
            <w:r>
              <w:rPr>
                <w:rFonts w:eastAsiaTheme="minorEastAsia"/>
                <w:bCs/>
                <w:color w:val="auto"/>
                <w:sz w:val="24"/>
              </w:rPr>
              <w:t>针对运输交通噪声，禁止使用超过噪声限值的运输车辆，汽车运输机械设备安装消声器和禁用高音喇叭，机动车辆必须加强维修和保养，保持技术性能良好，减少运输车辆噪声的影响，合理安排运输车辆工作时间，将车速控制在20</w:t>
            </w:r>
            <w:r>
              <w:rPr>
                <w:rFonts w:hint="eastAsia" w:eastAsiaTheme="minorEastAsia"/>
                <w:bCs/>
                <w:color w:val="auto"/>
                <w:sz w:val="24"/>
              </w:rPr>
              <w:t>k</w:t>
            </w:r>
            <w:r>
              <w:rPr>
                <w:rFonts w:eastAsiaTheme="minorEastAsia"/>
                <w:bCs/>
                <w:color w:val="auto"/>
                <w:sz w:val="24"/>
              </w:rPr>
              <w:t>m/h以下，22：00-次日6：00禁止运输及生产作业。</w:t>
            </w:r>
          </w:p>
          <w:p w14:paraId="0C5E3CDF">
            <w:pPr>
              <w:autoSpaceDE w:val="0"/>
              <w:autoSpaceDN w:val="0"/>
              <w:adjustRightInd w:val="0"/>
              <w:snapToGrid w:val="0"/>
              <w:spacing w:line="360" w:lineRule="auto"/>
              <w:ind w:firstLine="480" w:firstLineChars="200"/>
              <w:jc w:val="left"/>
              <w:rPr>
                <w:bCs/>
                <w:color w:val="auto"/>
                <w:kern w:val="0"/>
                <w:sz w:val="24"/>
                <w:szCs w:val="21"/>
              </w:rPr>
            </w:pPr>
            <w:r>
              <w:rPr>
                <w:bCs/>
                <w:color w:val="auto"/>
                <w:sz w:val="24"/>
              </w:rPr>
              <w:t>本项目建设单位严格落实本环评提出的污染防治措施后可实现废气、噪声的达标排放，废水、固废的合理处置，不会对周边环境产生较大影响，对外环境的影响可以接受。综上所述，从环境保护角度而言，本项目选址合理。</w:t>
            </w:r>
          </w:p>
          <w:p w14:paraId="35BCB495">
            <w:pPr>
              <w:spacing w:line="360" w:lineRule="auto"/>
              <w:ind w:firstLine="480" w:firstLineChars="200"/>
              <w:contextualSpacing/>
              <w:rPr>
                <w:bCs/>
                <w:color w:val="auto"/>
                <w:kern w:val="0"/>
                <w:sz w:val="24"/>
                <w:szCs w:val="21"/>
              </w:rPr>
            </w:pPr>
            <w:r>
              <w:rPr>
                <w:bCs/>
                <w:color w:val="auto"/>
                <w:kern w:val="0"/>
                <w:sz w:val="24"/>
                <w:szCs w:val="21"/>
              </w:rPr>
              <w:t>（</w:t>
            </w:r>
            <w:r>
              <w:rPr>
                <w:rFonts w:hint="eastAsia"/>
                <w:bCs/>
                <w:color w:val="auto"/>
                <w:kern w:val="0"/>
                <w:sz w:val="24"/>
                <w:szCs w:val="21"/>
              </w:rPr>
              <w:t>3</w:t>
            </w:r>
            <w:r>
              <w:rPr>
                <w:bCs/>
                <w:color w:val="auto"/>
                <w:kern w:val="0"/>
                <w:sz w:val="24"/>
                <w:szCs w:val="21"/>
              </w:rPr>
              <w:t>）本项目</w:t>
            </w:r>
            <w:r>
              <w:rPr>
                <w:rFonts w:hint="eastAsia"/>
                <w:bCs/>
                <w:color w:val="auto"/>
                <w:kern w:val="0"/>
                <w:sz w:val="24"/>
                <w:szCs w:val="21"/>
                <w:lang w:val="en-US" w:eastAsia="zh-CN"/>
              </w:rPr>
              <w:t>西侧为黑土存放场，北侧、东侧和南侧为林地</w:t>
            </w:r>
            <w:r>
              <w:rPr>
                <w:rFonts w:hint="eastAsia"/>
                <w:bCs/>
                <w:color w:val="auto"/>
                <w:kern w:val="0"/>
                <w:sz w:val="24"/>
                <w:szCs w:val="21"/>
              </w:rPr>
              <w:t>。</w:t>
            </w:r>
            <w:r>
              <w:rPr>
                <w:bCs/>
                <w:color w:val="auto"/>
                <w:kern w:val="0"/>
                <w:sz w:val="24"/>
                <w:szCs w:val="21"/>
              </w:rPr>
              <w:t>本项目四周照片见</w:t>
            </w:r>
            <w:r>
              <w:rPr>
                <w:bCs/>
                <w:color w:val="auto"/>
                <w:kern w:val="0"/>
                <w:sz w:val="24"/>
                <w:szCs w:val="21"/>
                <w:highlight w:val="none"/>
              </w:rPr>
              <w:t>附图</w:t>
            </w:r>
            <w:r>
              <w:rPr>
                <w:bCs/>
                <w:color w:val="auto"/>
                <w:kern w:val="0"/>
                <w:sz w:val="24"/>
                <w:szCs w:val="21"/>
              </w:rPr>
              <w:t>。</w:t>
            </w:r>
          </w:p>
          <w:p w14:paraId="39E339EA">
            <w:pPr>
              <w:spacing w:line="360" w:lineRule="auto"/>
              <w:ind w:firstLine="480" w:firstLineChars="200"/>
              <w:contextualSpacing/>
              <w:rPr>
                <w:bCs/>
                <w:color w:val="auto"/>
                <w:kern w:val="0"/>
                <w:sz w:val="24"/>
                <w:szCs w:val="21"/>
              </w:rPr>
            </w:pPr>
            <w:r>
              <w:rPr>
                <w:bCs/>
                <w:color w:val="auto"/>
                <w:kern w:val="0"/>
                <w:sz w:val="24"/>
                <w:szCs w:val="21"/>
              </w:rPr>
              <w:t>在落实本报告提出的污染防治措施前提，确保各项污染物稳定达标排放，选址可行。</w:t>
            </w:r>
          </w:p>
          <w:p w14:paraId="21383419">
            <w:pPr>
              <w:spacing w:line="360" w:lineRule="auto"/>
              <w:contextualSpacing/>
              <w:rPr>
                <w:bCs/>
                <w:color w:val="auto"/>
                <w:kern w:val="0"/>
                <w:sz w:val="24"/>
                <w:szCs w:val="21"/>
              </w:rPr>
            </w:pPr>
          </w:p>
          <w:p w14:paraId="65513D03">
            <w:pPr>
              <w:spacing w:line="360" w:lineRule="auto"/>
              <w:contextualSpacing/>
              <w:rPr>
                <w:bCs/>
                <w:color w:val="auto"/>
                <w:kern w:val="0"/>
                <w:sz w:val="24"/>
                <w:szCs w:val="21"/>
              </w:rPr>
            </w:pPr>
          </w:p>
          <w:p w14:paraId="527E3262">
            <w:pPr>
              <w:spacing w:line="360" w:lineRule="auto"/>
              <w:contextualSpacing/>
              <w:rPr>
                <w:bCs/>
                <w:color w:val="auto"/>
                <w:kern w:val="0"/>
                <w:sz w:val="24"/>
                <w:szCs w:val="21"/>
              </w:rPr>
            </w:pPr>
          </w:p>
          <w:p w14:paraId="7FA50B9C">
            <w:pPr>
              <w:spacing w:line="360" w:lineRule="auto"/>
              <w:contextualSpacing/>
              <w:rPr>
                <w:bCs/>
                <w:color w:val="auto"/>
                <w:kern w:val="0"/>
                <w:sz w:val="24"/>
                <w:szCs w:val="21"/>
              </w:rPr>
            </w:pPr>
          </w:p>
        </w:tc>
      </w:tr>
    </w:tbl>
    <w:p w14:paraId="1AC06E88">
      <w:pPr>
        <w:spacing w:line="360" w:lineRule="auto"/>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25A7A72">
      <w:pPr>
        <w:pStyle w:val="22"/>
        <w:jc w:val="center"/>
        <w:outlineLvl w:val="0"/>
        <w:rPr>
          <w:rFonts w:ascii="Times New Roman" w:hAnsi="Times New Roman" w:eastAsia="黑体"/>
          <w:snapToGrid w:val="0"/>
          <w:color w:val="auto"/>
          <w:sz w:val="30"/>
          <w:szCs w:val="30"/>
        </w:rPr>
      </w:pPr>
      <w:bookmarkStart w:id="5" w:name="_Toc68775753"/>
      <w:r>
        <w:rPr>
          <w:rFonts w:ascii="Times New Roman" w:hAnsi="Times New Roman" w:eastAsia="黑体"/>
          <w:snapToGrid w:val="0"/>
          <w:color w:val="auto"/>
          <w:sz w:val="30"/>
          <w:szCs w:val="30"/>
        </w:rPr>
        <w:t>二、建设项目工程分析</w:t>
      </w:r>
      <w:bookmarkEnd w:id="5"/>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610"/>
      </w:tblGrid>
      <w:tr w14:paraId="5EABA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450" w:type="dxa"/>
            <w:vAlign w:val="center"/>
          </w:tcPr>
          <w:p w14:paraId="08A60247">
            <w:pPr>
              <w:pStyle w:val="2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610" w:type="dxa"/>
          </w:tcPr>
          <w:p w14:paraId="09770F22">
            <w:pPr>
              <w:spacing w:line="360" w:lineRule="auto"/>
              <w:ind w:firstLine="482" w:firstLineChars="200"/>
              <w:contextualSpacing/>
              <w:jc w:val="left"/>
              <w:rPr>
                <w:b/>
                <w:color w:val="auto"/>
                <w:kern w:val="0"/>
                <w:sz w:val="24"/>
              </w:rPr>
            </w:pPr>
            <w:r>
              <w:rPr>
                <w:b/>
                <w:color w:val="auto"/>
                <w:kern w:val="0"/>
                <w:sz w:val="24"/>
              </w:rPr>
              <w:t>1、工程概况及项目组成</w:t>
            </w:r>
          </w:p>
          <w:p w14:paraId="79B3948F">
            <w:pPr>
              <w:spacing w:line="360" w:lineRule="auto"/>
              <w:ind w:firstLine="480" w:firstLineChars="200"/>
              <w:rPr>
                <w:bCs/>
                <w:color w:val="auto"/>
                <w:sz w:val="24"/>
              </w:rPr>
            </w:pPr>
            <w:r>
              <w:rPr>
                <w:rFonts w:hint="eastAsia"/>
                <w:bCs/>
                <w:color w:val="auto"/>
                <w:sz w:val="24"/>
              </w:rPr>
              <w:t>本项目位于</w:t>
            </w:r>
            <w:r>
              <w:rPr>
                <w:color w:val="auto"/>
                <w:sz w:val="24"/>
              </w:rPr>
              <w:t>黑龙江省</w:t>
            </w:r>
            <w:r>
              <w:rPr>
                <w:rFonts w:hint="eastAsia"/>
                <w:color w:val="auto"/>
                <w:sz w:val="24"/>
                <w:szCs w:val="24"/>
                <w:lang w:val="en-US" w:eastAsia="zh-CN"/>
              </w:rPr>
              <w:t>伊春市伊美区伊东林场</w:t>
            </w:r>
            <w:r>
              <w:rPr>
                <w:color w:val="auto"/>
                <w:sz w:val="24"/>
              </w:rPr>
              <w:t>，</w:t>
            </w:r>
            <w:r>
              <w:rPr>
                <w:color w:val="auto"/>
                <w:sz w:val="24"/>
              </w:rPr>
              <w:t>本项目</w:t>
            </w:r>
            <w:r>
              <w:rPr>
                <w:rFonts w:hint="eastAsia"/>
                <w:color w:val="auto"/>
                <w:sz w:val="24"/>
                <w:lang w:val="en-US" w:eastAsia="zh-CN"/>
              </w:rPr>
              <w:t>临时使用伊春森工乌马河林业局有限责任公司土地</w:t>
            </w:r>
            <w:r>
              <w:rPr>
                <w:color w:val="auto"/>
                <w:sz w:val="24"/>
              </w:rPr>
              <w:t>，</w:t>
            </w:r>
            <w:r>
              <w:rPr>
                <w:color w:val="auto"/>
                <w:sz w:val="24"/>
              </w:rPr>
              <w:t>用地性质为</w:t>
            </w:r>
            <w:r>
              <w:rPr>
                <w:rFonts w:hint="eastAsia"/>
                <w:color w:val="auto"/>
                <w:sz w:val="24"/>
                <w:lang w:val="en-US" w:eastAsia="zh-CN"/>
              </w:rPr>
              <w:t>未利用地1.7075公顷，坑塘水面0.0592公顷</w:t>
            </w:r>
            <w:r>
              <w:rPr>
                <w:color w:val="auto"/>
                <w:sz w:val="24"/>
              </w:rPr>
              <w:t>。</w:t>
            </w:r>
          </w:p>
          <w:p w14:paraId="31442EA8">
            <w:pPr>
              <w:spacing w:line="360" w:lineRule="auto"/>
              <w:ind w:firstLine="480" w:firstLineChars="200"/>
              <w:rPr>
                <w:color w:val="auto"/>
              </w:rPr>
            </w:pPr>
            <w:r>
              <w:rPr>
                <w:bCs/>
                <w:color w:val="auto"/>
                <w:sz w:val="24"/>
              </w:rPr>
              <w:t>本项目设置一条沥青混凝土加工生产线，</w:t>
            </w:r>
            <w:r>
              <w:rPr>
                <w:bCs/>
                <w:color w:val="auto"/>
                <w:kern w:val="0"/>
                <w:sz w:val="24"/>
              </w:rPr>
              <w:t>1台</w:t>
            </w:r>
            <w:r>
              <w:rPr>
                <w:rFonts w:hint="eastAsia" w:ascii="Times New Roman" w:hAnsi="Times New Roman" w:cs="Times New Roman" w:eastAsiaTheme="minorEastAsia"/>
                <w:color w:val="auto"/>
                <w:sz w:val="24"/>
                <w:szCs w:val="24"/>
                <w:lang w:val="en-US" w:eastAsia="zh-CN"/>
              </w:rPr>
              <w:t>1.5</w:t>
            </w:r>
            <w:r>
              <w:rPr>
                <w:rFonts w:hint="eastAsia" w:ascii="Times New Roman" w:hAnsi="Times New Roman" w:cs="Times New Roman" w:eastAsiaTheme="minorEastAsia"/>
                <w:color w:val="auto"/>
                <w:sz w:val="24"/>
                <w:szCs w:val="24"/>
              </w:rPr>
              <w:t>t/h</w:t>
            </w:r>
            <w:r>
              <w:rPr>
                <w:rFonts w:ascii="Times New Roman" w:hAnsi="Times New Roman" w:cs="Times New Roman" w:eastAsiaTheme="minorEastAsia"/>
                <w:color w:val="auto"/>
                <w:sz w:val="24"/>
                <w:szCs w:val="24"/>
              </w:rPr>
              <w:t>燃</w:t>
            </w:r>
            <w:r>
              <w:rPr>
                <w:rFonts w:hint="eastAsia" w:cs="Times New Roman" w:eastAsiaTheme="minorEastAsia"/>
                <w:color w:val="auto"/>
                <w:sz w:val="24"/>
                <w:szCs w:val="24"/>
                <w:lang w:val="en-US" w:eastAsia="zh-CN"/>
              </w:rPr>
              <w:t>气</w:t>
            </w:r>
            <w:r>
              <w:rPr>
                <w:bCs/>
                <w:color w:val="auto"/>
                <w:kern w:val="0"/>
                <w:sz w:val="24"/>
              </w:rPr>
              <w:t>导热油炉，</w:t>
            </w:r>
            <w:r>
              <w:rPr>
                <w:rFonts w:hint="eastAsia"/>
                <w:bCs/>
                <w:color w:val="auto"/>
                <w:sz w:val="24"/>
              </w:rPr>
              <w:t>1</w:t>
            </w:r>
            <w:r>
              <w:rPr>
                <w:bCs/>
                <w:color w:val="auto"/>
                <w:sz w:val="24"/>
              </w:rPr>
              <w:t>间办公室、1间实验室、1间</w:t>
            </w:r>
            <w:r>
              <w:rPr>
                <w:rFonts w:hint="eastAsia"/>
                <w:bCs/>
                <w:color w:val="auto"/>
                <w:sz w:val="24"/>
              </w:rPr>
              <w:t>控制</w:t>
            </w:r>
            <w:r>
              <w:rPr>
                <w:bCs/>
                <w:color w:val="auto"/>
                <w:sz w:val="24"/>
              </w:rPr>
              <w:t>室、1间称房</w:t>
            </w:r>
            <w:r>
              <w:rPr>
                <w:rFonts w:hint="eastAsia"/>
                <w:bCs/>
                <w:color w:val="auto"/>
                <w:sz w:val="24"/>
              </w:rPr>
              <w:t>及</w:t>
            </w:r>
            <w:r>
              <w:rPr>
                <w:bCs/>
                <w:color w:val="auto"/>
                <w:sz w:val="24"/>
              </w:rPr>
              <w:t>门卫、原料堆场等，合计建筑面积</w:t>
            </w:r>
            <w:r>
              <w:rPr>
                <w:rFonts w:hint="eastAsia"/>
                <w:bCs/>
                <w:color w:val="auto"/>
                <w:sz w:val="24"/>
                <w:lang w:val="en-US" w:eastAsia="zh-CN"/>
              </w:rPr>
              <w:t>700</w:t>
            </w:r>
            <w:r>
              <w:rPr>
                <w:bCs/>
                <w:color w:val="auto"/>
                <w:sz w:val="24"/>
              </w:rPr>
              <w:t>m</w:t>
            </w:r>
            <w:r>
              <w:rPr>
                <w:bCs/>
                <w:color w:val="auto"/>
                <w:sz w:val="24"/>
                <w:vertAlign w:val="superscript"/>
              </w:rPr>
              <w:t>2</w:t>
            </w:r>
            <w:r>
              <w:rPr>
                <w:bCs/>
                <w:color w:val="auto"/>
                <w:sz w:val="24"/>
              </w:rPr>
              <w:t>，占地面积为</w:t>
            </w:r>
            <w:r>
              <w:rPr>
                <w:rFonts w:hint="eastAsia"/>
                <w:bCs/>
                <w:color w:val="auto"/>
                <w:sz w:val="24"/>
                <w:lang w:val="en-US" w:eastAsia="zh-CN"/>
              </w:rPr>
              <w:t>17667</w:t>
            </w:r>
            <w:r>
              <w:rPr>
                <w:rFonts w:hint="eastAsia"/>
                <w:bCs/>
                <w:color w:val="auto"/>
                <w:sz w:val="24"/>
              </w:rPr>
              <w:t>m</w:t>
            </w:r>
            <w:r>
              <w:rPr>
                <w:rFonts w:hint="eastAsia"/>
                <w:bCs/>
                <w:color w:val="auto"/>
                <w:sz w:val="24"/>
                <w:vertAlign w:val="superscript"/>
              </w:rPr>
              <w:t>2</w:t>
            </w:r>
            <w:r>
              <w:rPr>
                <w:bCs/>
                <w:color w:val="auto"/>
                <w:sz w:val="24"/>
              </w:rPr>
              <w:t>。</w:t>
            </w:r>
            <w:r>
              <w:rPr>
                <w:bCs/>
                <w:color w:val="auto"/>
                <w:sz w:val="24"/>
              </w:rPr>
              <w:t>年生产沥青混凝土</w:t>
            </w:r>
            <w:r>
              <w:rPr>
                <w:rFonts w:hint="eastAsia"/>
                <w:color w:val="auto"/>
                <w:kern w:val="0"/>
                <w:sz w:val="24"/>
                <w:szCs w:val="24"/>
                <w:lang w:val="en-US" w:eastAsia="zh-CN"/>
              </w:rPr>
              <w:t>332995</w:t>
            </w:r>
            <w:r>
              <w:rPr>
                <w:bCs/>
                <w:color w:val="auto"/>
                <w:sz w:val="24"/>
              </w:rPr>
              <w:t>t。具体工程组成见下表。</w:t>
            </w:r>
          </w:p>
          <w:p w14:paraId="6574B33F">
            <w:pPr>
              <w:pStyle w:val="59"/>
              <w:spacing w:beforeLines="0" w:afterLines="0"/>
              <w:ind w:firstLine="0" w:firstLineChars="0"/>
              <w:contextualSpacing/>
              <w:jc w:val="center"/>
              <w:textAlignment w:val="baseline"/>
              <w:rPr>
                <w:b/>
                <w:color w:val="auto"/>
              </w:rPr>
            </w:pPr>
            <w:r>
              <w:rPr>
                <w:b/>
                <w:color w:val="auto"/>
              </w:rPr>
              <w:t>表2-1 项目工程组成一览表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11"/>
              <w:gridCol w:w="6077"/>
              <w:gridCol w:w="783"/>
            </w:tblGrid>
            <w:tr w14:paraId="40386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4" w:type="pct"/>
                  <w:gridSpan w:val="2"/>
                  <w:vAlign w:val="center"/>
                </w:tcPr>
                <w:p w14:paraId="3FAAE179">
                  <w:pPr>
                    <w:contextualSpacing/>
                    <w:jc w:val="center"/>
                    <w:rPr>
                      <w:color w:val="auto"/>
                      <w:szCs w:val="21"/>
                    </w:rPr>
                  </w:pPr>
                  <w:r>
                    <w:rPr>
                      <w:color w:val="auto"/>
                      <w:szCs w:val="21"/>
                    </w:rPr>
                    <w:t>建设内容</w:t>
                  </w:r>
                </w:p>
              </w:tc>
              <w:tc>
                <w:tcPr>
                  <w:tcW w:w="3619" w:type="pct"/>
                  <w:vAlign w:val="center"/>
                </w:tcPr>
                <w:p w14:paraId="50431A2D">
                  <w:pPr>
                    <w:contextualSpacing/>
                    <w:jc w:val="center"/>
                    <w:rPr>
                      <w:color w:val="auto"/>
                      <w:szCs w:val="21"/>
                    </w:rPr>
                  </w:pPr>
                  <w:r>
                    <w:rPr>
                      <w:color w:val="auto"/>
                      <w:szCs w:val="21"/>
                    </w:rPr>
                    <w:t>建设规模及内容</w:t>
                  </w:r>
                </w:p>
              </w:tc>
              <w:tc>
                <w:tcPr>
                  <w:tcW w:w="466" w:type="pct"/>
                  <w:vAlign w:val="center"/>
                </w:tcPr>
                <w:p w14:paraId="46D7258E">
                  <w:pPr>
                    <w:contextualSpacing/>
                    <w:jc w:val="center"/>
                    <w:rPr>
                      <w:color w:val="auto"/>
                      <w:szCs w:val="21"/>
                    </w:rPr>
                  </w:pPr>
                  <w:r>
                    <w:rPr>
                      <w:color w:val="auto"/>
                      <w:szCs w:val="21"/>
                    </w:rPr>
                    <w:t>备注</w:t>
                  </w:r>
                </w:p>
              </w:tc>
            </w:tr>
            <w:tr w14:paraId="2E00B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31" w:type="pct"/>
                  <w:shd w:val="clear" w:color="auto" w:fill="auto"/>
                  <w:vAlign w:val="center"/>
                </w:tcPr>
                <w:p w14:paraId="3481381E">
                  <w:pPr>
                    <w:contextualSpacing/>
                    <w:jc w:val="center"/>
                    <w:rPr>
                      <w:color w:val="auto"/>
                      <w:szCs w:val="21"/>
                    </w:rPr>
                  </w:pPr>
                  <w:r>
                    <w:rPr>
                      <w:color w:val="auto"/>
                      <w:szCs w:val="21"/>
                    </w:rPr>
                    <w:t>主体工程</w:t>
                  </w:r>
                </w:p>
              </w:tc>
              <w:tc>
                <w:tcPr>
                  <w:tcW w:w="482" w:type="pct"/>
                  <w:shd w:val="clear" w:color="auto" w:fill="FFFFFF"/>
                  <w:vAlign w:val="center"/>
                </w:tcPr>
                <w:p w14:paraId="4340F387">
                  <w:pPr>
                    <w:spacing w:line="0" w:lineRule="atLeast"/>
                    <w:contextualSpacing/>
                    <w:jc w:val="center"/>
                    <w:rPr>
                      <w:rFonts w:eastAsiaTheme="minorEastAsia"/>
                      <w:color w:val="auto"/>
                      <w:szCs w:val="21"/>
                    </w:rPr>
                  </w:pPr>
                  <w:r>
                    <w:rPr>
                      <w:rFonts w:eastAsiaTheme="minorEastAsia"/>
                      <w:color w:val="auto"/>
                      <w:szCs w:val="21"/>
                    </w:rPr>
                    <w:t>生产区</w:t>
                  </w:r>
                </w:p>
              </w:tc>
              <w:tc>
                <w:tcPr>
                  <w:tcW w:w="3619" w:type="pct"/>
                  <w:shd w:val="clear" w:color="auto" w:fill="FFFFFF"/>
                  <w:vAlign w:val="center"/>
                </w:tcPr>
                <w:p w14:paraId="29911BD4">
                  <w:pPr>
                    <w:spacing w:line="0" w:lineRule="atLeast"/>
                    <w:rPr>
                      <w:rFonts w:hint="eastAsia" w:eastAsiaTheme="minorEastAsia"/>
                      <w:color w:val="auto"/>
                      <w:szCs w:val="21"/>
                      <w:lang w:eastAsia="zh-CN"/>
                    </w:rPr>
                  </w:pPr>
                  <w:r>
                    <w:rPr>
                      <w:rFonts w:eastAsiaTheme="minorEastAsia"/>
                      <w:color w:val="auto"/>
                      <w:szCs w:val="21"/>
                    </w:rPr>
                    <w:t>设置一条沥青混凝土生产线，搅拌站整体封闭，</w:t>
                  </w:r>
                  <w:r>
                    <w:rPr>
                      <w:rFonts w:hint="eastAsia"/>
                      <w:bCs/>
                      <w:color w:val="auto"/>
                      <w:szCs w:val="21"/>
                    </w:rPr>
                    <w:t>高度为23m，</w:t>
                  </w:r>
                  <w:r>
                    <w:rPr>
                      <w:rFonts w:eastAsiaTheme="minorEastAsia"/>
                      <w:color w:val="auto"/>
                      <w:szCs w:val="21"/>
                    </w:rPr>
                    <w:t>包括上料口、传送带、搅拌设施，设置一个</w:t>
                  </w:r>
                  <w:r>
                    <w:rPr>
                      <w:rFonts w:hint="eastAsia" w:eastAsiaTheme="minorEastAsia"/>
                      <w:bCs/>
                      <w:color w:val="auto"/>
                      <w:szCs w:val="21"/>
                      <w:lang w:val="en-US" w:eastAsia="zh-CN"/>
                    </w:rPr>
                    <w:t>烘干</w:t>
                  </w:r>
                  <w:r>
                    <w:rPr>
                      <w:rFonts w:eastAsiaTheme="minorEastAsia"/>
                      <w:bCs/>
                      <w:color w:val="auto"/>
                      <w:szCs w:val="21"/>
                    </w:rPr>
                    <w:t>筒，热量由1台燃燃烧器提供，</w:t>
                  </w:r>
                  <w:r>
                    <w:rPr>
                      <w:rFonts w:hint="eastAsia" w:eastAsiaTheme="minorEastAsia"/>
                      <w:bCs/>
                      <w:color w:val="auto"/>
                      <w:szCs w:val="21"/>
                      <w:lang w:val="en-US" w:eastAsia="zh-CN"/>
                    </w:rPr>
                    <w:t>燃料为</w:t>
                  </w:r>
                  <w:r>
                    <w:rPr>
                      <w:rFonts w:hint="eastAsia"/>
                      <w:color w:val="auto"/>
                      <w:sz w:val="21"/>
                      <w:szCs w:val="21"/>
                      <w:highlight w:val="none"/>
                      <w:lang w:val="en-US" w:eastAsia="zh-CN"/>
                    </w:rPr>
                    <w:t>天然气，</w:t>
                  </w:r>
                  <w:r>
                    <w:rPr>
                      <w:rFonts w:eastAsiaTheme="minorEastAsia"/>
                      <w:bCs/>
                      <w:color w:val="auto"/>
                      <w:szCs w:val="21"/>
                    </w:rPr>
                    <w:t>用于加热碎石。</w:t>
                  </w:r>
                  <w:r>
                    <w:rPr>
                      <w:rFonts w:eastAsiaTheme="minorEastAsia"/>
                      <w:color w:val="auto"/>
                      <w:szCs w:val="21"/>
                    </w:rPr>
                    <w:t>沥青罐内的沥青通过1</w:t>
                  </w:r>
                  <w:r>
                    <w:rPr>
                      <w:rFonts w:ascii="Times New Roman" w:hAnsi="Times New Roman" w:cs="Times New Roman" w:eastAsiaTheme="minorEastAsia"/>
                      <w:color w:val="auto"/>
                      <w:szCs w:val="21"/>
                    </w:rPr>
                    <w:t>台</w:t>
                  </w:r>
                  <w:r>
                    <w:rPr>
                      <w:rFonts w:hint="eastAsia" w:ascii="Times New Roman" w:hAnsi="Times New Roman" w:cs="Times New Roman" w:eastAsiaTheme="minorEastAsia"/>
                      <w:color w:val="auto"/>
                      <w:szCs w:val="21"/>
                      <w:lang w:val="en-US" w:eastAsia="zh-CN"/>
                    </w:rPr>
                    <w:t>1.5</w:t>
                  </w:r>
                  <w:r>
                    <w:rPr>
                      <w:rFonts w:hint="eastAsia" w:ascii="Times New Roman" w:hAnsi="Times New Roman" w:cs="Times New Roman" w:eastAsiaTheme="minorEastAsia"/>
                      <w:color w:val="auto"/>
                      <w:szCs w:val="21"/>
                    </w:rPr>
                    <w:t>t/h</w:t>
                  </w:r>
                  <w:r>
                    <w:rPr>
                      <w:rFonts w:ascii="Times New Roman" w:hAnsi="Times New Roman" w:cs="Times New Roman" w:eastAsiaTheme="minorEastAsia"/>
                      <w:color w:val="auto"/>
                      <w:szCs w:val="21"/>
                    </w:rPr>
                    <w:t>燃</w:t>
                  </w:r>
                  <w:r>
                    <w:rPr>
                      <w:rFonts w:hint="eastAsia"/>
                      <w:color w:val="auto"/>
                      <w:sz w:val="21"/>
                      <w:szCs w:val="21"/>
                      <w:highlight w:val="none"/>
                      <w:lang w:val="en-US" w:eastAsia="zh-CN"/>
                    </w:rPr>
                    <w:t>气</w:t>
                  </w:r>
                  <w:r>
                    <w:rPr>
                      <w:rFonts w:eastAsiaTheme="minorEastAsia"/>
                      <w:color w:val="auto"/>
                      <w:szCs w:val="21"/>
                    </w:rPr>
                    <w:t>导热油炉间接加热，使其维持在150℃到</w:t>
                  </w:r>
                  <w:r>
                    <w:rPr>
                      <w:rFonts w:hint="eastAsia" w:eastAsiaTheme="minorEastAsia"/>
                      <w:color w:val="auto"/>
                      <w:szCs w:val="21"/>
                    </w:rPr>
                    <w:t>160</w:t>
                  </w:r>
                  <w:r>
                    <w:rPr>
                      <w:rFonts w:eastAsiaTheme="minorEastAsia"/>
                      <w:color w:val="auto"/>
                      <w:szCs w:val="21"/>
                    </w:rPr>
                    <w:t>℃</w:t>
                  </w:r>
                  <w:r>
                    <w:rPr>
                      <w:rFonts w:hint="eastAsia" w:eastAsiaTheme="minorEastAsia"/>
                      <w:color w:val="auto"/>
                      <w:szCs w:val="21"/>
                      <w:lang w:eastAsia="zh-CN"/>
                    </w:rPr>
                    <w:t>。</w:t>
                  </w:r>
                </w:p>
                <w:p w14:paraId="444151EC">
                  <w:pPr>
                    <w:spacing w:line="0" w:lineRule="atLeast"/>
                    <w:rPr>
                      <w:rFonts w:eastAsiaTheme="minorEastAsia"/>
                      <w:color w:val="auto"/>
                      <w:szCs w:val="21"/>
                    </w:rPr>
                  </w:pPr>
                  <w:r>
                    <w:rPr>
                      <w:rFonts w:eastAsiaTheme="minorEastAsia"/>
                      <w:color w:val="auto"/>
                      <w:szCs w:val="21"/>
                    </w:rPr>
                    <w:t>成品混凝土利用专用罐车直接运往施工场地，不在本厂区贮存，</w:t>
                  </w:r>
                  <w:r>
                    <w:rPr>
                      <w:rFonts w:eastAsiaTheme="minorEastAsia"/>
                      <w:bCs/>
                      <w:color w:val="auto"/>
                      <w:szCs w:val="21"/>
                    </w:rPr>
                    <w:t>年生产沥青混凝土</w:t>
                  </w:r>
                  <w:r>
                    <w:rPr>
                      <w:rFonts w:hint="eastAsia"/>
                      <w:color w:val="auto"/>
                      <w:kern w:val="0"/>
                      <w:szCs w:val="21"/>
                      <w:lang w:val="en-US" w:eastAsia="zh-CN"/>
                    </w:rPr>
                    <w:t>33299</w:t>
                  </w:r>
                  <w:r>
                    <w:rPr>
                      <w:rFonts w:hint="eastAsia"/>
                      <w:color w:val="auto"/>
                      <w:kern w:val="0"/>
                      <w:szCs w:val="21"/>
                      <w:highlight w:val="none"/>
                      <w:lang w:val="en-US" w:eastAsia="zh-CN"/>
                    </w:rPr>
                    <w:t>5</w:t>
                  </w:r>
                  <w:r>
                    <w:rPr>
                      <w:rFonts w:hint="eastAsia" w:eastAsiaTheme="minorEastAsia"/>
                      <w:bCs/>
                      <w:color w:val="auto"/>
                      <w:szCs w:val="21"/>
                      <w:highlight w:val="none"/>
                    </w:rPr>
                    <w:t>t</w:t>
                  </w:r>
                </w:p>
              </w:tc>
              <w:tc>
                <w:tcPr>
                  <w:tcW w:w="466" w:type="pct"/>
                  <w:vMerge w:val="restart"/>
                  <w:vAlign w:val="center"/>
                </w:tcPr>
                <w:p w14:paraId="7D6E59AD">
                  <w:pPr>
                    <w:contextualSpacing/>
                    <w:jc w:val="center"/>
                    <w:rPr>
                      <w:color w:val="auto"/>
                      <w:szCs w:val="21"/>
                    </w:rPr>
                  </w:pPr>
                  <w:r>
                    <w:rPr>
                      <w:color w:val="auto"/>
                      <w:szCs w:val="21"/>
                    </w:rPr>
                    <w:t>新建</w:t>
                  </w:r>
                </w:p>
              </w:tc>
            </w:tr>
            <w:tr w14:paraId="49732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31" w:type="pct"/>
                  <w:vMerge w:val="restart"/>
                  <w:shd w:val="clear" w:color="auto" w:fill="auto"/>
                  <w:vAlign w:val="center"/>
                </w:tcPr>
                <w:p w14:paraId="4E90AC19">
                  <w:pPr>
                    <w:contextualSpacing/>
                    <w:jc w:val="center"/>
                    <w:rPr>
                      <w:color w:val="auto"/>
                      <w:szCs w:val="21"/>
                    </w:rPr>
                  </w:pPr>
                  <w:r>
                    <w:rPr>
                      <w:color w:val="auto"/>
                      <w:szCs w:val="21"/>
                    </w:rPr>
                    <w:t>储运工程</w:t>
                  </w:r>
                </w:p>
              </w:tc>
              <w:tc>
                <w:tcPr>
                  <w:tcW w:w="482" w:type="pct"/>
                  <w:shd w:val="clear" w:color="auto" w:fill="FFFFFF"/>
                  <w:vAlign w:val="center"/>
                </w:tcPr>
                <w:p w14:paraId="49340986">
                  <w:pPr>
                    <w:contextualSpacing/>
                    <w:jc w:val="center"/>
                    <w:rPr>
                      <w:color w:val="auto"/>
                      <w:szCs w:val="21"/>
                    </w:rPr>
                  </w:pPr>
                  <w:r>
                    <w:rPr>
                      <w:color w:val="auto"/>
                      <w:szCs w:val="21"/>
                    </w:rPr>
                    <w:t>碎石</w:t>
                  </w:r>
                </w:p>
                <w:p w14:paraId="75B0F272">
                  <w:pPr>
                    <w:contextualSpacing/>
                    <w:jc w:val="center"/>
                    <w:rPr>
                      <w:color w:val="auto"/>
                      <w:szCs w:val="21"/>
                    </w:rPr>
                  </w:pPr>
                  <w:r>
                    <w:rPr>
                      <w:color w:val="auto"/>
                      <w:szCs w:val="21"/>
                    </w:rPr>
                    <w:t>堆场</w:t>
                  </w:r>
                </w:p>
              </w:tc>
              <w:tc>
                <w:tcPr>
                  <w:tcW w:w="3619" w:type="pct"/>
                  <w:shd w:val="clear" w:color="auto" w:fill="FFFFFF"/>
                  <w:vAlign w:val="center"/>
                </w:tcPr>
                <w:p w14:paraId="55E2B5B1">
                  <w:pPr>
                    <w:pStyle w:val="6"/>
                    <w:snapToGrid w:val="0"/>
                    <w:spacing w:line="240" w:lineRule="auto"/>
                    <w:ind w:firstLine="0"/>
                    <w:rPr>
                      <w:rFonts w:ascii="Times New Roman" w:hAnsi="Times New Roman"/>
                      <w:color w:val="auto"/>
                      <w:szCs w:val="21"/>
                    </w:rPr>
                  </w:pPr>
                  <w:r>
                    <w:rPr>
                      <w:rFonts w:ascii="Times New Roman" w:hAnsi="Times New Roman"/>
                      <w:color w:val="auto"/>
                      <w:sz w:val="21"/>
                      <w:szCs w:val="21"/>
                    </w:rPr>
                    <w:t>堆场占地面积约为</w:t>
                  </w: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1</w:t>
                  </w:r>
                  <w:r>
                    <w:rPr>
                      <w:rFonts w:ascii="Times New Roman" w:hAnsi="Times New Roman"/>
                      <w:color w:val="auto"/>
                      <w:sz w:val="21"/>
                      <w:szCs w:val="21"/>
                    </w:rPr>
                    <w:t>000m</w:t>
                  </w:r>
                  <w:r>
                    <w:rPr>
                      <w:rFonts w:ascii="Times New Roman" w:hAnsi="Times New Roman"/>
                      <w:color w:val="auto"/>
                      <w:sz w:val="21"/>
                      <w:szCs w:val="21"/>
                      <w:vertAlign w:val="superscript"/>
                    </w:rPr>
                    <w:t>2</w:t>
                  </w:r>
                  <w:r>
                    <w:rPr>
                      <w:rFonts w:ascii="Times New Roman" w:hAnsi="Times New Roman"/>
                      <w:color w:val="auto"/>
                      <w:sz w:val="21"/>
                      <w:szCs w:val="21"/>
                    </w:rPr>
                    <w:t>，用于暂存原料碎石，堆高5m，最大存储量为</w:t>
                  </w:r>
                  <w:r>
                    <w:rPr>
                      <w:rFonts w:hint="eastAsia" w:ascii="Times New Roman" w:hAnsi="Times New Roman"/>
                      <w:color w:val="auto"/>
                      <w:sz w:val="21"/>
                      <w:szCs w:val="21"/>
                    </w:rPr>
                    <w:t>18</w:t>
                  </w:r>
                  <w:r>
                    <w:rPr>
                      <w:rFonts w:ascii="Times New Roman" w:hAnsi="Times New Roman"/>
                      <w:color w:val="auto"/>
                      <w:sz w:val="21"/>
                      <w:szCs w:val="21"/>
                    </w:rPr>
                    <w:t>万t</w:t>
                  </w:r>
                </w:p>
              </w:tc>
              <w:tc>
                <w:tcPr>
                  <w:tcW w:w="466" w:type="pct"/>
                  <w:vMerge w:val="continue"/>
                  <w:vAlign w:val="center"/>
                </w:tcPr>
                <w:p w14:paraId="34CD5995">
                  <w:pPr>
                    <w:contextualSpacing/>
                    <w:jc w:val="center"/>
                    <w:rPr>
                      <w:color w:val="auto"/>
                      <w:szCs w:val="21"/>
                    </w:rPr>
                  </w:pPr>
                </w:p>
              </w:tc>
            </w:tr>
            <w:tr w14:paraId="06D4B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31" w:type="pct"/>
                  <w:vMerge w:val="continue"/>
                  <w:shd w:val="clear" w:color="auto" w:fill="auto"/>
                  <w:vAlign w:val="center"/>
                </w:tcPr>
                <w:p w14:paraId="211AE51C">
                  <w:pPr>
                    <w:contextualSpacing/>
                    <w:jc w:val="center"/>
                    <w:rPr>
                      <w:color w:val="auto"/>
                      <w:szCs w:val="21"/>
                    </w:rPr>
                  </w:pPr>
                </w:p>
              </w:tc>
              <w:tc>
                <w:tcPr>
                  <w:tcW w:w="482" w:type="pct"/>
                  <w:shd w:val="clear" w:color="auto" w:fill="FFFFFF"/>
                  <w:vAlign w:val="center"/>
                </w:tcPr>
                <w:p w14:paraId="7ABB0AAE">
                  <w:pPr>
                    <w:spacing w:line="0" w:lineRule="atLeast"/>
                    <w:contextualSpacing/>
                    <w:jc w:val="center"/>
                    <w:rPr>
                      <w:rFonts w:hint="eastAsia" w:eastAsiaTheme="minorEastAsia"/>
                      <w:color w:val="auto"/>
                      <w:szCs w:val="21"/>
                      <w:lang w:eastAsia="zh-CN"/>
                    </w:rPr>
                  </w:pPr>
                  <w:r>
                    <w:rPr>
                      <w:rFonts w:eastAsiaTheme="minorEastAsia"/>
                      <w:color w:val="auto"/>
                      <w:szCs w:val="21"/>
                    </w:rPr>
                    <w:t>危废</w:t>
                  </w:r>
                  <w:r>
                    <w:rPr>
                      <w:rFonts w:hint="eastAsia" w:eastAsiaTheme="minorEastAsia"/>
                      <w:color w:val="auto"/>
                      <w:szCs w:val="21"/>
                    </w:rPr>
                    <w:t>贮存</w:t>
                  </w:r>
                  <w:r>
                    <w:rPr>
                      <w:rFonts w:hint="eastAsia" w:eastAsiaTheme="minorEastAsia"/>
                      <w:color w:val="auto"/>
                      <w:szCs w:val="21"/>
                      <w:lang w:val="en-US" w:eastAsia="zh-CN"/>
                    </w:rPr>
                    <w:t>点</w:t>
                  </w:r>
                </w:p>
              </w:tc>
              <w:tc>
                <w:tcPr>
                  <w:tcW w:w="3619" w:type="pct"/>
                  <w:shd w:val="clear" w:color="auto" w:fill="FFFFFF"/>
                  <w:vAlign w:val="center"/>
                </w:tcPr>
                <w:p w14:paraId="286BA0AA">
                  <w:pPr>
                    <w:spacing w:line="0" w:lineRule="atLeast"/>
                    <w:contextualSpacing/>
                    <w:rPr>
                      <w:rFonts w:eastAsiaTheme="minorEastAsia"/>
                      <w:color w:val="auto"/>
                      <w:szCs w:val="21"/>
                    </w:rPr>
                  </w:pPr>
                  <w:r>
                    <w:rPr>
                      <w:rFonts w:eastAsiaTheme="minorEastAsia"/>
                      <w:color w:val="auto"/>
                      <w:szCs w:val="21"/>
                    </w:rPr>
                    <w:t>建筑面积为</w:t>
                  </w:r>
                  <w:r>
                    <w:rPr>
                      <w:rFonts w:hint="eastAsia" w:eastAsiaTheme="minorEastAsia"/>
                      <w:color w:val="auto"/>
                      <w:szCs w:val="21"/>
                    </w:rPr>
                    <w:t>15</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w:t>
                  </w:r>
                  <w:r>
                    <w:rPr>
                      <w:rFonts w:hint="eastAsia"/>
                      <w:bCs/>
                      <w:color w:val="auto"/>
                      <w:szCs w:val="21"/>
                    </w:rPr>
                    <w:t>高度为3m，</w:t>
                  </w:r>
                  <w:r>
                    <w:rPr>
                      <w:rFonts w:eastAsiaTheme="minorEastAsia"/>
                      <w:color w:val="auto"/>
                      <w:szCs w:val="21"/>
                    </w:rPr>
                    <w:t>用于存放厂区产生的危险废物，地面防渗，危废暂存间防渗层为至少1米厚粘土层（渗透系数≤10</w:t>
                  </w:r>
                  <w:r>
                    <w:rPr>
                      <w:rFonts w:eastAsiaTheme="minorEastAsia"/>
                      <w:color w:val="auto"/>
                      <w:szCs w:val="21"/>
                      <w:vertAlign w:val="superscript"/>
                    </w:rPr>
                    <w:t>-7</w:t>
                  </w:r>
                  <w:r>
                    <w:rPr>
                      <w:rFonts w:eastAsiaTheme="minorEastAsia"/>
                      <w:bCs/>
                      <w:color w:val="auto"/>
                      <w:szCs w:val="21"/>
                    </w:rPr>
                    <w:t>cm/s</w:t>
                  </w:r>
                  <w:r>
                    <w:rPr>
                      <w:rFonts w:eastAsiaTheme="minorEastAsia"/>
                      <w:color w:val="auto"/>
                      <w:szCs w:val="21"/>
                    </w:rPr>
                    <w:t>），或2mm高密度聚乙烯，或至少2mm厚的其它人工材料，渗透系数≤1×10</w:t>
                  </w:r>
                  <w:r>
                    <w:rPr>
                      <w:rFonts w:eastAsiaTheme="minorEastAsia"/>
                      <w:color w:val="auto"/>
                      <w:szCs w:val="21"/>
                      <w:vertAlign w:val="superscript"/>
                    </w:rPr>
                    <w:t>-10</w:t>
                  </w:r>
                  <w:r>
                    <w:rPr>
                      <w:rFonts w:eastAsiaTheme="minorEastAsia"/>
                      <w:color w:val="auto"/>
                      <w:szCs w:val="21"/>
                    </w:rPr>
                    <w:t>cm/s，内部采取分区隔断，废导热油采用专用容器贮存，设置围堰</w:t>
                  </w:r>
                  <w:r>
                    <w:rPr>
                      <w:rFonts w:hint="eastAsia" w:eastAsiaTheme="minorEastAsia"/>
                      <w:color w:val="auto"/>
                      <w:szCs w:val="21"/>
                    </w:rPr>
                    <w:t>；</w:t>
                  </w:r>
                  <w:r>
                    <w:rPr>
                      <w:rFonts w:eastAsiaTheme="minorEastAsia"/>
                      <w:color w:val="auto"/>
                      <w:szCs w:val="21"/>
                    </w:rPr>
                    <w:t>贮存的危险废物直接接触地面的，还应进行基础防渗，张贴危废标识。贮存</w:t>
                  </w:r>
                  <w:r>
                    <w:rPr>
                      <w:rFonts w:hint="eastAsia" w:eastAsiaTheme="minorEastAsia"/>
                      <w:color w:val="auto"/>
                      <w:szCs w:val="21"/>
                      <w:lang w:val="en-US" w:eastAsia="zh-CN"/>
                    </w:rPr>
                    <w:t>点</w:t>
                  </w:r>
                  <w:r>
                    <w:rPr>
                      <w:rFonts w:eastAsiaTheme="minorEastAsia"/>
                      <w:color w:val="auto"/>
                      <w:szCs w:val="21"/>
                    </w:rPr>
                    <w:t>设置应符合《危险废物贮存污染控制标准》（</w:t>
                  </w:r>
                  <w:r>
                    <w:rPr>
                      <w:rFonts w:hint="eastAsia" w:eastAsiaTheme="minorEastAsia"/>
                      <w:color w:val="auto"/>
                      <w:szCs w:val="21"/>
                    </w:rPr>
                    <w:t>GB18597-2023</w:t>
                  </w:r>
                  <w:r>
                    <w:rPr>
                      <w:rFonts w:eastAsiaTheme="minorEastAsia"/>
                      <w:color w:val="auto"/>
                      <w:szCs w:val="21"/>
                    </w:rPr>
                    <w:t>）相关要求。</w:t>
                  </w:r>
                </w:p>
              </w:tc>
              <w:tc>
                <w:tcPr>
                  <w:tcW w:w="466" w:type="pct"/>
                  <w:vMerge w:val="continue"/>
                  <w:vAlign w:val="center"/>
                </w:tcPr>
                <w:p w14:paraId="196036EB">
                  <w:pPr>
                    <w:contextualSpacing/>
                    <w:jc w:val="center"/>
                    <w:rPr>
                      <w:color w:val="auto"/>
                      <w:szCs w:val="21"/>
                    </w:rPr>
                  </w:pPr>
                </w:p>
              </w:tc>
            </w:tr>
            <w:tr w14:paraId="38DE7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31" w:type="pct"/>
                  <w:vMerge w:val="continue"/>
                  <w:shd w:val="clear" w:color="auto" w:fill="auto"/>
                  <w:vAlign w:val="center"/>
                </w:tcPr>
                <w:p w14:paraId="23145238">
                  <w:pPr>
                    <w:contextualSpacing/>
                    <w:jc w:val="center"/>
                    <w:rPr>
                      <w:color w:val="auto"/>
                      <w:szCs w:val="21"/>
                    </w:rPr>
                  </w:pPr>
                </w:p>
              </w:tc>
              <w:tc>
                <w:tcPr>
                  <w:tcW w:w="482" w:type="pct"/>
                  <w:shd w:val="clear" w:color="auto" w:fill="FFFFFF"/>
                  <w:vAlign w:val="center"/>
                </w:tcPr>
                <w:p w14:paraId="0C809F5E">
                  <w:pPr>
                    <w:spacing w:line="0" w:lineRule="atLeast"/>
                    <w:contextualSpacing/>
                    <w:jc w:val="center"/>
                    <w:rPr>
                      <w:rFonts w:hint="default" w:eastAsiaTheme="minorEastAsia"/>
                      <w:color w:val="auto"/>
                      <w:szCs w:val="21"/>
                      <w:lang w:val="en-US" w:eastAsia="zh-CN"/>
                    </w:rPr>
                  </w:pPr>
                  <w:r>
                    <w:rPr>
                      <w:rFonts w:hint="eastAsia" w:eastAsiaTheme="minorEastAsia"/>
                      <w:color w:val="auto"/>
                      <w:szCs w:val="21"/>
                      <w:lang w:val="en-US" w:eastAsia="zh-CN"/>
                    </w:rPr>
                    <w:t>沥青罐、矿粉仓</w:t>
                  </w:r>
                </w:p>
              </w:tc>
              <w:tc>
                <w:tcPr>
                  <w:tcW w:w="3619" w:type="pct"/>
                  <w:shd w:val="clear" w:color="auto" w:fill="FFFFFF"/>
                  <w:vAlign w:val="center"/>
                </w:tcPr>
                <w:p w14:paraId="28C32E1E">
                  <w:pPr>
                    <w:spacing w:line="0" w:lineRule="atLeast"/>
                    <w:ind w:left="105" w:hanging="105" w:hangingChars="50"/>
                    <w:contextualSpacing/>
                    <w:rPr>
                      <w:rFonts w:hint="eastAsia" w:eastAsiaTheme="minorEastAsia"/>
                      <w:color w:val="auto"/>
                      <w:szCs w:val="21"/>
                      <w:lang w:eastAsia="zh-CN"/>
                    </w:rPr>
                  </w:pPr>
                  <w:r>
                    <w:rPr>
                      <w:rFonts w:eastAsiaTheme="minorEastAsia"/>
                      <w:color w:val="auto"/>
                      <w:szCs w:val="21"/>
                    </w:rPr>
                    <w:t>沥青混凝土生产线配备</w:t>
                  </w:r>
                  <w:r>
                    <w:rPr>
                      <w:rFonts w:hint="eastAsia" w:eastAsiaTheme="minorEastAsia"/>
                      <w:color w:val="auto"/>
                      <w:szCs w:val="21"/>
                      <w:lang w:val="en-US" w:eastAsia="zh-CN"/>
                    </w:rPr>
                    <w:t>6</w:t>
                  </w:r>
                  <w:r>
                    <w:rPr>
                      <w:rFonts w:eastAsiaTheme="minorEastAsia"/>
                      <w:color w:val="auto"/>
                      <w:szCs w:val="21"/>
                    </w:rPr>
                    <w:t>个沥青罐（长1</w:t>
                  </w:r>
                  <w:r>
                    <w:rPr>
                      <w:rFonts w:hint="eastAsia" w:eastAsiaTheme="minorEastAsia"/>
                      <w:color w:val="auto"/>
                      <w:szCs w:val="21"/>
                    </w:rPr>
                    <w:t>1</w:t>
                  </w:r>
                  <w:r>
                    <w:rPr>
                      <w:rFonts w:eastAsiaTheme="minorEastAsia"/>
                      <w:color w:val="auto"/>
                      <w:szCs w:val="21"/>
                    </w:rPr>
                    <w:t>m直径3</w:t>
                  </w:r>
                  <w:r>
                    <w:rPr>
                      <w:rFonts w:hint="eastAsia" w:eastAsiaTheme="minorEastAsia"/>
                      <w:color w:val="auto"/>
                      <w:szCs w:val="21"/>
                    </w:rPr>
                    <w:t>.1</w:t>
                  </w:r>
                  <w:r>
                    <w:rPr>
                      <w:rFonts w:eastAsiaTheme="minorEastAsia"/>
                      <w:color w:val="auto"/>
                      <w:szCs w:val="21"/>
                    </w:rPr>
                    <w:t>m），储存量均为50吨，配备1个矿粉筒仓（高</w:t>
                  </w:r>
                  <w:r>
                    <w:rPr>
                      <w:rFonts w:hint="eastAsia" w:eastAsiaTheme="minorEastAsia"/>
                      <w:color w:val="auto"/>
                      <w:szCs w:val="21"/>
                    </w:rPr>
                    <w:t>20</w:t>
                  </w:r>
                  <w:r>
                    <w:rPr>
                      <w:rFonts w:eastAsiaTheme="minorEastAsia"/>
                      <w:color w:val="auto"/>
                      <w:szCs w:val="21"/>
                    </w:rPr>
                    <w:t>m直径</w:t>
                  </w:r>
                  <w:r>
                    <w:rPr>
                      <w:rFonts w:hint="eastAsia" w:eastAsiaTheme="minorEastAsia"/>
                      <w:color w:val="auto"/>
                      <w:szCs w:val="21"/>
                    </w:rPr>
                    <w:t>3.8</w:t>
                  </w:r>
                  <w:r>
                    <w:rPr>
                      <w:rFonts w:eastAsiaTheme="minorEastAsia"/>
                      <w:color w:val="auto"/>
                      <w:szCs w:val="21"/>
                    </w:rPr>
                    <w:t>m），储存量为</w:t>
                  </w:r>
                  <w:r>
                    <w:rPr>
                      <w:rFonts w:hint="eastAsia" w:eastAsiaTheme="minorEastAsia"/>
                      <w:color w:val="auto"/>
                      <w:szCs w:val="21"/>
                    </w:rPr>
                    <w:t>70</w:t>
                  </w:r>
                  <w:r>
                    <w:rPr>
                      <w:rFonts w:eastAsiaTheme="minorEastAsia"/>
                      <w:color w:val="auto"/>
                      <w:szCs w:val="21"/>
                    </w:rPr>
                    <w:t>吨</w:t>
                  </w:r>
                </w:p>
              </w:tc>
              <w:tc>
                <w:tcPr>
                  <w:tcW w:w="466" w:type="pct"/>
                  <w:vMerge w:val="continue"/>
                  <w:vAlign w:val="center"/>
                </w:tcPr>
                <w:p w14:paraId="0FAD4110">
                  <w:pPr>
                    <w:contextualSpacing/>
                    <w:jc w:val="center"/>
                    <w:rPr>
                      <w:color w:val="auto"/>
                      <w:szCs w:val="21"/>
                    </w:rPr>
                  </w:pPr>
                </w:p>
              </w:tc>
            </w:tr>
            <w:tr w14:paraId="282D6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31" w:type="pct"/>
                  <w:vMerge w:val="continue"/>
                  <w:shd w:val="clear" w:color="auto" w:fill="auto"/>
                  <w:vAlign w:val="center"/>
                </w:tcPr>
                <w:p w14:paraId="0E1063F9">
                  <w:pPr>
                    <w:contextualSpacing/>
                    <w:jc w:val="center"/>
                    <w:rPr>
                      <w:color w:val="auto"/>
                      <w:szCs w:val="21"/>
                    </w:rPr>
                  </w:pPr>
                </w:p>
              </w:tc>
              <w:tc>
                <w:tcPr>
                  <w:tcW w:w="482" w:type="pct"/>
                  <w:shd w:val="clear" w:color="auto" w:fill="FFFFFF"/>
                  <w:vAlign w:val="center"/>
                </w:tcPr>
                <w:p w14:paraId="013E5F47">
                  <w:pPr>
                    <w:spacing w:line="0" w:lineRule="atLeast"/>
                    <w:contextualSpacing/>
                    <w:jc w:val="center"/>
                    <w:rPr>
                      <w:rFonts w:eastAsiaTheme="minorEastAsia"/>
                      <w:color w:val="auto"/>
                      <w:szCs w:val="21"/>
                    </w:rPr>
                  </w:pPr>
                  <w:r>
                    <w:rPr>
                      <w:rFonts w:hint="eastAsia" w:eastAsiaTheme="minorEastAsia"/>
                      <w:color w:val="auto"/>
                      <w:szCs w:val="21"/>
                    </w:rPr>
                    <w:t>天然气</w:t>
                  </w:r>
                  <w:r>
                    <w:rPr>
                      <w:rFonts w:eastAsiaTheme="minorEastAsia"/>
                      <w:color w:val="auto"/>
                      <w:szCs w:val="21"/>
                    </w:rPr>
                    <w:t>罐车</w:t>
                  </w:r>
                </w:p>
              </w:tc>
              <w:tc>
                <w:tcPr>
                  <w:tcW w:w="3619" w:type="pct"/>
                  <w:shd w:val="clear" w:color="auto" w:fill="FFFFFF"/>
                  <w:vAlign w:val="center"/>
                </w:tcPr>
                <w:p w14:paraId="091A9AF7">
                  <w:pPr>
                    <w:spacing w:line="0" w:lineRule="atLeast"/>
                    <w:ind w:left="105" w:hanging="105" w:hangingChars="50"/>
                    <w:contextualSpacing/>
                    <w:rPr>
                      <w:rFonts w:eastAsiaTheme="minorEastAsia"/>
                      <w:color w:val="auto"/>
                      <w:szCs w:val="21"/>
                    </w:rPr>
                  </w:pPr>
                  <w:r>
                    <w:rPr>
                      <w:rFonts w:eastAsiaTheme="minorEastAsia"/>
                      <w:color w:val="auto"/>
                      <w:szCs w:val="21"/>
                    </w:rPr>
                    <w:t>共</w:t>
                  </w:r>
                  <w:r>
                    <w:rPr>
                      <w:rFonts w:hint="eastAsia" w:eastAsiaTheme="minorEastAsia"/>
                      <w:color w:val="auto"/>
                      <w:szCs w:val="21"/>
                    </w:rPr>
                    <w:t>2辆</w:t>
                  </w:r>
                  <w:r>
                    <w:rPr>
                      <w:rFonts w:eastAsiaTheme="minorEastAsia"/>
                      <w:color w:val="auto"/>
                      <w:szCs w:val="21"/>
                    </w:rPr>
                    <w:t>，每个罐车有</w:t>
                  </w:r>
                  <w:r>
                    <w:rPr>
                      <w:rFonts w:hint="eastAsia" w:eastAsiaTheme="minorEastAsia"/>
                      <w:color w:val="auto"/>
                      <w:szCs w:val="21"/>
                    </w:rPr>
                    <w:t>6个天然气气瓶，每辆罐车天然气</w:t>
                  </w:r>
                  <w:r>
                    <w:rPr>
                      <w:rFonts w:eastAsiaTheme="minorEastAsia"/>
                      <w:color w:val="auto"/>
                      <w:szCs w:val="21"/>
                    </w:rPr>
                    <w:t>储存量均为</w:t>
                  </w:r>
                  <w:r>
                    <w:rPr>
                      <w:rFonts w:hint="eastAsia" w:eastAsiaTheme="minorEastAsia"/>
                      <w:color w:val="auto"/>
                      <w:szCs w:val="21"/>
                    </w:rPr>
                    <w:t>4.43</w:t>
                  </w:r>
                  <w:r>
                    <w:rPr>
                      <w:rFonts w:eastAsiaTheme="minorEastAsia"/>
                      <w:color w:val="auto"/>
                      <w:szCs w:val="21"/>
                    </w:rPr>
                    <w:t>吨，共</w:t>
                  </w:r>
                  <w:r>
                    <w:rPr>
                      <w:rFonts w:hint="eastAsia" w:eastAsiaTheme="minorEastAsia"/>
                      <w:color w:val="auto"/>
                      <w:szCs w:val="21"/>
                    </w:rPr>
                    <w:t>8.86吨，</w:t>
                  </w:r>
                  <w:r>
                    <w:rPr>
                      <w:rFonts w:eastAsiaTheme="minorEastAsia"/>
                      <w:color w:val="auto"/>
                      <w:szCs w:val="21"/>
                    </w:rPr>
                    <w:t>用于存储</w:t>
                  </w:r>
                  <w:r>
                    <w:rPr>
                      <w:rFonts w:hint="eastAsia" w:eastAsiaTheme="minorEastAsia"/>
                      <w:color w:val="auto"/>
                      <w:szCs w:val="21"/>
                    </w:rPr>
                    <w:t>天然气</w:t>
                  </w:r>
                  <w:r>
                    <w:rPr>
                      <w:rFonts w:eastAsiaTheme="minorEastAsia"/>
                      <w:color w:val="auto"/>
                      <w:szCs w:val="21"/>
                    </w:rPr>
                    <w:t>，</w:t>
                  </w:r>
                  <w:r>
                    <w:rPr>
                      <w:rFonts w:hint="eastAsia" w:eastAsiaTheme="minorEastAsia"/>
                      <w:color w:val="auto"/>
                      <w:szCs w:val="21"/>
                    </w:rPr>
                    <w:t>天然气气瓶</w:t>
                  </w:r>
                  <w:r>
                    <w:rPr>
                      <w:rFonts w:eastAsiaTheme="minorEastAsia"/>
                      <w:color w:val="auto"/>
                      <w:szCs w:val="21"/>
                    </w:rPr>
                    <w:t>长1</w:t>
                  </w:r>
                  <w:r>
                    <w:rPr>
                      <w:rFonts w:hint="eastAsia" w:eastAsiaTheme="minorEastAsia"/>
                      <w:color w:val="auto"/>
                      <w:szCs w:val="21"/>
                    </w:rPr>
                    <w:t>3</w:t>
                  </w:r>
                  <w:r>
                    <w:rPr>
                      <w:rFonts w:eastAsiaTheme="minorEastAsia"/>
                      <w:color w:val="auto"/>
                      <w:szCs w:val="21"/>
                    </w:rPr>
                    <w:t>m直径</w:t>
                  </w:r>
                  <w:r>
                    <w:rPr>
                      <w:rFonts w:hint="eastAsia" w:eastAsiaTheme="minorEastAsia"/>
                      <w:color w:val="auto"/>
                      <w:szCs w:val="21"/>
                    </w:rPr>
                    <w:t>0.64</w:t>
                  </w:r>
                  <w:r>
                    <w:rPr>
                      <w:rFonts w:eastAsiaTheme="minorEastAsia"/>
                      <w:color w:val="auto"/>
                      <w:szCs w:val="21"/>
                    </w:rPr>
                    <w:t>m</w:t>
                  </w:r>
                </w:p>
              </w:tc>
              <w:tc>
                <w:tcPr>
                  <w:tcW w:w="466" w:type="pct"/>
                  <w:vMerge w:val="continue"/>
                  <w:vAlign w:val="center"/>
                </w:tcPr>
                <w:p w14:paraId="5778B2BC">
                  <w:pPr>
                    <w:contextualSpacing/>
                    <w:jc w:val="center"/>
                    <w:rPr>
                      <w:color w:val="auto"/>
                      <w:szCs w:val="21"/>
                    </w:rPr>
                  </w:pPr>
                </w:p>
              </w:tc>
            </w:tr>
            <w:tr w14:paraId="4884D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31" w:type="pct"/>
                  <w:vMerge w:val="continue"/>
                  <w:shd w:val="clear" w:color="auto" w:fill="auto"/>
                  <w:vAlign w:val="center"/>
                </w:tcPr>
                <w:p w14:paraId="227CF46F">
                  <w:pPr>
                    <w:contextualSpacing/>
                    <w:jc w:val="center"/>
                    <w:rPr>
                      <w:color w:val="auto"/>
                      <w:szCs w:val="21"/>
                    </w:rPr>
                  </w:pPr>
                </w:p>
              </w:tc>
              <w:tc>
                <w:tcPr>
                  <w:tcW w:w="482" w:type="pct"/>
                  <w:shd w:val="clear" w:color="auto" w:fill="FFFFFF"/>
                  <w:vAlign w:val="center"/>
                </w:tcPr>
                <w:p w14:paraId="48DA269A">
                  <w:pPr>
                    <w:spacing w:line="0" w:lineRule="atLeast"/>
                    <w:contextualSpacing/>
                    <w:jc w:val="center"/>
                    <w:rPr>
                      <w:rFonts w:eastAsiaTheme="minorEastAsia"/>
                      <w:color w:val="auto"/>
                      <w:szCs w:val="21"/>
                    </w:rPr>
                  </w:pPr>
                  <w:r>
                    <w:rPr>
                      <w:rFonts w:hint="eastAsia" w:eastAsiaTheme="minorEastAsia"/>
                      <w:color w:val="auto"/>
                      <w:kern w:val="0"/>
                      <w:szCs w:val="21"/>
                    </w:rPr>
                    <w:t>初期雨水池</w:t>
                  </w:r>
                </w:p>
              </w:tc>
              <w:tc>
                <w:tcPr>
                  <w:tcW w:w="3619" w:type="pct"/>
                  <w:shd w:val="clear" w:color="auto" w:fill="FFFFFF"/>
                  <w:vAlign w:val="center"/>
                </w:tcPr>
                <w:p w14:paraId="79170F93">
                  <w:pPr>
                    <w:spacing w:line="0" w:lineRule="atLeast"/>
                    <w:ind w:left="105" w:hanging="105" w:hangingChars="50"/>
                    <w:contextualSpacing/>
                    <w:rPr>
                      <w:rFonts w:eastAsiaTheme="minorEastAsia"/>
                      <w:color w:val="auto"/>
                      <w:szCs w:val="21"/>
                    </w:rPr>
                  </w:pPr>
                  <w:r>
                    <w:rPr>
                      <w:rFonts w:hint="eastAsia" w:eastAsiaTheme="minorEastAsia"/>
                      <w:color w:val="auto"/>
                      <w:kern w:val="0"/>
                      <w:szCs w:val="21"/>
                    </w:rPr>
                    <w:t>沥青搅拌站生产装置区域设置1座35m</w:t>
                  </w:r>
                  <w:r>
                    <w:rPr>
                      <w:rFonts w:hint="eastAsia" w:eastAsiaTheme="minorEastAsia"/>
                      <w:color w:val="auto"/>
                      <w:kern w:val="0"/>
                      <w:szCs w:val="21"/>
                      <w:vertAlign w:val="superscript"/>
                    </w:rPr>
                    <w:t>3</w:t>
                  </w:r>
                  <w:r>
                    <w:rPr>
                      <w:rFonts w:hint="eastAsia" w:eastAsiaTheme="minorEastAsia"/>
                      <w:color w:val="auto"/>
                      <w:kern w:val="0"/>
                      <w:szCs w:val="21"/>
                    </w:rPr>
                    <w:t>初期雨水池，</w:t>
                  </w:r>
                  <w:r>
                    <w:rPr>
                      <w:rFonts w:hAnsiTheme="minorEastAsia" w:eastAsiaTheme="minorEastAsia"/>
                      <w:color w:val="auto"/>
                      <w:szCs w:val="21"/>
                    </w:rPr>
                    <w:t>初期雨水经厂区四周排水沟汇入</w:t>
                  </w:r>
                  <w:r>
                    <w:rPr>
                      <w:rFonts w:hint="eastAsia" w:hAnsiTheme="minorEastAsia" w:eastAsiaTheme="minorEastAsia"/>
                      <w:color w:val="auto"/>
                      <w:szCs w:val="21"/>
                    </w:rPr>
                    <w:t>厂区</w:t>
                  </w:r>
                  <w:r>
                    <w:rPr>
                      <w:rFonts w:hint="eastAsia" w:eastAsiaTheme="minorEastAsia"/>
                      <w:color w:val="auto"/>
                      <w:kern w:val="0"/>
                      <w:szCs w:val="21"/>
                    </w:rPr>
                    <w:t>初期雨水池隔油沉淀处理后</w:t>
                  </w:r>
                  <w:r>
                    <w:rPr>
                      <w:rFonts w:hAnsiTheme="minorEastAsia" w:eastAsiaTheme="minorEastAsia"/>
                      <w:color w:val="auto"/>
                      <w:szCs w:val="21"/>
                    </w:rPr>
                    <w:t>，用于</w:t>
                  </w:r>
                  <w:r>
                    <w:rPr>
                      <w:rFonts w:hint="eastAsia" w:hAnsiTheme="minorEastAsia" w:eastAsiaTheme="minorEastAsia"/>
                      <w:color w:val="auto"/>
                      <w:szCs w:val="21"/>
                    </w:rPr>
                    <w:t>洒水</w:t>
                  </w:r>
                  <w:r>
                    <w:rPr>
                      <w:rFonts w:hAnsiTheme="minorEastAsia" w:eastAsiaTheme="minorEastAsia"/>
                      <w:color w:val="auto"/>
                      <w:szCs w:val="21"/>
                    </w:rPr>
                    <w:t>降尘，不外排。</w:t>
                  </w:r>
                </w:p>
              </w:tc>
              <w:tc>
                <w:tcPr>
                  <w:tcW w:w="466" w:type="pct"/>
                  <w:vAlign w:val="center"/>
                </w:tcPr>
                <w:p w14:paraId="7C76685D">
                  <w:pPr>
                    <w:contextualSpacing/>
                    <w:jc w:val="center"/>
                    <w:rPr>
                      <w:color w:val="auto"/>
                      <w:szCs w:val="21"/>
                    </w:rPr>
                  </w:pPr>
                </w:p>
              </w:tc>
            </w:tr>
            <w:tr w14:paraId="5E623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1" w:type="pct"/>
                  <w:vMerge w:val="restart"/>
                  <w:shd w:val="clear" w:color="auto" w:fill="auto"/>
                  <w:vAlign w:val="center"/>
                </w:tcPr>
                <w:p w14:paraId="686895AB">
                  <w:pPr>
                    <w:contextualSpacing/>
                    <w:jc w:val="center"/>
                    <w:rPr>
                      <w:color w:val="auto"/>
                      <w:szCs w:val="21"/>
                    </w:rPr>
                  </w:pPr>
                  <w:r>
                    <w:rPr>
                      <w:color w:val="auto"/>
                      <w:szCs w:val="21"/>
                    </w:rPr>
                    <w:t>辅助工程</w:t>
                  </w:r>
                </w:p>
              </w:tc>
              <w:tc>
                <w:tcPr>
                  <w:tcW w:w="482" w:type="pct"/>
                  <w:shd w:val="clear" w:color="auto" w:fill="FFFFFF"/>
                  <w:vAlign w:val="center"/>
                </w:tcPr>
                <w:p w14:paraId="0E4C0F9C">
                  <w:pPr>
                    <w:contextualSpacing/>
                    <w:jc w:val="center"/>
                    <w:rPr>
                      <w:rFonts w:hint="eastAsia" w:eastAsia="宋体"/>
                      <w:color w:val="auto"/>
                      <w:szCs w:val="21"/>
                      <w:lang w:eastAsia="zh-CN"/>
                    </w:rPr>
                  </w:pPr>
                  <w:r>
                    <w:rPr>
                      <w:color w:val="auto"/>
                      <w:szCs w:val="21"/>
                    </w:rPr>
                    <w:t>办公</w:t>
                  </w:r>
                  <w:r>
                    <w:rPr>
                      <w:rFonts w:hint="eastAsia"/>
                      <w:color w:val="auto"/>
                      <w:szCs w:val="21"/>
                      <w:lang w:val="en-US" w:eastAsia="zh-CN"/>
                    </w:rPr>
                    <w:t>区</w:t>
                  </w:r>
                </w:p>
              </w:tc>
              <w:tc>
                <w:tcPr>
                  <w:tcW w:w="3619" w:type="pct"/>
                  <w:shd w:val="clear" w:color="auto" w:fill="FFFFFF"/>
                  <w:vAlign w:val="center"/>
                </w:tcPr>
                <w:p w14:paraId="30D18144">
                  <w:pPr>
                    <w:contextualSpacing/>
                    <w:jc w:val="left"/>
                    <w:rPr>
                      <w:rFonts w:hint="eastAsia" w:eastAsia="宋体"/>
                      <w:color w:val="auto"/>
                      <w:kern w:val="0"/>
                      <w:szCs w:val="21"/>
                      <w:lang w:eastAsia="zh-CN"/>
                    </w:rPr>
                  </w:pPr>
                  <w:r>
                    <w:rPr>
                      <w:rFonts w:hint="eastAsia"/>
                      <w:color w:val="auto"/>
                      <w:kern w:val="0"/>
                      <w:szCs w:val="21"/>
                      <w:lang w:val="en-US" w:eastAsia="zh-CN"/>
                    </w:rPr>
                    <w:t>含办公室、控制室、食堂、会议室、实验室</w:t>
                  </w:r>
                  <w:r>
                    <w:rPr>
                      <w:color w:val="auto"/>
                      <w:kern w:val="0"/>
                      <w:szCs w:val="21"/>
                    </w:rPr>
                    <w:t>，建筑面积为</w:t>
                  </w:r>
                  <w:r>
                    <w:rPr>
                      <w:rFonts w:hint="eastAsia"/>
                      <w:color w:val="auto"/>
                      <w:kern w:val="0"/>
                      <w:szCs w:val="21"/>
                      <w:lang w:val="en-US" w:eastAsia="zh-CN"/>
                    </w:rPr>
                    <w:t>4</w:t>
                  </w:r>
                  <w:r>
                    <w:rPr>
                      <w:color w:val="auto"/>
                      <w:kern w:val="0"/>
                      <w:szCs w:val="21"/>
                    </w:rPr>
                    <w:t>00m</w:t>
                  </w:r>
                  <w:r>
                    <w:rPr>
                      <w:color w:val="auto"/>
                      <w:kern w:val="0"/>
                      <w:szCs w:val="21"/>
                      <w:vertAlign w:val="superscript"/>
                    </w:rPr>
                    <w:t>2</w:t>
                  </w:r>
                  <w:r>
                    <w:rPr>
                      <w:color w:val="auto"/>
                      <w:kern w:val="0"/>
                      <w:szCs w:val="21"/>
                    </w:rPr>
                    <w:t>，用于工作人员办公及休息</w:t>
                  </w:r>
                  <w:r>
                    <w:rPr>
                      <w:rFonts w:hint="eastAsia"/>
                      <w:color w:val="auto"/>
                      <w:kern w:val="0"/>
                      <w:szCs w:val="21"/>
                      <w:lang w:eastAsia="zh-CN"/>
                    </w:rPr>
                    <w:t>。</w:t>
                  </w:r>
                  <w:r>
                    <w:rPr>
                      <w:rFonts w:eastAsiaTheme="minorEastAsia"/>
                      <w:color w:val="auto"/>
                      <w:szCs w:val="21"/>
                    </w:rPr>
                    <w:t>实验室主要进行简单的成品抽样检测试验，检测产品强度，为物理实验，不涉及化学品的使用</w:t>
                  </w:r>
                </w:p>
              </w:tc>
              <w:tc>
                <w:tcPr>
                  <w:tcW w:w="466" w:type="pct"/>
                  <w:vAlign w:val="center"/>
                </w:tcPr>
                <w:p w14:paraId="2F813838">
                  <w:pPr>
                    <w:contextualSpacing/>
                    <w:jc w:val="center"/>
                    <w:rPr>
                      <w:color w:val="auto"/>
                      <w:szCs w:val="21"/>
                    </w:rPr>
                  </w:pPr>
                  <w:r>
                    <w:rPr>
                      <w:rFonts w:hint="eastAsia"/>
                      <w:color w:val="auto"/>
                      <w:szCs w:val="21"/>
                    </w:rPr>
                    <w:t>新</w:t>
                  </w:r>
                  <w:r>
                    <w:rPr>
                      <w:color w:val="auto"/>
                      <w:szCs w:val="21"/>
                    </w:rPr>
                    <w:t>建</w:t>
                  </w:r>
                </w:p>
              </w:tc>
            </w:tr>
            <w:tr w14:paraId="34A37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1" w:type="pct"/>
                  <w:vMerge w:val="continue"/>
                  <w:shd w:val="clear" w:color="auto" w:fill="auto"/>
                  <w:vAlign w:val="center"/>
                </w:tcPr>
                <w:p w14:paraId="1F6E4EAD">
                  <w:pPr>
                    <w:contextualSpacing/>
                    <w:jc w:val="center"/>
                    <w:rPr>
                      <w:color w:val="auto"/>
                      <w:szCs w:val="21"/>
                    </w:rPr>
                  </w:pPr>
                </w:p>
              </w:tc>
              <w:tc>
                <w:tcPr>
                  <w:tcW w:w="482" w:type="pct"/>
                  <w:shd w:val="clear" w:color="auto" w:fill="FFFFFF"/>
                  <w:vAlign w:val="center"/>
                </w:tcPr>
                <w:p w14:paraId="05567C04">
                  <w:pPr>
                    <w:spacing w:line="0" w:lineRule="atLeast"/>
                    <w:contextualSpacing/>
                    <w:jc w:val="center"/>
                    <w:rPr>
                      <w:rFonts w:hint="eastAsia" w:eastAsiaTheme="minorEastAsia"/>
                      <w:color w:val="auto"/>
                      <w:szCs w:val="21"/>
                      <w:lang w:val="en-US" w:eastAsia="zh-CN"/>
                    </w:rPr>
                  </w:pPr>
                  <w:r>
                    <w:rPr>
                      <w:rFonts w:hint="eastAsia" w:eastAsiaTheme="minorEastAsia"/>
                      <w:color w:val="auto"/>
                      <w:szCs w:val="21"/>
                      <w:lang w:val="en-US" w:eastAsia="zh-CN"/>
                    </w:rPr>
                    <w:t>库房</w:t>
                  </w:r>
                </w:p>
              </w:tc>
              <w:tc>
                <w:tcPr>
                  <w:tcW w:w="3619" w:type="pct"/>
                  <w:shd w:val="clear" w:color="auto" w:fill="FFFFFF"/>
                  <w:vAlign w:val="center"/>
                </w:tcPr>
                <w:p w14:paraId="14728627">
                  <w:pPr>
                    <w:spacing w:line="0" w:lineRule="atLeast"/>
                    <w:contextualSpacing/>
                    <w:rPr>
                      <w:rFonts w:hint="default" w:eastAsia="宋体"/>
                      <w:color w:val="auto"/>
                      <w:szCs w:val="21"/>
                      <w:lang w:val="en-US" w:eastAsia="zh-CN"/>
                    </w:rPr>
                  </w:pPr>
                  <w:r>
                    <w:rPr>
                      <w:rFonts w:hint="eastAsia" w:eastAsiaTheme="minorEastAsia"/>
                      <w:color w:val="auto"/>
                      <w:szCs w:val="21"/>
                      <w:lang w:val="en-US" w:eastAsia="zh-CN"/>
                    </w:rPr>
                    <w:t>库房2座，建筑面积</w:t>
                  </w:r>
                  <w:r>
                    <w:rPr>
                      <w:rFonts w:hint="eastAsia"/>
                      <w:color w:val="auto"/>
                      <w:kern w:val="0"/>
                      <w:szCs w:val="21"/>
                      <w:lang w:val="en-US" w:eastAsia="zh-CN"/>
                    </w:rPr>
                    <w:t>2</w:t>
                  </w:r>
                  <w:r>
                    <w:rPr>
                      <w:color w:val="auto"/>
                      <w:kern w:val="0"/>
                      <w:szCs w:val="21"/>
                    </w:rPr>
                    <w:t>00m</w:t>
                  </w:r>
                  <w:r>
                    <w:rPr>
                      <w:color w:val="auto"/>
                      <w:kern w:val="0"/>
                      <w:szCs w:val="21"/>
                      <w:vertAlign w:val="superscript"/>
                    </w:rPr>
                    <w:t>2</w:t>
                  </w:r>
                  <w:r>
                    <w:rPr>
                      <w:color w:val="auto"/>
                      <w:kern w:val="0"/>
                      <w:szCs w:val="21"/>
                    </w:rPr>
                    <w:t>，</w:t>
                  </w:r>
                  <w:r>
                    <w:rPr>
                      <w:rFonts w:hint="eastAsia"/>
                      <w:color w:val="auto"/>
                      <w:kern w:val="0"/>
                      <w:szCs w:val="21"/>
                      <w:lang w:val="en-US" w:eastAsia="zh-CN"/>
                    </w:rPr>
                    <w:t>用于存放工具等</w:t>
                  </w:r>
                </w:p>
              </w:tc>
              <w:tc>
                <w:tcPr>
                  <w:tcW w:w="466" w:type="pct"/>
                  <w:vAlign w:val="center"/>
                </w:tcPr>
                <w:p w14:paraId="775A829F">
                  <w:pPr>
                    <w:contextualSpacing/>
                    <w:jc w:val="center"/>
                    <w:rPr>
                      <w:color w:val="auto"/>
                      <w:szCs w:val="21"/>
                    </w:rPr>
                  </w:pPr>
                  <w:r>
                    <w:rPr>
                      <w:color w:val="auto"/>
                      <w:szCs w:val="21"/>
                    </w:rPr>
                    <w:t>新建</w:t>
                  </w:r>
                </w:p>
              </w:tc>
            </w:tr>
            <w:tr w14:paraId="5048D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1" w:type="pct"/>
                  <w:vMerge w:val="restart"/>
                  <w:shd w:val="clear" w:color="auto" w:fill="auto"/>
                  <w:vAlign w:val="center"/>
                </w:tcPr>
                <w:p w14:paraId="72EF7F36">
                  <w:pPr>
                    <w:contextualSpacing/>
                    <w:jc w:val="center"/>
                    <w:rPr>
                      <w:color w:val="auto"/>
                      <w:szCs w:val="21"/>
                    </w:rPr>
                  </w:pPr>
                  <w:r>
                    <w:rPr>
                      <w:color w:val="auto"/>
                      <w:szCs w:val="21"/>
                    </w:rPr>
                    <w:t>辅助工程</w:t>
                  </w:r>
                </w:p>
              </w:tc>
              <w:tc>
                <w:tcPr>
                  <w:tcW w:w="482" w:type="pct"/>
                  <w:shd w:val="clear" w:color="auto" w:fill="FFFFFF"/>
                  <w:vAlign w:val="center"/>
                </w:tcPr>
                <w:p w14:paraId="769E10C3">
                  <w:pPr>
                    <w:spacing w:line="0" w:lineRule="atLeast"/>
                    <w:contextualSpacing/>
                    <w:jc w:val="center"/>
                    <w:rPr>
                      <w:rFonts w:eastAsiaTheme="minorEastAsia"/>
                      <w:color w:val="auto"/>
                      <w:szCs w:val="21"/>
                    </w:rPr>
                  </w:pPr>
                  <w:r>
                    <w:rPr>
                      <w:rFonts w:eastAsiaTheme="minorEastAsia"/>
                      <w:color w:val="auto"/>
                      <w:szCs w:val="21"/>
                    </w:rPr>
                    <w:t>称房、门卫</w:t>
                  </w:r>
                </w:p>
              </w:tc>
              <w:tc>
                <w:tcPr>
                  <w:tcW w:w="3619" w:type="pct"/>
                  <w:shd w:val="clear" w:color="auto" w:fill="FFFFFF"/>
                  <w:vAlign w:val="center"/>
                </w:tcPr>
                <w:p w14:paraId="1FFA9E81">
                  <w:pPr>
                    <w:spacing w:line="0" w:lineRule="atLeast"/>
                    <w:contextualSpacing/>
                    <w:rPr>
                      <w:rFonts w:hint="eastAsia" w:eastAsiaTheme="minorEastAsia"/>
                      <w:b/>
                      <w:color w:val="auto"/>
                      <w:szCs w:val="21"/>
                      <w:lang w:eastAsia="zh-CN"/>
                    </w:rPr>
                  </w:pPr>
                  <w:r>
                    <w:rPr>
                      <w:rFonts w:eastAsiaTheme="minorEastAsia"/>
                      <w:color w:val="auto"/>
                      <w:szCs w:val="21"/>
                    </w:rPr>
                    <w:t>建筑面积</w:t>
                  </w:r>
                  <w:r>
                    <w:rPr>
                      <w:rFonts w:hint="eastAsia" w:eastAsiaTheme="minorEastAsia"/>
                      <w:color w:val="auto"/>
                      <w:szCs w:val="21"/>
                      <w:lang w:val="en-US" w:eastAsia="zh-CN"/>
                    </w:rPr>
                    <w:t>50</w:t>
                  </w:r>
                  <w:r>
                    <w:rPr>
                      <w:rFonts w:eastAsiaTheme="minorEastAsia"/>
                      <w:color w:val="auto"/>
                      <w:szCs w:val="21"/>
                    </w:rPr>
                    <w:t>m</w:t>
                  </w:r>
                  <w:r>
                    <w:rPr>
                      <w:rFonts w:eastAsiaTheme="minorEastAsia"/>
                      <w:color w:val="auto"/>
                      <w:szCs w:val="21"/>
                      <w:vertAlign w:val="superscript"/>
                    </w:rPr>
                    <w:t>2</w:t>
                  </w:r>
                </w:p>
              </w:tc>
              <w:tc>
                <w:tcPr>
                  <w:tcW w:w="466" w:type="pct"/>
                  <w:vMerge w:val="restart"/>
                  <w:vAlign w:val="center"/>
                </w:tcPr>
                <w:p w14:paraId="099AD9A3">
                  <w:pPr>
                    <w:contextualSpacing/>
                    <w:jc w:val="center"/>
                    <w:rPr>
                      <w:color w:val="auto"/>
                      <w:szCs w:val="21"/>
                    </w:rPr>
                  </w:pPr>
                </w:p>
              </w:tc>
            </w:tr>
            <w:tr w14:paraId="11CAF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1" w:type="pct"/>
                  <w:vMerge w:val="continue"/>
                  <w:shd w:val="clear" w:color="auto" w:fill="auto"/>
                  <w:vAlign w:val="center"/>
                </w:tcPr>
                <w:p w14:paraId="0C322DED">
                  <w:pPr>
                    <w:contextualSpacing/>
                    <w:jc w:val="center"/>
                    <w:rPr>
                      <w:color w:val="auto"/>
                      <w:szCs w:val="21"/>
                    </w:rPr>
                  </w:pPr>
                </w:p>
              </w:tc>
              <w:tc>
                <w:tcPr>
                  <w:tcW w:w="482" w:type="pct"/>
                  <w:shd w:val="clear" w:color="auto" w:fill="FFFFFF"/>
                  <w:vAlign w:val="center"/>
                </w:tcPr>
                <w:p w14:paraId="7567DD72">
                  <w:pPr>
                    <w:contextualSpacing/>
                    <w:jc w:val="center"/>
                    <w:rPr>
                      <w:color w:val="auto"/>
                      <w:szCs w:val="21"/>
                    </w:rPr>
                  </w:pPr>
                  <w:r>
                    <w:rPr>
                      <w:color w:val="auto"/>
                      <w:szCs w:val="21"/>
                    </w:rPr>
                    <w:t>锅炉房</w:t>
                  </w:r>
                </w:p>
              </w:tc>
              <w:tc>
                <w:tcPr>
                  <w:tcW w:w="3619" w:type="pct"/>
                  <w:shd w:val="clear" w:color="auto" w:fill="FFFFFF"/>
                  <w:vAlign w:val="center"/>
                </w:tcPr>
                <w:p w14:paraId="279DE12A">
                  <w:pPr>
                    <w:contextualSpacing/>
                    <w:jc w:val="left"/>
                    <w:rPr>
                      <w:color w:val="auto"/>
                      <w:kern w:val="0"/>
                      <w:szCs w:val="21"/>
                    </w:rPr>
                  </w:pPr>
                  <w:r>
                    <w:rPr>
                      <w:rFonts w:eastAsiaTheme="minorEastAsia"/>
                      <w:color w:val="auto"/>
                      <w:szCs w:val="21"/>
                    </w:rPr>
                    <w:t>建筑面积</w:t>
                  </w:r>
                  <w:r>
                    <w:rPr>
                      <w:rFonts w:hint="eastAsia" w:eastAsiaTheme="minorEastAsia"/>
                      <w:color w:val="auto"/>
                      <w:szCs w:val="21"/>
                      <w:lang w:val="en-US" w:eastAsia="zh-CN"/>
                    </w:rPr>
                    <w:t>50</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，内设一台1台</w:t>
                  </w:r>
                  <w:r>
                    <w:rPr>
                      <w:rFonts w:hint="eastAsia" w:ascii="Times New Roman" w:hAnsi="Times New Roman" w:cs="Times New Roman" w:eastAsiaTheme="minorEastAsia"/>
                      <w:color w:val="auto"/>
                      <w:szCs w:val="21"/>
                      <w:lang w:val="en-US" w:eastAsia="zh-CN"/>
                    </w:rPr>
                    <w:t>1.5</w:t>
                  </w:r>
                  <w:r>
                    <w:rPr>
                      <w:rFonts w:hint="eastAsia" w:ascii="Times New Roman" w:hAnsi="Times New Roman" w:cs="Times New Roman" w:eastAsiaTheme="minorEastAsia"/>
                      <w:color w:val="auto"/>
                      <w:szCs w:val="21"/>
                    </w:rPr>
                    <w:t>t/h</w:t>
                  </w:r>
                  <w:r>
                    <w:rPr>
                      <w:rFonts w:ascii="Times New Roman" w:hAnsi="Times New Roman" w:cs="Times New Roman" w:eastAsiaTheme="minorEastAsia"/>
                      <w:color w:val="auto"/>
                      <w:szCs w:val="21"/>
                    </w:rPr>
                    <w:t>燃</w:t>
                  </w:r>
                  <w:r>
                    <w:rPr>
                      <w:rFonts w:hint="eastAsia" w:cs="Times New Roman" w:eastAsiaTheme="minorEastAsia"/>
                      <w:color w:val="auto"/>
                      <w:szCs w:val="21"/>
                      <w:lang w:val="en-US" w:eastAsia="zh-CN"/>
                    </w:rPr>
                    <w:t>气</w:t>
                  </w:r>
                  <w:r>
                    <w:rPr>
                      <w:rFonts w:eastAsiaTheme="minorEastAsia"/>
                      <w:color w:val="auto"/>
                      <w:szCs w:val="21"/>
                    </w:rPr>
                    <w:t>导热油炉间接加热沥青储罐</w:t>
                  </w:r>
                </w:p>
              </w:tc>
              <w:tc>
                <w:tcPr>
                  <w:tcW w:w="466" w:type="pct"/>
                  <w:vMerge w:val="continue"/>
                  <w:vAlign w:val="center"/>
                </w:tcPr>
                <w:p w14:paraId="05493535">
                  <w:pPr>
                    <w:contextualSpacing/>
                    <w:jc w:val="center"/>
                    <w:rPr>
                      <w:color w:val="auto"/>
                      <w:szCs w:val="21"/>
                    </w:rPr>
                  </w:pPr>
                </w:p>
              </w:tc>
            </w:tr>
            <w:tr w14:paraId="1CB8E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431" w:type="pct"/>
                  <w:vMerge w:val="restart"/>
                  <w:vAlign w:val="center"/>
                </w:tcPr>
                <w:p w14:paraId="14166AE2">
                  <w:pPr>
                    <w:contextualSpacing/>
                    <w:jc w:val="center"/>
                    <w:rPr>
                      <w:color w:val="auto"/>
                      <w:szCs w:val="21"/>
                    </w:rPr>
                  </w:pPr>
                  <w:r>
                    <w:rPr>
                      <w:color w:val="auto"/>
                      <w:szCs w:val="21"/>
                    </w:rPr>
                    <w:t>公用工程</w:t>
                  </w:r>
                </w:p>
              </w:tc>
              <w:tc>
                <w:tcPr>
                  <w:tcW w:w="482" w:type="pct"/>
                  <w:vAlign w:val="center"/>
                </w:tcPr>
                <w:p w14:paraId="46CC6A73">
                  <w:pPr>
                    <w:spacing w:line="0" w:lineRule="atLeast"/>
                    <w:contextualSpacing/>
                    <w:jc w:val="center"/>
                    <w:rPr>
                      <w:rFonts w:eastAsiaTheme="minorEastAsia"/>
                      <w:color w:val="auto"/>
                      <w:szCs w:val="21"/>
                    </w:rPr>
                  </w:pPr>
                  <w:r>
                    <w:rPr>
                      <w:rFonts w:eastAsiaTheme="minorEastAsia"/>
                      <w:color w:val="auto"/>
                      <w:szCs w:val="21"/>
                    </w:rPr>
                    <w:t>供水</w:t>
                  </w:r>
                </w:p>
              </w:tc>
              <w:tc>
                <w:tcPr>
                  <w:tcW w:w="3619" w:type="pct"/>
                  <w:vAlign w:val="center"/>
                </w:tcPr>
                <w:p w14:paraId="77B007E2">
                  <w:pPr>
                    <w:spacing w:line="0" w:lineRule="atLeast"/>
                    <w:contextualSpacing/>
                    <w:rPr>
                      <w:rFonts w:eastAsiaTheme="minorEastAsia"/>
                      <w:color w:val="auto"/>
                      <w:szCs w:val="21"/>
                    </w:rPr>
                  </w:pPr>
                  <w:r>
                    <w:rPr>
                      <w:rFonts w:eastAsiaTheme="minorEastAsia"/>
                      <w:color w:val="auto"/>
                      <w:szCs w:val="21"/>
                    </w:rPr>
                    <w:t>本项目用水采用厂区自打井，</w:t>
                  </w:r>
                  <w:r>
                    <w:rPr>
                      <w:rFonts w:hint="eastAsia" w:eastAsiaTheme="minorEastAsia"/>
                      <w:color w:val="auto"/>
                      <w:szCs w:val="21"/>
                    </w:rPr>
                    <w:t>本项目生产不用水，项目沥青混凝土车辆全部租赁，不涉及车辆清洗用水；厂区</w:t>
                  </w:r>
                  <w:r>
                    <w:rPr>
                      <w:rFonts w:eastAsiaTheme="minorEastAsia"/>
                      <w:color w:val="auto"/>
                      <w:szCs w:val="21"/>
                    </w:rPr>
                    <w:t>铲装集堆过程洒水喷淋</w:t>
                  </w:r>
                  <w:r>
                    <w:rPr>
                      <w:rFonts w:hint="eastAsia" w:eastAsiaTheme="minorEastAsia"/>
                      <w:color w:val="auto"/>
                      <w:szCs w:val="21"/>
                    </w:rPr>
                    <w:t>，日常不进行地面冲洗，不产生冲洗废水；项目用水主要为生活用水、喷淋降尘用水。</w:t>
                  </w:r>
                </w:p>
              </w:tc>
              <w:tc>
                <w:tcPr>
                  <w:tcW w:w="466" w:type="pct"/>
                  <w:vMerge w:val="continue"/>
                  <w:vAlign w:val="center"/>
                </w:tcPr>
                <w:p w14:paraId="4982A2A7">
                  <w:pPr>
                    <w:contextualSpacing/>
                    <w:jc w:val="center"/>
                    <w:rPr>
                      <w:color w:val="auto"/>
                      <w:szCs w:val="21"/>
                    </w:rPr>
                  </w:pPr>
                </w:p>
              </w:tc>
            </w:tr>
            <w:tr w14:paraId="19292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31" w:type="pct"/>
                  <w:vMerge w:val="continue"/>
                  <w:vAlign w:val="center"/>
                </w:tcPr>
                <w:p w14:paraId="3C11062C">
                  <w:pPr>
                    <w:contextualSpacing/>
                    <w:jc w:val="center"/>
                    <w:rPr>
                      <w:color w:val="auto"/>
                      <w:szCs w:val="21"/>
                    </w:rPr>
                  </w:pPr>
                </w:p>
              </w:tc>
              <w:tc>
                <w:tcPr>
                  <w:tcW w:w="482" w:type="pct"/>
                  <w:vAlign w:val="center"/>
                </w:tcPr>
                <w:p w14:paraId="03E1DF9C">
                  <w:pPr>
                    <w:spacing w:line="0" w:lineRule="atLeast"/>
                    <w:contextualSpacing/>
                    <w:jc w:val="center"/>
                    <w:rPr>
                      <w:rFonts w:eastAsiaTheme="minorEastAsia"/>
                      <w:color w:val="auto"/>
                      <w:szCs w:val="21"/>
                    </w:rPr>
                  </w:pPr>
                  <w:r>
                    <w:rPr>
                      <w:rFonts w:eastAsiaTheme="minorEastAsia"/>
                      <w:color w:val="auto"/>
                      <w:szCs w:val="21"/>
                    </w:rPr>
                    <w:t>排水</w:t>
                  </w:r>
                </w:p>
              </w:tc>
              <w:tc>
                <w:tcPr>
                  <w:tcW w:w="3619" w:type="pct"/>
                  <w:vAlign w:val="center"/>
                </w:tcPr>
                <w:p w14:paraId="223916B5">
                  <w:pPr>
                    <w:spacing w:line="0" w:lineRule="atLeast"/>
                    <w:contextualSpacing/>
                    <w:jc w:val="left"/>
                    <w:rPr>
                      <w:rFonts w:eastAsiaTheme="minorEastAsia"/>
                      <w:color w:val="auto"/>
                      <w:szCs w:val="21"/>
                    </w:rPr>
                  </w:pPr>
                  <w:r>
                    <w:rPr>
                      <w:rFonts w:eastAsiaTheme="minorEastAsia"/>
                      <w:color w:val="auto"/>
                      <w:szCs w:val="21"/>
                    </w:rPr>
                    <w:t>本项目无生产废水产生；生活污水排入防渗旱厕，定期清掏，外运堆肥，不外排。初期雨水经厂区四周排水沟汇入</w:t>
                  </w:r>
                  <w:r>
                    <w:rPr>
                      <w:rFonts w:hint="eastAsia" w:eastAsiaTheme="minorEastAsia"/>
                      <w:color w:val="auto"/>
                      <w:szCs w:val="21"/>
                    </w:rPr>
                    <w:t>厂区初期雨水池隔油沉淀处理后</w:t>
                  </w:r>
                  <w:r>
                    <w:rPr>
                      <w:rFonts w:eastAsiaTheme="minorEastAsia"/>
                      <w:color w:val="auto"/>
                      <w:szCs w:val="21"/>
                    </w:rPr>
                    <w:t>，用于</w:t>
                  </w:r>
                  <w:r>
                    <w:rPr>
                      <w:rFonts w:hint="eastAsia" w:eastAsiaTheme="minorEastAsia"/>
                      <w:color w:val="auto"/>
                      <w:szCs w:val="21"/>
                    </w:rPr>
                    <w:t>洒水</w:t>
                  </w:r>
                  <w:r>
                    <w:rPr>
                      <w:rFonts w:eastAsiaTheme="minorEastAsia"/>
                      <w:color w:val="auto"/>
                      <w:szCs w:val="21"/>
                    </w:rPr>
                    <w:t>降尘，不外排。</w:t>
                  </w:r>
                </w:p>
              </w:tc>
              <w:tc>
                <w:tcPr>
                  <w:tcW w:w="466" w:type="pct"/>
                  <w:vMerge w:val="continue"/>
                  <w:vAlign w:val="center"/>
                </w:tcPr>
                <w:p w14:paraId="4FAAC7D0">
                  <w:pPr>
                    <w:contextualSpacing/>
                    <w:jc w:val="center"/>
                    <w:rPr>
                      <w:color w:val="auto"/>
                      <w:szCs w:val="21"/>
                    </w:rPr>
                  </w:pPr>
                </w:p>
              </w:tc>
            </w:tr>
            <w:tr w14:paraId="7CF5B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continue"/>
                  <w:vAlign w:val="center"/>
                </w:tcPr>
                <w:p w14:paraId="3E6E7552">
                  <w:pPr>
                    <w:contextualSpacing/>
                    <w:jc w:val="center"/>
                    <w:rPr>
                      <w:color w:val="auto"/>
                      <w:szCs w:val="21"/>
                    </w:rPr>
                  </w:pPr>
                </w:p>
              </w:tc>
              <w:tc>
                <w:tcPr>
                  <w:tcW w:w="482" w:type="pct"/>
                  <w:vAlign w:val="center"/>
                </w:tcPr>
                <w:p w14:paraId="46914FCF">
                  <w:pPr>
                    <w:contextualSpacing/>
                    <w:jc w:val="center"/>
                    <w:rPr>
                      <w:color w:val="auto"/>
                      <w:szCs w:val="21"/>
                    </w:rPr>
                  </w:pPr>
                  <w:r>
                    <w:rPr>
                      <w:color w:val="auto"/>
                      <w:szCs w:val="21"/>
                    </w:rPr>
                    <w:t>供热</w:t>
                  </w:r>
                </w:p>
              </w:tc>
              <w:tc>
                <w:tcPr>
                  <w:tcW w:w="3619" w:type="pct"/>
                  <w:vAlign w:val="center"/>
                </w:tcPr>
                <w:p w14:paraId="7E696DF0">
                  <w:pPr>
                    <w:contextualSpacing/>
                    <w:jc w:val="left"/>
                    <w:rPr>
                      <w:rFonts w:hint="default" w:eastAsia="宋体"/>
                      <w:color w:val="auto"/>
                      <w:szCs w:val="21"/>
                      <w:lang w:val="en-US" w:eastAsia="zh-CN"/>
                    </w:rPr>
                  </w:pPr>
                  <w:r>
                    <w:rPr>
                      <w:color w:val="auto"/>
                      <w:szCs w:val="21"/>
                    </w:rPr>
                    <w:t>本项目</w:t>
                  </w:r>
                  <w:r>
                    <w:rPr>
                      <w:rFonts w:hint="eastAsia"/>
                      <w:color w:val="auto"/>
                      <w:szCs w:val="21"/>
                      <w:lang w:val="en-US" w:eastAsia="zh-CN"/>
                    </w:rPr>
                    <w:t>办公室使用电暖气</w:t>
                  </w:r>
                </w:p>
              </w:tc>
              <w:tc>
                <w:tcPr>
                  <w:tcW w:w="466" w:type="pct"/>
                  <w:vMerge w:val="continue"/>
                  <w:vAlign w:val="center"/>
                </w:tcPr>
                <w:p w14:paraId="417F5F15">
                  <w:pPr>
                    <w:contextualSpacing/>
                    <w:jc w:val="center"/>
                    <w:rPr>
                      <w:color w:val="auto"/>
                      <w:szCs w:val="21"/>
                    </w:rPr>
                  </w:pPr>
                </w:p>
              </w:tc>
            </w:tr>
            <w:tr w14:paraId="07027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continue"/>
                  <w:vAlign w:val="center"/>
                </w:tcPr>
                <w:p w14:paraId="1FC57C59">
                  <w:pPr>
                    <w:contextualSpacing/>
                    <w:jc w:val="center"/>
                    <w:rPr>
                      <w:color w:val="auto"/>
                      <w:szCs w:val="21"/>
                    </w:rPr>
                  </w:pPr>
                </w:p>
              </w:tc>
              <w:tc>
                <w:tcPr>
                  <w:tcW w:w="482" w:type="pct"/>
                  <w:vAlign w:val="center"/>
                </w:tcPr>
                <w:p w14:paraId="4A07E339">
                  <w:pPr>
                    <w:contextualSpacing/>
                    <w:jc w:val="center"/>
                    <w:rPr>
                      <w:color w:val="auto"/>
                      <w:szCs w:val="21"/>
                    </w:rPr>
                  </w:pPr>
                  <w:r>
                    <w:rPr>
                      <w:color w:val="auto"/>
                      <w:szCs w:val="21"/>
                    </w:rPr>
                    <w:t>供电</w:t>
                  </w:r>
                </w:p>
              </w:tc>
              <w:tc>
                <w:tcPr>
                  <w:tcW w:w="3619" w:type="pct"/>
                  <w:vAlign w:val="center"/>
                </w:tcPr>
                <w:p w14:paraId="7D1B71F9">
                  <w:pPr>
                    <w:contextualSpacing/>
                    <w:jc w:val="left"/>
                    <w:rPr>
                      <w:color w:val="auto"/>
                      <w:szCs w:val="21"/>
                    </w:rPr>
                  </w:pPr>
                  <w:r>
                    <w:rPr>
                      <w:color w:val="auto"/>
                      <w:szCs w:val="21"/>
                    </w:rPr>
                    <w:t>由当地供电系统提供</w:t>
                  </w:r>
                </w:p>
              </w:tc>
              <w:tc>
                <w:tcPr>
                  <w:tcW w:w="466" w:type="pct"/>
                  <w:vMerge w:val="continue"/>
                  <w:vAlign w:val="center"/>
                </w:tcPr>
                <w:p w14:paraId="508E4D96">
                  <w:pPr>
                    <w:contextualSpacing/>
                    <w:jc w:val="center"/>
                    <w:rPr>
                      <w:color w:val="auto"/>
                      <w:szCs w:val="21"/>
                    </w:rPr>
                  </w:pPr>
                </w:p>
              </w:tc>
            </w:tr>
            <w:tr w14:paraId="3A3E5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restart"/>
                  <w:vAlign w:val="center"/>
                </w:tcPr>
                <w:p w14:paraId="33FAC736">
                  <w:pPr>
                    <w:contextualSpacing/>
                    <w:jc w:val="center"/>
                    <w:rPr>
                      <w:color w:val="auto"/>
                      <w:szCs w:val="21"/>
                    </w:rPr>
                  </w:pPr>
                  <w:r>
                    <w:rPr>
                      <w:color w:val="auto"/>
                      <w:szCs w:val="21"/>
                    </w:rPr>
                    <w:t>环保工程</w:t>
                  </w:r>
                </w:p>
              </w:tc>
              <w:tc>
                <w:tcPr>
                  <w:tcW w:w="482" w:type="pct"/>
                  <w:vAlign w:val="center"/>
                </w:tcPr>
                <w:p w14:paraId="454F1B46">
                  <w:pPr>
                    <w:contextualSpacing/>
                    <w:jc w:val="center"/>
                    <w:rPr>
                      <w:color w:val="auto"/>
                      <w:szCs w:val="21"/>
                    </w:rPr>
                  </w:pPr>
                  <w:r>
                    <w:rPr>
                      <w:color w:val="auto"/>
                      <w:szCs w:val="21"/>
                    </w:rPr>
                    <w:t>废水</w:t>
                  </w:r>
                </w:p>
              </w:tc>
              <w:tc>
                <w:tcPr>
                  <w:tcW w:w="3619" w:type="pct"/>
                  <w:vAlign w:val="center"/>
                </w:tcPr>
                <w:p w14:paraId="1CA5AB07">
                  <w:pPr>
                    <w:contextualSpacing/>
                    <w:jc w:val="left"/>
                    <w:rPr>
                      <w:color w:val="auto"/>
                      <w:szCs w:val="21"/>
                    </w:rPr>
                  </w:pPr>
                  <w:r>
                    <w:rPr>
                      <w:color w:val="auto"/>
                      <w:szCs w:val="21"/>
                    </w:rPr>
                    <w:t>本项目无生产废水产生；</w:t>
                  </w:r>
                  <w:r>
                    <w:rPr>
                      <w:bCs/>
                      <w:color w:val="auto"/>
                      <w:szCs w:val="21"/>
                    </w:rPr>
                    <w:t>生活污水排入防渗旱厕，定期清掏，外运堆肥，不外排。</w:t>
                  </w:r>
                  <w:r>
                    <w:rPr>
                      <w:rFonts w:hAnsiTheme="minorEastAsia" w:eastAsiaTheme="minorEastAsia"/>
                      <w:color w:val="auto"/>
                      <w:szCs w:val="21"/>
                    </w:rPr>
                    <w:t>初期雨水经厂区四周排水沟汇入</w:t>
                  </w:r>
                  <w:r>
                    <w:rPr>
                      <w:rFonts w:hint="eastAsia" w:hAnsiTheme="minorEastAsia" w:eastAsiaTheme="minorEastAsia"/>
                      <w:color w:val="auto"/>
                      <w:szCs w:val="21"/>
                    </w:rPr>
                    <w:t>厂区</w:t>
                  </w:r>
                  <w:r>
                    <w:rPr>
                      <w:rFonts w:hint="eastAsia" w:eastAsiaTheme="minorEastAsia"/>
                      <w:color w:val="auto"/>
                      <w:kern w:val="0"/>
                      <w:szCs w:val="21"/>
                    </w:rPr>
                    <w:t>初期雨水池隔油沉淀处理后</w:t>
                  </w:r>
                  <w:r>
                    <w:rPr>
                      <w:rFonts w:hAnsiTheme="minorEastAsia" w:eastAsiaTheme="minorEastAsia"/>
                      <w:color w:val="auto"/>
                      <w:szCs w:val="21"/>
                    </w:rPr>
                    <w:t>，用于</w:t>
                  </w:r>
                  <w:r>
                    <w:rPr>
                      <w:rFonts w:hint="eastAsia" w:hAnsiTheme="minorEastAsia" w:eastAsiaTheme="minorEastAsia"/>
                      <w:color w:val="auto"/>
                      <w:szCs w:val="21"/>
                    </w:rPr>
                    <w:t>洒水</w:t>
                  </w:r>
                  <w:r>
                    <w:rPr>
                      <w:rFonts w:hAnsiTheme="minorEastAsia" w:eastAsiaTheme="minorEastAsia"/>
                      <w:color w:val="auto"/>
                      <w:szCs w:val="21"/>
                    </w:rPr>
                    <w:t>降尘，不外排。</w:t>
                  </w:r>
                </w:p>
              </w:tc>
              <w:tc>
                <w:tcPr>
                  <w:tcW w:w="466" w:type="pct"/>
                  <w:vMerge w:val="continue"/>
                  <w:vAlign w:val="center"/>
                </w:tcPr>
                <w:p w14:paraId="289AC69C">
                  <w:pPr>
                    <w:contextualSpacing/>
                    <w:jc w:val="center"/>
                    <w:rPr>
                      <w:color w:val="auto"/>
                      <w:szCs w:val="21"/>
                    </w:rPr>
                  </w:pPr>
                </w:p>
              </w:tc>
            </w:tr>
            <w:tr w14:paraId="7D99C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continue"/>
                  <w:vAlign w:val="center"/>
                </w:tcPr>
                <w:p w14:paraId="0FB995AF">
                  <w:pPr>
                    <w:contextualSpacing/>
                    <w:jc w:val="center"/>
                    <w:rPr>
                      <w:color w:val="auto"/>
                      <w:szCs w:val="21"/>
                    </w:rPr>
                  </w:pPr>
                </w:p>
              </w:tc>
              <w:tc>
                <w:tcPr>
                  <w:tcW w:w="482" w:type="pct"/>
                  <w:vAlign w:val="center"/>
                </w:tcPr>
                <w:p w14:paraId="5988968C">
                  <w:pPr>
                    <w:contextualSpacing/>
                    <w:jc w:val="center"/>
                    <w:rPr>
                      <w:color w:val="auto"/>
                      <w:szCs w:val="21"/>
                    </w:rPr>
                  </w:pPr>
                  <w:r>
                    <w:rPr>
                      <w:color w:val="auto"/>
                      <w:szCs w:val="21"/>
                    </w:rPr>
                    <w:t>噪声</w:t>
                  </w:r>
                </w:p>
              </w:tc>
              <w:tc>
                <w:tcPr>
                  <w:tcW w:w="3619" w:type="pct"/>
                  <w:vAlign w:val="center"/>
                </w:tcPr>
                <w:p w14:paraId="2B96624C">
                  <w:pPr>
                    <w:contextualSpacing/>
                    <w:jc w:val="left"/>
                    <w:rPr>
                      <w:rFonts w:hint="eastAsia" w:eastAsia="宋体"/>
                      <w:color w:val="auto"/>
                      <w:szCs w:val="21"/>
                      <w:lang w:eastAsia="zh-CN"/>
                    </w:rPr>
                  </w:pPr>
                  <w:r>
                    <w:rPr>
                      <w:color w:val="auto"/>
                      <w:szCs w:val="21"/>
                    </w:rPr>
                    <w:t>选用低噪声设备，加装减振、</w:t>
                  </w:r>
                  <w:r>
                    <w:rPr>
                      <w:bCs/>
                      <w:color w:val="auto"/>
                      <w:szCs w:val="21"/>
                    </w:rPr>
                    <w:t>车辆限速管理、禁止鸣笛等措施</w:t>
                  </w:r>
                  <w:r>
                    <w:rPr>
                      <w:rFonts w:hint="eastAsia"/>
                      <w:bCs/>
                      <w:color w:val="auto"/>
                      <w:szCs w:val="21"/>
                      <w:lang w:eastAsia="zh-CN"/>
                    </w:rPr>
                    <w:t>。</w:t>
                  </w:r>
                </w:p>
              </w:tc>
              <w:tc>
                <w:tcPr>
                  <w:tcW w:w="466" w:type="pct"/>
                  <w:vMerge w:val="continue"/>
                  <w:vAlign w:val="center"/>
                </w:tcPr>
                <w:p w14:paraId="47FFE403">
                  <w:pPr>
                    <w:contextualSpacing/>
                    <w:jc w:val="center"/>
                    <w:rPr>
                      <w:color w:val="auto"/>
                      <w:szCs w:val="21"/>
                    </w:rPr>
                  </w:pPr>
                </w:p>
              </w:tc>
            </w:tr>
            <w:tr w14:paraId="6A0A4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31" w:type="pct"/>
                  <w:vAlign w:val="center"/>
                </w:tcPr>
                <w:p w14:paraId="1D1EA31D">
                  <w:pPr>
                    <w:contextualSpacing/>
                    <w:jc w:val="center"/>
                    <w:rPr>
                      <w:color w:val="auto"/>
                      <w:szCs w:val="21"/>
                    </w:rPr>
                  </w:pPr>
                  <w:r>
                    <w:rPr>
                      <w:color w:val="auto"/>
                      <w:szCs w:val="21"/>
                    </w:rPr>
                    <w:t>环保工程</w:t>
                  </w:r>
                </w:p>
              </w:tc>
              <w:tc>
                <w:tcPr>
                  <w:tcW w:w="482" w:type="pct"/>
                  <w:vAlign w:val="center"/>
                </w:tcPr>
                <w:p w14:paraId="3BCAE916">
                  <w:pPr>
                    <w:contextualSpacing/>
                    <w:jc w:val="center"/>
                    <w:rPr>
                      <w:color w:val="auto"/>
                      <w:szCs w:val="21"/>
                    </w:rPr>
                  </w:pPr>
                  <w:r>
                    <w:rPr>
                      <w:color w:val="auto"/>
                      <w:szCs w:val="21"/>
                    </w:rPr>
                    <w:t>废气</w:t>
                  </w:r>
                </w:p>
              </w:tc>
              <w:tc>
                <w:tcPr>
                  <w:tcW w:w="3619" w:type="pct"/>
                  <w:vAlign w:val="center"/>
                </w:tcPr>
                <w:p w14:paraId="629FFFAA">
                  <w:pPr>
                    <w:spacing w:line="0" w:lineRule="atLeast"/>
                    <w:contextualSpacing/>
                    <w:jc w:val="left"/>
                    <w:rPr>
                      <w:rFonts w:eastAsiaTheme="minorEastAsia"/>
                      <w:bCs/>
                      <w:color w:val="auto"/>
                      <w:szCs w:val="21"/>
                    </w:rPr>
                  </w:pPr>
                  <w:r>
                    <w:rPr>
                      <w:rFonts w:eastAsiaTheme="minorEastAsia"/>
                      <w:color w:val="auto"/>
                      <w:szCs w:val="21"/>
                    </w:rPr>
                    <w:t>1</w:t>
                  </w:r>
                  <w:r>
                    <w:rPr>
                      <w:rFonts w:eastAsiaTheme="minorEastAsia"/>
                      <w:bCs/>
                      <w:color w:val="auto"/>
                      <w:szCs w:val="21"/>
                    </w:rPr>
                    <w:t>、原料输送、堆场粉尘、</w:t>
                  </w:r>
                  <w:r>
                    <w:rPr>
                      <w:rFonts w:hint="eastAsia" w:eastAsiaTheme="minorEastAsia"/>
                      <w:bCs/>
                      <w:color w:val="auto"/>
                      <w:szCs w:val="21"/>
                    </w:rPr>
                    <w:t>铲装集堆</w:t>
                  </w:r>
                  <w:r>
                    <w:rPr>
                      <w:rFonts w:eastAsiaTheme="minorEastAsia"/>
                      <w:bCs/>
                      <w:color w:val="auto"/>
                      <w:szCs w:val="21"/>
                    </w:rPr>
                    <w:t>粉尘</w:t>
                  </w:r>
                </w:p>
                <w:p w14:paraId="619A2785">
                  <w:pPr>
                    <w:spacing w:line="0" w:lineRule="atLeast"/>
                    <w:contextualSpacing/>
                    <w:jc w:val="left"/>
                    <w:rPr>
                      <w:rFonts w:hint="eastAsia" w:eastAsiaTheme="minorEastAsia"/>
                      <w:bCs/>
                      <w:color w:val="auto"/>
                      <w:szCs w:val="21"/>
                      <w:lang w:eastAsia="zh-CN"/>
                    </w:rPr>
                  </w:pPr>
                  <w:r>
                    <w:rPr>
                      <w:rFonts w:eastAsiaTheme="minorEastAsia"/>
                      <w:bCs/>
                      <w:color w:val="auto"/>
                      <w:szCs w:val="21"/>
                    </w:rPr>
                    <w:t>本项目矿粉采用封闭式罐车运入厂区，碎石运输车辆全部采用苫布覆盖，运输过程做到不超载，不滴、撒、漏，厂区地面洒水降尘；原料的输送、计量及投料均为封闭式。搅拌站整体封闭；厂区设置防风抑尘网</w:t>
                  </w:r>
                  <w:r>
                    <w:rPr>
                      <w:rFonts w:hint="eastAsia" w:eastAsiaTheme="minorEastAsia"/>
                      <w:bCs/>
                      <w:color w:val="auto"/>
                      <w:szCs w:val="21"/>
                    </w:rPr>
                    <w:t>，</w:t>
                  </w:r>
                  <w:r>
                    <w:rPr>
                      <w:rFonts w:eastAsiaTheme="minorEastAsia"/>
                      <w:bCs/>
                      <w:color w:val="auto"/>
                      <w:szCs w:val="21"/>
                    </w:rPr>
                    <w:t>堆场</w:t>
                  </w:r>
                  <w:r>
                    <w:rPr>
                      <w:rFonts w:hint="eastAsia"/>
                      <w:color w:val="auto"/>
                      <w:kern w:val="0"/>
                      <w:szCs w:val="21"/>
                    </w:rPr>
                    <w:t>每天洒水抑尘2次，</w:t>
                  </w:r>
                  <w:r>
                    <w:rPr>
                      <w:rFonts w:eastAsiaTheme="minorEastAsia"/>
                      <w:bCs/>
                      <w:color w:val="auto"/>
                      <w:szCs w:val="21"/>
                    </w:rPr>
                    <w:t>铲装集堆过程洒水喷淋</w:t>
                  </w:r>
                  <w:r>
                    <w:rPr>
                      <w:rFonts w:hint="eastAsia" w:eastAsiaTheme="minorEastAsia"/>
                      <w:bCs/>
                      <w:color w:val="auto"/>
                      <w:szCs w:val="21"/>
                      <w:lang w:eastAsia="zh-CN"/>
                    </w:rPr>
                    <w:t>。</w:t>
                  </w:r>
                </w:p>
                <w:p w14:paraId="6BD9A8AB">
                  <w:pPr>
                    <w:spacing w:line="0" w:lineRule="atLeast"/>
                    <w:contextualSpacing/>
                    <w:jc w:val="left"/>
                    <w:rPr>
                      <w:rFonts w:eastAsiaTheme="minorEastAsia"/>
                      <w:bCs/>
                      <w:color w:val="auto"/>
                      <w:szCs w:val="21"/>
                    </w:rPr>
                  </w:pPr>
                  <w:r>
                    <w:rPr>
                      <w:rFonts w:eastAsiaTheme="minorEastAsia"/>
                      <w:bCs/>
                      <w:color w:val="auto"/>
                      <w:szCs w:val="21"/>
                    </w:rPr>
                    <w:t>2、冷料仓上料粉尘</w:t>
                  </w:r>
                </w:p>
                <w:p w14:paraId="00C04EBA">
                  <w:pPr>
                    <w:spacing w:line="0" w:lineRule="atLeast"/>
                    <w:contextualSpacing/>
                    <w:jc w:val="left"/>
                    <w:rPr>
                      <w:rFonts w:hint="eastAsia" w:eastAsiaTheme="minorEastAsia"/>
                      <w:color w:val="auto"/>
                      <w:szCs w:val="21"/>
                      <w:lang w:eastAsia="zh-CN"/>
                    </w:rPr>
                  </w:pPr>
                  <w:r>
                    <w:rPr>
                      <w:rFonts w:eastAsiaTheme="minorEastAsia"/>
                      <w:bCs/>
                      <w:color w:val="auto"/>
                      <w:szCs w:val="21"/>
                    </w:rPr>
                    <w:t>本项目</w:t>
                  </w:r>
                  <w:r>
                    <w:rPr>
                      <w:rFonts w:hint="eastAsia" w:eastAsiaTheme="minorEastAsia"/>
                      <w:bCs/>
                      <w:color w:val="auto"/>
                      <w:szCs w:val="21"/>
                      <w:lang w:val="en-US" w:eastAsia="zh-CN"/>
                    </w:rPr>
                    <w:t>骨料</w:t>
                  </w:r>
                  <w:r>
                    <w:rPr>
                      <w:rFonts w:eastAsiaTheme="minorEastAsia"/>
                      <w:bCs/>
                      <w:color w:val="auto"/>
                      <w:szCs w:val="21"/>
                    </w:rPr>
                    <w:t>在上料时会产生粉尘，在冷料仓</w:t>
                  </w:r>
                  <w:r>
                    <w:rPr>
                      <w:rFonts w:hint="eastAsia" w:eastAsiaTheme="minorEastAsia"/>
                      <w:bCs/>
                      <w:color w:val="auto"/>
                      <w:szCs w:val="21"/>
                    </w:rPr>
                    <w:t>设置集气装置</w:t>
                  </w:r>
                  <w:r>
                    <w:rPr>
                      <w:rFonts w:eastAsiaTheme="minorEastAsia"/>
                      <w:bCs/>
                      <w:color w:val="auto"/>
                      <w:szCs w:val="21"/>
                    </w:rPr>
                    <w:t>（集气效率</w:t>
                  </w:r>
                  <w:r>
                    <w:rPr>
                      <w:rFonts w:hint="eastAsia" w:eastAsiaTheme="minorEastAsia"/>
                      <w:bCs/>
                      <w:color w:val="auto"/>
                      <w:szCs w:val="21"/>
                    </w:rPr>
                    <w:t>90%</w:t>
                  </w:r>
                  <w:r>
                    <w:rPr>
                      <w:rFonts w:eastAsiaTheme="minorEastAsia"/>
                      <w:bCs/>
                      <w:color w:val="auto"/>
                      <w:szCs w:val="21"/>
                    </w:rPr>
                    <w:t>），</w:t>
                  </w:r>
                  <w:r>
                    <w:rPr>
                      <w:rFonts w:hint="eastAsia" w:eastAsiaTheme="minorEastAsia"/>
                      <w:bCs/>
                      <w:color w:val="auto"/>
                      <w:szCs w:val="21"/>
                    </w:rPr>
                    <w:t>通过</w:t>
                  </w:r>
                  <w:r>
                    <w:rPr>
                      <w:rFonts w:eastAsiaTheme="minorEastAsia"/>
                      <w:bCs/>
                      <w:color w:val="auto"/>
                      <w:szCs w:val="21"/>
                    </w:rPr>
                    <w:t>管道连接至除尘系统</w:t>
                  </w:r>
                  <w:r>
                    <w:rPr>
                      <w:rFonts w:eastAsiaTheme="minorEastAsia"/>
                      <w:bCs/>
                      <w:color w:val="auto"/>
                      <w:szCs w:val="21"/>
                      <w:highlight w:val="none"/>
                    </w:rPr>
                    <w:t>（重力</w:t>
                  </w:r>
                  <w:r>
                    <w:rPr>
                      <w:rFonts w:hint="eastAsia" w:eastAsiaTheme="minorEastAsia"/>
                      <w:bCs/>
                      <w:color w:val="auto"/>
                      <w:szCs w:val="21"/>
                      <w:highlight w:val="none"/>
                    </w:rPr>
                    <w:t>+布袋</w:t>
                  </w:r>
                  <w:r>
                    <w:rPr>
                      <w:rFonts w:eastAsiaTheme="minorEastAsia"/>
                      <w:bCs/>
                      <w:color w:val="auto"/>
                      <w:szCs w:val="21"/>
                      <w:highlight w:val="none"/>
                    </w:rPr>
                    <w:t>）</w:t>
                  </w:r>
                  <w:r>
                    <w:rPr>
                      <w:rFonts w:eastAsiaTheme="minorEastAsia"/>
                      <w:bCs/>
                      <w:color w:val="auto"/>
                      <w:szCs w:val="21"/>
                    </w:rPr>
                    <w:t>，处理后经除尘系统烟囱（</w:t>
                  </w:r>
                  <w:r>
                    <w:rPr>
                      <w:rFonts w:hint="eastAsia" w:eastAsiaTheme="minorEastAsia"/>
                      <w:bCs/>
                      <w:color w:val="auto"/>
                      <w:szCs w:val="21"/>
                    </w:rPr>
                    <w:t>DA001</w:t>
                  </w:r>
                  <w:r>
                    <w:rPr>
                      <w:rFonts w:eastAsiaTheme="minorEastAsia"/>
                      <w:bCs/>
                      <w:color w:val="auto"/>
                      <w:szCs w:val="21"/>
                    </w:rPr>
                    <w:t>）排放，</w:t>
                  </w:r>
                  <w:r>
                    <w:rPr>
                      <w:rFonts w:eastAsiaTheme="minorEastAsia"/>
                      <w:color w:val="auto"/>
                      <w:szCs w:val="21"/>
                    </w:rPr>
                    <w:t>除尘效率为99%</w:t>
                  </w:r>
                  <w:r>
                    <w:rPr>
                      <w:rFonts w:hint="eastAsia" w:eastAsiaTheme="minorEastAsia"/>
                      <w:color w:val="auto"/>
                      <w:szCs w:val="21"/>
                      <w:lang w:eastAsia="zh-CN"/>
                    </w:rPr>
                    <w:t>。</w:t>
                  </w:r>
                </w:p>
                <w:p w14:paraId="79C5EDEE">
                  <w:pPr>
                    <w:spacing w:line="0" w:lineRule="atLeast"/>
                    <w:contextualSpacing/>
                    <w:jc w:val="left"/>
                    <w:rPr>
                      <w:rFonts w:eastAsiaTheme="minorEastAsia"/>
                      <w:bCs/>
                      <w:color w:val="auto"/>
                      <w:szCs w:val="21"/>
                    </w:rPr>
                  </w:pPr>
                  <w:r>
                    <w:rPr>
                      <w:rFonts w:eastAsiaTheme="minorEastAsia"/>
                      <w:bCs/>
                      <w:color w:val="auto"/>
                      <w:szCs w:val="21"/>
                    </w:rPr>
                    <w:t>3、矿粉筒仓</w:t>
                  </w:r>
                  <w:r>
                    <w:rPr>
                      <w:rFonts w:hint="eastAsia" w:eastAsiaTheme="minorEastAsia"/>
                      <w:bCs/>
                      <w:color w:val="auto"/>
                      <w:szCs w:val="21"/>
                    </w:rPr>
                    <w:t>装卸</w:t>
                  </w:r>
                  <w:r>
                    <w:rPr>
                      <w:rFonts w:eastAsiaTheme="minorEastAsia"/>
                      <w:bCs/>
                      <w:color w:val="auto"/>
                      <w:szCs w:val="21"/>
                    </w:rPr>
                    <w:t>粉尘</w:t>
                  </w:r>
                </w:p>
                <w:p w14:paraId="1DCBA910">
                  <w:pPr>
                    <w:spacing w:line="0" w:lineRule="atLeast"/>
                    <w:contextualSpacing/>
                    <w:jc w:val="left"/>
                    <w:rPr>
                      <w:rFonts w:hint="eastAsia" w:eastAsiaTheme="minorEastAsia"/>
                      <w:color w:val="auto"/>
                      <w:szCs w:val="21"/>
                      <w:lang w:eastAsia="zh-CN"/>
                    </w:rPr>
                  </w:pPr>
                  <w:r>
                    <w:rPr>
                      <w:rFonts w:eastAsiaTheme="minorEastAsia"/>
                      <w:bCs/>
                      <w:color w:val="auto"/>
                      <w:szCs w:val="21"/>
                    </w:rPr>
                    <w:t>本项目矿粉筒仓</w:t>
                  </w:r>
                  <w:r>
                    <w:rPr>
                      <w:rFonts w:hint="eastAsia" w:eastAsiaTheme="minorEastAsia"/>
                      <w:bCs/>
                      <w:color w:val="auto"/>
                      <w:szCs w:val="21"/>
                    </w:rPr>
                    <w:t>装卸</w:t>
                  </w:r>
                  <w:r>
                    <w:rPr>
                      <w:rFonts w:eastAsiaTheme="minorEastAsia"/>
                      <w:bCs/>
                      <w:color w:val="auto"/>
                      <w:szCs w:val="21"/>
                    </w:rPr>
                    <w:t>时会产生粉尘，在矿粉筒顶部通过集气管道连接至除尘系统（重力</w:t>
                  </w:r>
                  <w:r>
                    <w:rPr>
                      <w:rFonts w:hint="eastAsia" w:eastAsiaTheme="minorEastAsia"/>
                      <w:bCs/>
                      <w:color w:val="auto"/>
                      <w:szCs w:val="21"/>
                    </w:rPr>
                    <w:t>+布袋</w:t>
                  </w:r>
                  <w:r>
                    <w:rPr>
                      <w:rFonts w:eastAsiaTheme="minorEastAsia"/>
                      <w:bCs/>
                      <w:color w:val="auto"/>
                      <w:szCs w:val="21"/>
                    </w:rPr>
                    <w:t>），处理后经除尘系统烟囱（</w:t>
                  </w:r>
                  <w:r>
                    <w:rPr>
                      <w:rFonts w:hint="eastAsia" w:eastAsiaTheme="minorEastAsia"/>
                      <w:bCs/>
                      <w:color w:val="auto"/>
                      <w:szCs w:val="21"/>
                    </w:rPr>
                    <w:t>DA001</w:t>
                  </w:r>
                  <w:r>
                    <w:rPr>
                      <w:rFonts w:eastAsiaTheme="minorEastAsia"/>
                      <w:bCs/>
                      <w:color w:val="auto"/>
                      <w:szCs w:val="21"/>
                    </w:rPr>
                    <w:t>）排放，</w:t>
                  </w:r>
                  <w:r>
                    <w:rPr>
                      <w:rFonts w:eastAsiaTheme="minorEastAsia"/>
                      <w:color w:val="auto"/>
                      <w:szCs w:val="21"/>
                    </w:rPr>
                    <w:t>除尘效率为99%</w:t>
                  </w:r>
                  <w:r>
                    <w:rPr>
                      <w:rFonts w:hint="eastAsia" w:eastAsiaTheme="minorEastAsia"/>
                      <w:color w:val="auto"/>
                      <w:szCs w:val="21"/>
                      <w:lang w:eastAsia="zh-CN"/>
                    </w:rPr>
                    <w:t>。</w:t>
                  </w:r>
                </w:p>
                <w:p w14:paraId="4E3E2D9B">
                  <w:pPr>
                    <w:spacing w:line="0" w:lineRule="atLeast"/>
                    <w:contextualSpacing/>
                    <w:jc w:val="left"/>
                    <w:rPr>
                      <w:rFonts w:eastAsiaTheme="minorEastAsia"/>
                      <w:bCs/>
                      <w:color w:val="auto"/>
                      <w:szCs w:val="21"/>
                    </w:rPr>
                  </w:pPr>
                  <w:r>
                    <w:rPr>
                      <w:rFonts w:hint="eastAsia" w:eastAsiaTheme="minorEastAsia"/>
                      <w:bCs/>
                      <w:color w:val="auto"/>
                      <w:szCs w:val="21"/>
                    </w:rPr>
                    <w:t>4</w:t>
                  </w:r>
                  <w:r>
                    <w:rPr>
                      <w:rFonts w:eastAsiaTheme="minorEastAsia"/>
                      <w:bCs/>
                      <w:color w:val="auto"/>
                      <w:szCs w:val="21"/>
                    </w:rPr>
                    <w:t>、沥青混凝土生产线废气</w:t>
                  </w:r>
                </w:p>
                <w:p w14:paraId="292F5DFB">
                  <w:pPr>
                    <w:spacing w:line="0" w:lineRule="atLeast"/>
                    <w:contextualSpacing/>
                    <w:jc w:val="left"/>
                    <w:rPr>
                      <w:rFonts w:hint="eastAsia" w:eastAsiaTheme="minorEastAsia"/>
                      <w:bCs/>
                      <w:color w:val="auto"/>
                      <w:szCs w:val="21"/>
                      <w:lang w:eastAsia="zh-CN"/>
                    </w:rPr>
                  </w:pPr>
                  <w:r>
                    <w:rPr>
                      <w:rFonts w:hint="eastAsia" w:eastAsiaTheme="minorEastAsia"/>
                      <w:bCs/>
                      <w:color w:val="auto"/>
                      <w:szCs w:val="21"/>
                    </w:rPr>
                    <w:t>本项目</w:t>
                  </w:r>
                  <w:r>
                    <w:rPr>
                      <w:rFonts w:hint="eastAsia" w:eastAsiaTheme="minorEastAsia"/>
                      <w:bCs/>
                      <w:color w:val="auto"/>
                      <w:szCs w:val="21"/>
                      <w:lang w:val="en-US" w:eastAsia="zh-CN"/>
                    </w:rPr>
                    <w:t>骨料</w:t>
                  </w:r>
                  <w:r>
                    <w:rPr>
                      <w:rFonts w:hint="eastAsia" w:eastAsiaTheme="minorEastAsia"/>
                      <w:bCs/>
                      <w:color w:val="auto"/>
                      <w:szCs w:val="21"/>
                    </w:rPr>
                    <w:t>筛分、烘干废气、热料仓落料废气、28MW燃天然气燃烧器烟气经除尘系统（重力+布袋）处理后，由15m高除尘系统烟囱（DA001）排放，除尘效率为99%；本项目1台</w:t>
                  </w:r>
                  <w:r>
                    <w:rPr>
                      <w:rFonts w:hint="eastAsia" w:ascii="Times New Roman" w:hAnsi="Times New Roman" w:cs="Times New Roman" w:eastAsiaTheme="minorEastAsia"/>
                      <w:color w:val="auto"/>
                      <w:szCs w:val="21"/>
                      <w:lang w:val="en-US" w:eastAsia="zh-CN"/>
                    </w:rPr>
                    <w:t>1.5</w:t>
                  </w:r>
                  <w:r>
                    <w:rPr>
                      <w:rFonts w:hint="eastAsia" w:ascii="Times New Roman" w:hAnsi="Times New Roman" w:cs="Times New Roman" w:eastAsiaTheme="minorEastAsia"/>
                      <w:color w:val="auto"/>
                      <w:szCs w:val="21"/>
                    </w:rPr>
                    <w:t>t/h</w:t>
                  </w:r>
                  <w:r>
                    <w:rPr>
                      <w:rFonts w:ascii="Times New Roman" w:hAnsi="Times New Roman" w:cs="Times New Roman" w:eastAsiaTheme="minorEastAsia"/>
                      <w:color w:val="auto"/>
                      <w:szCs w:val="21"/>
                    </w:rPr>
                    <w:t>燃</w:t>
                  </w:r>
                  <w:r>
                    <w:rPr>
                      <w:rFonts w:hint="eastAsia" w:cs="Times New Roman" w:eastAsiaTheme="minorEastAsia"/>
                      <w:color w:val="auto"/>
                      <w:szCs w:val="21"/>
                      <w:lang w:val="en-US" w:eastAsia="zh-CN"/>
                    </w:rPr>
                    <w:t>气</w:t>
                  </w:r>
                  <w:r>
                    <w:rPr>
                      <w:rFonts w:hint="eastAsia" w:eastAsiaTheme="minorEastAsia"/>
                      <w:bCs/>
                      <w:color w:val="auto"/>
                      <w:szCs w:val="21"/>
                    </w:rPr>
                    <w:t>导热油炉用于加热沥青，导热油炉烟气经低氮燃烧处理后（除氮效率30%），由1根12m高排气筒（DA002）排放；本项目在沥青混凝土拌和沥青储罐处会产生</w:t>
                  </w:r>
                  <w:r>
                    <w:rPr>
                      <w:rFonts w:eastAsiaTheme="minorEastAsia"/>
                      <w:bCs/>
                      <w:color w:val="auto"/>
                      <w:szCs w:val="21"/>
                    </w:rPr>
                    <w:t>非甲烷总烃、</w:t>
                  </w:r>
                  <w:r>
                    <w:rPr>
                      <w:rFonts w:hint="eastAsia" w:eastAsiaTheme="minorEastAsia"/>
                      <w:bCs/>
                      <w:color w:val="auto"/>
                      <w:szCs w:val="21"/>
                    </w:rPr>
                    <w:t>沥青烟和苯并[a]芘，沥青在密闭储罐中储存过程中产生的烟气以及出料产生的烟气通过负压收集系统集中收集（收集效率95%，环保设施的最大总风量为40000m</w:t>
                  </w:r>
                  <w:r>
                    <w:rPr>
                      <w:rFonts w:hint="eastAsia" w:eastAsiaTheme="minorEastAsia"/>
                      <w:bCs/>
                      <w:color w:val="auto"/>
                      <w:szCs w:val="21"/>
                      <w:vertAlign w:val="superscript"/>
                    </w:rPr>
                    <w:t>3</w:t>
                  </w:r>
                  <w:r>
                    <w:rPr>
                      <w:rFonts w:hint="eastAsia" w:eastAsiaTheme="minorEastAsia"/>
                      <w:bCs/>
                      <w:color w:val="auto"/>
                      <w:szCs w:val="21"/>
                    </w:rPr>
                    <w:t>/h），经气浮旋流塔+三维一体化废气处理设备（由电离子+光催化+高碘值碳吸附组成）（处理效率95%）处理后，经15m高沥青搅拌排气筒（DA003）排放</w:t>
                  </w:r>
                  <w:r>
                    <w:rPr>
                      <w:rFonts w:hint="eastAsia" w:eastAsiaTheme="minorEastAsia"/>
                      <w:bCs/>
                      <w:color w:val="auto"/>
                      <w:szCs w:val="21"/>
                      <w:lang w:eastAsia="zh-CN"/>
                    </w:rPr>
                    <w:t>。</w:t>
                  </w:r>
                </w:p>
              </w:tc>
              <w:tc>
                <w:tcPr>
                  <w:tcW w:w="466" w:type="pct"/>
                  <w:vAlign w:val="center"/>
                </w:tcPr>
                <w:p w14:paraId="22D5F8BF">
                  <w:pPr>
                    <w:contextualSpacing/>
                    <w:jc w:val="center"/>
                    <w:rPr>
                      <w:color w:val="auto"/>
                      <w:szCs w:val="21"/>
                    </w:rPr>
                  </w:pPr>
                  <w:r>
                    <w:rPr>
                      <w:color w:val="auto"/>
                      <w:szCs w:val="21"/>
                    </w:rPr>
                    <w:t>新建</w:t>
                  </w:r>
                </w:p>
              </w:tc>
            </w:tr>
            <w:tr w14:paraId="75F7D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restart"/>
                  <w:vAlign w:val="center"/>
                </w:tcPr>
                <w:p w14:paraId="1B6C5084">
                  <w:pPr>
                    <w:contextualSpacing/>
                    <w:jc w:val="center"/>
                    <w:rPr>
                      <w:color w:val="auto"/>
                      <w:szCs w:val="21"/>
                    </w:rPr>
                  </w:pPr>
                  <w:r>
                    <w:rPr>
                      <w:color w:val="auto"/>
                      <w:szCs w:val="21"/>
                    </w:rPr>
                    <w:t>环保工程</w:t>
                  </w:r>
                </w:p>
              </w:tc>
              <w:tc>
                <w:tcPr>
                  <w:tcW w:w="482" w:type="pct"/>
                  <w:vAlign w:val="center"/>
                </w:tcPr>
                <w:p w14:paraId="4A8CAC95">
                  <w:pPr>
                    <w:jc w:val="center"/>
                    <w:rPr>
                      <w:color w:val="auto"/>
                      <w:szCs w:val="21"/>
                    </w:rPr>
                  </w:pPr>
                  <w:r>
                    <w:rPr>
                      <w:color w:val="auto"/>
                      <w:szCs w:val="21"/>
                    </w:rPr>
                    <w:t>固体</w:t>
                  </w:r>
                </w:p>
                <w:p w14:paraId="781DF24E">
                  <w:pPr>
                    <w:jc w:val="center"/>
                    <w:rPr>
                      <w:color w:val="auto"/>
                      <w:szCs w:val="21"/>
                    </w:rPr>
                  </w:pPr>
                  <w:r>
                    <w:rPr>
                      <w:color w:val="auto"/>
                      <w:szCs w:val="21"/>
                    </w:rPr>
                    <w:t>废物</w:t>
                  </w:r>
                </w:p>
              </w:tc>
              <w:tc>
                <w:tcPr>
                  <w:tcW w:w="3619" w:type="pct"/>
                  <w:vAlign w:val="center"/>
                </w:tcPr>
                <w:p w14:paraId="75C4403F">
                  <w:pPr>
                    <w:spacing w:line="0" w:lineRule="atLeast"/>
                    <w:rPr>
                      <w:color w:val="auto"/>
                      <w:szCs w:val="21"/>
                    </w:rPr>
                  </w:pPr>
                  <w:r>
                    <w:rPr>
                      <w:color w:val="auto"/>
                      <w:szCs w:val="21"/>
                    </w:rPr>
                    <w:t>除尘</w:t>
                  </w:r>
                  <w:r>
                    <w:rPr>
                      <w:rFonts w:hint="eastAsia"/>
                      <w:color w:val="auto"/>
                      <w:szCs w:val="21"/>
                    </w:rPr>
                    <w:t>系统</w:t>
                  </w:r>
                  <w:r>
                    <w:rPr>
                      <w:color w:val="auto"/>
                      <w:szCs w:val="21"/>
                    </w:rPr>
                    <w:t>收集粉尘回用于生产</w:t>
                  </w:r>
                  <w:r>
                    <w:rPr>
                      <w:rFonts w:hint="eastAsia" w:eastAsiaTheme="minorEastAsia"/>
                      <w:color w:val="auto"/>
                      <w:szCs w:val="21"/>
                    </w:rPr>
                    <w:t>，</w:t>
                  </w:r>
                  <w:r>
                    <w:rPr>
                      <w:color w:val="auto"/>
                      <w:szCs w:val="21"/>
                    </w:rPr>
                    <w:t>生活垃圾及废布袋由市政环卫部门处理；</w:t>
                  </w:r>
                  <w:r>
                    <w:rPr>
                      <w:rFonts w:hint="eastAsia"/>
                      <w:color w:val="auto"/>
                      <w:szCs w:val="21"/>
                    </w:rPr>
                    <w:t>实</w:t>
                  </w:r>
                  <w:r>
                    <w:rPr>
                      <w:color w:val="auto"/>
                      <w:szCs w:val="21"/>
                    </w:rPr>
                    <w:t>验室弃块外运作为铺路材料使用。初期雨水池油污（类别</w:t>
                  </w:r>
                  <w:r>
                    <w:rPr>
                      <w:bCs/>
                      <w:color w:val="auto"/>
                      <w:szCs w:val="21"/>
                    </w:rPr>
                    <w:t>HW08，代码：900-2</w:t>
                  </w:r>
                  <w:r>
                    <w:rPr>
                      <w:rFonts w:hint="eastAsia"/>
                      <w:bCs/>
                      <w:color w:val="auto"/>
                      <w:szCs w:val="21"/>
                    </w:rPr>
                    <w:t>10</w:t>
                  </w:r>
                  <w:r>
                    <w:rPr>
                      <w:bCs/>
                      <w:color w:val="auto"/>
                      <w:szCs w:val="21"/>
                    </w:rPr>
                    <w:t>-08</w:t>
                  </w:r>
                  <w:r>
                    <w:rPr>
                      <w:color w:val="auto"/>
                      <w:szCs w:val="21"/>
                    </w:rPr>
                    <w:t>）</w:t>
                  </w:r>
                  <w:r>
                    <w:rPr>
                      <w:rFonts w:hint="eastAsia"/>
                      <w:color w:val="auto"/>
                      <w:szCs w:val="21"/>
                    </w:rPr>
                    <w:t>、</w:t>
                  </w:r>
                  <w:r>
                    <w:rPr>
                      <w:color w:val="auto"/>
                      <w:szCs w:val="21"/>
                    </w:rPr>
                    <w:t>废导热油（类别</w:t>
                  </w:r>
                  <w:r>
                    <w:rPr>
                      <w:bCs/>
                      <w:color w:val="auto"/>
                      <w:szCs w:val="21"/>
                    </w:rPr>
                    <w:t>HW08，代码：900-249-08</w:t>
                  </w:r>
                  <w:r>
                    <w:rPr>
                      <w:color w:val="auto"/>
                      <w:szCs w:val="21"/>
                    </w:rPr>
                    <w:t>）</w:t>
                  </w:r>
                  <w:r>
                    <w:rPr>
                      <w:rFonts w:hint="eastAsia"/>
                      <w:color w:val="auto"/>
                      <w:szCs w:val="21"/>
                    </w:rPr>
                    <w:t>、</w:t>
                  </w:r>
                  <w:r>
                    <w:rPr>
                      <w:color w:val="auto"/>
                      <w:szCs w:val="21"/>
                    </w:rPr>
                    <w:t>废</w:t>
                  </w:r>
                  <w:r>
                    <w:rPr>
                      <w:rFonts w:hint="eastAsia"/>
                      <w:color w:val="auto"/>
                      <w:szCs w:val="21"/>
                    </w:rPr>
                    <w:t>活性</w:t>
                  </w:r>
                  <w:r>
                    <w:rPr>
                      <w:color w:val="auto"/>
                      <w:szCs w:val="21"/>
                    </w:rPr>
                    <w:t>炭（类别HW49；代码：900-0</w:t>
                  </w:r>
                  <w:r>
                    <w:rPr>
                      <w:rFonts w:hint="eastAsia"/>
                      <w:color w:val="auto"/>
                      <w:szCs w:val="21"/>
                    </w:rPr>
                    <w:t>39</w:t>
                  </w:r>
                  <w:r>
                    <w:rPr>
                      <w:color w:val="auto"/>
                      <w:szCs w:val="21"/>
                    </w:rPr>
                    <w:t>-49）、废油桶（类别</w:t>
                  </w:r>
                  <w:r>
                    <w:rPr>
                      <w:bCs/>
                      <w:color w:val="auto"/>
                      <w:szCs w:val="21"/>
                    </w:rPr>
                    <w:t>HW08，代码：900-249-08</w:t>
                  </w:r>
                  <w:r>
                    <w:rPr>
                      <w:color w:val="auto"/>
                      <w:szCs w:val="21"/>
                    </w:rPr>
                    <w:t>）为危险废物，</w:t>
                  </w:r>
                  <w:r>
                    <w:rPr>
                      <w:rFonts w:hint="eastAsia"/>
                      <w:color w:val="auto"/>
                      <w:szCs w:val="21"/>
                    </w:rPr>
                    <w:t>集中</w:t>
                  </w:r>
                  <w:r>
                    <w:rPr>
                      <w:color w:val="auto"/>
                      <w:szCs w:val="21"/>
                    </w:rPr>
                    <w:t>收集后暂存于危险废物</w:t>
                  </w:r>
                  <w:r>
                    <w:rPr>
                      <w:rFonts w:hint="eastAsia"/>
                      <w:color w:val="auto"/>
                      <w:szCs w:val="21"/>
                    </w:rPr>
                    <w:t>贮存</w:t>
                  </w:r>
                  <w:r>
                    <w:rPr>
                      <w:rFonts w:hint="eastAsia"/>
                      <w:color w:val="auto"/>
                      <w:kern w:val="0"/>
                      <w:sz w:val="21"/>
                      <w:szCs w:val="21"/>
                      <w:lang w:val="en-US" w:eastAsia="zh-CN"/>
                    </w:rPr>
                    <w:t>点</w:t>
                  </w:r>
                  <w:r>
                    <w:rPr>
                      <w:color w:val="auto"/>
                      <w:szCs w:val="21"/>
                    </w:rPr>
                    <w:t>，</w:t>
                  </w:r>
                  <w:r>
                    <w:rPr>
                      <w:bCs/>
                      <w:color w:val="auto"/>
                      <w:szCs w:val="21"/>
                    </w:rPr>
                    <w:t>委托有资质单位处置</w:t>
                  </w:r>
                </w:p>
              </w:tc>
              <w:tc>
                <w:tcPr>
                  <w:tcW w:w="466" w:type="pct"/>
                  <w:vMerge w:val="restart"/>
                  <w:vAlign w:val="center"/>
                </w:tcPr>
                <w:p w14:paraId="6C21A146">
                  <w:pPr>
                    <w:contextualSpacing/>
                    <w:jc w:val="center"/>
                    <w:rPr>
                      <w:color w:val="auto"/>
                      <w:szCs w:val="21"/>
                    </w:rPr>
                  </w:pPr>
                  <w:r>
                    <w:rPr>
                      <w:color w:val="auto"/>
                      <w:szCs w:val="21"/>
                    </w:rPr>
                    <w:t>新建</w:t>
                  </w:r>
                </w:p>
              </w:tc>
            </w:tr>
            <w:tr w14:paraId="64EC9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continue"/>
                  <w:vAlign w:val="center"/>
                </w:tcPr>
                <w:p w14:paraId="4252C808">
                  <w:pPr>
                    <w:contextualSpacing/>
                    <w:jc w:val="center"/>
                    <w:rPr>
                      <w:color w:val="auto"/>
                      <w:szCs w:val="21"/>
                    </w:rPr>
                  </w:pPr>
                </w:p>
              </w:tc>
              <w:tc>
                <w:tcPr>
                  <w:tcW w:w="482" w:type="pct"/>
                  <w:vAlign w:val="center"/>
                </w:tcPr>
                <w:p w14:paraId="401EAC83">
                  <w:pPr>
                    <w:jc w:val="center"/>
                    <w:rPr>
                      <w:color w:val="auto"/>
                      <w:szCs w:val="21"/>
                    </w:rPr>
                  </w:pPr>
                  <w:r>
                    <w:rPr>
                      <w:color w:val="auto"/>
                      <w:szCs w:val="21"/>
                    </w:rPr>
                    <w:t>防渗</w:t>
                  </w:r>
                </w:p>
              </w:tc>
              <w:tc>
                <w:tcPr>
                  <w:tcW w:w="3619" w:type="pct"/>
                  <w:vAlign w:val="center"/>
                </w:tcPr>
                <w:p w14:paraId="5A660744">
                  <w:pPr>
                    <w:spacing w:line="0" w:lineRule="atLeast"/>
                    <w:rPr>
                      <w:color w:val="auto"/>
                      <w:szCs w:val="21"/>
                      <w:highlight w:val="yellow"/>
                    </w:rPr>
                  </w:pPr>
                  <w:r>
                    <w:rPr>
                      <w:rFonts w:eastAsiaTheme="minorEastAsia"/>
                      <w:color w:val="auto"/>
                      <w:szCs w:val="21"/>
                    </w:rPr>
                    <w:t>危废</w:t>
                  </w:r>
                  <w:r>
                    <w:rPr>
                      <w:rFonts w:hint="eastAsia" w:eastAsiaTheme="minorEastAsia"/>
                      <w:color w:val="auto"/>
                      <w:szCs w:val="21"/>
                    </w:rPr>
                    <w:t>贮存</w:t>
                  </w:r>
                  <w:r>
                    <w:rPr>
                      <w:rFonts w:hint="eastAsia" w:eastAsiaTheme="minorEastAsia"/>
                      <w:color w:val="auto"/>
                      <w:szCs w:val="21"/>
                      <w:lang w:val="en-US" w:eastAsia="zh-CN"/>
                    </w:rPr>
                    <w:t>点</w:t>
                  </w:r>
                  <w:r>
                    <w:rPr>
                      <w:rFonts w:eastAsiaTheme="minorEastAsia"/>
                      <w:color w:val="auto"/>
                      <w:szCs w:val="21"/>
                    </w:rPr>
                    <w:t>、初期雨水池防渗层为至少1米厚粘土层（渗透系数≤10</w:t>
                  </w:r>
                  <w:r>
                    <w:rPr>
                      <w:rFonts w:eastAsiaTheme="minorEastAsia"/>
                      <w:color w:val="auto"/>
                      <w:szCs w:val="21"/>
                      <w:vertAlign w:val="superscript"/>
                    </w:rPr>
                    <w:t>-7</w:t>
                  </w:r>
                  <w:r>
                    <w:rPr>
                      <w:rFonts w:eastAsiaTheme="minorEastAsia"/>
                      <w:bCs/>
                      <w:color w:val="auto"/>
                      <w:szCs w:val="21"/>
                    </w:rPr>
                    <w:t>cm/s</w:t>
                  </w:r>
                  <w:r>
                    <w:rPr>
                      <w:rFonts w:eastAsiaTheme="minorEastAsia"/>
                      <w:color w:val="auto"/>
                      <w:szCs w:val="21"/>
                    </w:rPr>
                    <w:t>），或2mm高密度聚乙烯，或至少2mm厚的其它人工材料，渗透系数≤1×10</w:t>
                  </w:r>
                  <w:r>
                    <w:rPr>
                      <w:rFonts w:eastAsiaTheme="minorEastAsia"/>
                      <w:color w:val="auto"/>
                      <w:szCs w:val="21"/>
                      <w:vertAlign w:val="superscript"/>
                    </w:rPr>
                    <w:t>-10</w:t>
                  </w:r>
                  <w:r>
                    <w:rPr>
                      <w:rFonts w:eastAsiaTheme="minorEastAsia"/>
                      <w:color w:val="auto"/>
                      <w:szCs w:val="21"/>
                    </w:rPr>
                    <w:t>cm/s，</w:t>
                  </w:r>
                  <w:r>
                    <w:rPr>
                      <w:rFonts w:hint="eastAsia" w:eastAsiaTheme="minorEastAsia"/>
                      <w:color w:val="auto"/>
                      <w:szCs w:val="21"/>
                    </w:rPr>
                    <w:t>废导热油储存区采取围堰措施，</w:t>
                  </w:r>
                  <w:r>
                    <w:rPr>
                      <w:rFonts w:eastAsiaTheme="minorEastAsia"/>
                      <w:color w:val="auto"/>
                      <w:szCs w:val="21"/>
                    </w:rPr>
                    <w:t>本项目储罐、管道均为耐腐蚀均材质，储罐周围设置</w:t>
                  </w:r>
                  <w:r>
                    <w:rPr>
                      <w:rFonts w:hint="eastAsia" w:eastAsiaTheme="minorEastAsia"/>
                      <w:color w:val="auto"/>
                      <w:szCs w:val="21"/>
                    </w:rPr>
                    <w:t>50cm高</w:t>
                  </w:r>
                  <w:r>
                    <w:rPr>
                      <w:rFonts w:eastAsiaTheme="minorEastAsia"/>
                      <w:color w:val="auto"/>
                      <w:szCs w:val="21"/>
                    </w:rPr>
                    <w:t>围堰，围堰区域范围按储罐最大外形向外延伸</w:t>
                  </w:r>
                  <w:r>
                    <w:rPr>
                      <w:rFonts w:hint="eastAsia" w:eastAsiaTheme="minorEastAsia"/>
                      <w:color w:val="auto"/>
                      <w:szCs w:val="21"/>
                    </w:rPr>
                    <w:t>0.8m</w:t>
                  </w:r>
                  <w:r>
                    <w:rPr>
                      <w:rFonts w:eastAsiaTheme="minorEastAsia"/>
                      <w:color w:val="auto"/>
                      <w:szCs w:val="21"/>
                    </w:rPr>
                    <w:t>，围堰内有效容积为</w:t>
                  </w:r>
                  <w:r>
                    <w:rPr>
                      <w:rFonts w:hint="eastAsia" w:eastAsiaTheme="minorEastAsia"/>
                      <w:color w:val="auto"/>
                      <w:szCs w:val="21"/>
                    </w:rPr>
                    <w:t>240m³</w:t>
                  </w:r>
                  <w:r>
                    <w:rPr>
                      <w:rFonts w:eastAsiaTheme="minorEastAsia"/>
                      <w:color w:val="auto"/>
                      <w:szCs w:val="21"/>
                    </w:rPr>
                    <w:t>，围堰地面及墙脚防渗，渗透系数≤10</w:t>
                  </w:r>
                  <w:r>
                    <w:rPr>
                      <w:rFonts w:eastAsiaTheme="minorEastAsia"/>
                      <w:color w:val="auto"/>
                      <w:szCs w:val="21"/>
                      <w:vertAlign w:val="superscript"/>
                    </w:rPr>
                    <w:t>-7</w:t>
                  </w:r>
                  <w:r>
                    <w:rPr>
                      <w:rFonts w:eastAsiaTheme="minorEastAsia"/>
                      <w:bCs/>
                      <w:color w:val="auto"/>
                      <w:szCs w:val="21"/>
                    </w:rPr>
                    <w:t>cm/s，</w:t>
                  </w:r>
                  <w:r>
                    <w:rPr>
                      <w:rFonts w:eastAsiaTheme="minorEastAsia"/>
                      <w:color w:val="auto"/>
                      <w:szCs w:val="21"/>
                    </w:rPr>
                    <w:t>厂区其他地面简单防渗，</w:t>
                  </w:r>
                  <w:r>
                    <w:rPr>
                      <w:rFonts w:hint="eastAsia" w:eastAsiaTheme="minorEastAsia"/>
                      <w:color w:val="auto"/>
                      <w:szCs w:val="21"/>
                    </w:rPr>
                    <w:t>地面</w:t>
                  </w:r>
                  <w:r>
                    <w:rPr>
                      <w:rFonts w:eastAsiaTheme="minorEastAsia"/>
                      <w:color w:val="auto"/>
                      <w:szCs w:val="21"/>
                    </w:rPr>
                    <w:t>进行硬化处理</w:t>
                  </w:r>
                </w:p>
              </w:tc>
              <w:tc>
                <w:tcPr>
                  <w:tcW w:w="466" w:type="pct"/>
                  <w:vMerge w:val="continue"/>
                  <w:vAlign w:val="center"/>
                </w:tcPr>
                <w:p w14:paraId="02074780">
                  <w:pPr>
                    <w:contextualSpacing/>
                    <w:jc w:val="center"/>
                    <w:rPr>
                      <w:color w:val="auto"/>
                      <w:szCs w:val="21"/>
                    </w:rPr>
                  </w:pPr>
                </w:p>
              </w:tc>
            </w:tr>
            <w:tr w14:paraId="758D8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1" w:type="pct"/>
                  <w:vMerge w:val="continue"/>
                  <w:vAlign w:val="center"/>
                </w:tcPr>
                <w:p w14:paraId="7BAE93DC">
                  <w:pPr>
                    <w:contextualSpacing/>
                    <w:jc w:val="center"/>
                    <w:rPr>
                      <w:color w:val="auto"/>
                      <w:szCs w:val="21"/>
                    </w:rPr>
                  </w:pPr>
                </w:p>
              </w:tc>
              <w:tc>
                <w:tcPr>
                  <w:tcW w:w="482" w:type="pct"/>
                  <w:vAlign w:val="center"/>
                </w:tcPr>
                <w:p w14:paraId="444155A7">
                  <w:pPr>
                    <w:jc w:val="center"/>
                    <w:rPr>
                      <w:color w:val="auto"/>
                      <w:szCs w:val="21"/>
                    </w:rPr>
                  </w:pPr>
                  <w:r>
                    <w:rPr>
                      <w:color w:val="auto"/>
                      <w:szCs w:val="21"/>
                    </w:rPr>
                    <w:t>风险防范措施</w:t>
                  </w:r>
                </w:p>
              </w:tc>
              <w:tc>
                <w:tcPr>
                  <w:tcW w:w="3619" w:type="pct"/>
                  <w:vAlign w:val="center"/>
                </w:tcPr>
                <w:p w14:paraId="45CBFAC3">
                  <w:pPr>
                    <w:contextualSpacing/>
                    <w:jc w:val="left"/>
                    <w:rPr>
                      <w:rFonts w:hAnsiTheme="minorEastAsia" w:eastAsiaTheme="minorEastAsia"/>
                      <w:color w:val="auto"/>
                      <w:szCs w:val="21"/>
                    </w:rPr>
                  </w:pPr>
                  <w:r>
                    <w:rPr>
                      <w:rFonts w:hint="eastAsia" w:hAnsiTheme="minorEastAsia" w:eastAsiaTheme="minorEastAsia"/>
                      <w:color w:val="auto"/>
                      <w:szCs w:val="21"/>
                    </w:rPr>
                    <w:t>企业运营过程中积极采取防护措施，加强储罐与管道系统的管理与维修，使燃气储存系统、沥青储存系统处于密闭化，严格防止跑、冒、滴、漏现象发生，危废贮存</w:t>
                  </w:r>
                  <w:r>
                    <w:rPr>
                      <w:rFonts w:hint="eastAsia" w:hAnsiTheme="minorEastAsia" w:eastAsiaTheme="minorEastAsia"/>
                      <w:color w:val="auto"/>
                      <w:szCs w:val="21"/>
                      <w:lang w:val="en-US" w:eastAsia="zh-CN"/>
                    </w:rPr>
                    <w:t>点</w:t>
                  </w:r>
                  <w:r>
                    <w:rPr>
                      <w:rFonts w:hint="eastAsia" w:hAnsiTheme="minorEastAsia" w:eastAsiaTheme="minorEastAsia"/>
                      <w:color w:val="auto"/>
                      <w:szCs w:val="21"/>
                    </w:rPr>
                    <w:t>储存装置周围设置围堰，</w:t>
                  </w:r>
                  <w:r>
                    <w:rPr>
                      <w:rFonts w:eastAsiaTheme="minorEastAsia"/>
                      <w:color w:val="auto"/>
                      <w:szCs w:val="21"/>
                    </w:rPr>
                    <w:t>本项目储罐、管道均为耐腐蚀均材质，储罐周围设置围堰，围堰地面及墙脚防渗，厂区其他地面简单防渗，</w:t>
                  </w:r>
                  <w:r>
                    <w:rPr>
                      <w:rFonts w:hint="eastAsia" w:eastAsiaTheme="minorEastAsia"/>
                      <w:color w:val="auto"/>
                      <w:szCs w:val="21"/>
                    </w:rPr>
                    <w:t>地面</w:t>
                  </w:r>
                  <w:r>
                    <w:rPr>
                      <w:rFonts w:eastAsiaTheme="minorEastAsia"/>
                      <w:color w:val="auto"/>
                      <w:szCs w:val="21"/>
                    </w:rPr>
                    <w:t>进行硬化处理，</w:t>
                  </w:r>
                  <w:r>
                    <w:rPr>
                      <w:rFonts w:hint="eastAsia" w:hAnsiTheme="minorEastAsia" w:eastAsiaTheme="minorEastAsia"/>
                      <w:color w:val="auto"/>
                      <w:szCs w:val="21"/>
                    </w:rPr>
                    <w:t>编制突发环境事件应急预案</w:t>
                  </w:r>
                </w:p>
              </w:tc>
              <w:tc>
                <w:tcPr>
                  <w:tcW w:w="466" w:type="pct"/>
                  <w:vMerge w:val="continue"/>
                  <w:vAlign w:val="center"/>
                </w:tcPr>
                <w:p w14:paraId="040B820F">
                  <w:pPr>
                    <w:contextualSpacing/>
                    <w:jc w:val="center"/>
                    <w:rPr>
                      <w:color w:val="auto"/>
                      <w:szCs w:val="21"/>
                    </w:rPr>
                  </w:pPr>
                </w:p>
              </w:tc>
            </w:tr>
          </w:tbl>
          <w:p w14:paraId="685C9D95">
            <w:pPr>
              <w:spacing w:line="360" w:lineRule="auto"/>
              <w:ind w:firstLine="482" w:firstLineChars="200"/>
              <w:contextualSpacing/>
              <w:jc w:val="left"/>
              <w:rPr>
                <w:b/>
                <w:color w:val="auto"/>
                <w:kern w:val="0"/>
                <w:sz w:val="24"/>
              </w:rPr>
            </w:pPr>
            <w:r>
              <w:rPr>
                <w:b/>
                <w:color w:val="auto"/>
                <w:kern w:val="0"/>
                <w:sz w:val="24"/>
              </w:rPr>
              <w:t>2、主要设备</w:t>
            </w:r>
          </w:p>
          <w:p w14:paraId="0B71DE32">
            <w:pPr>
              <w:widowControl/>
              <w:spacing w:line="360" w:lineRule="auto"/>
              <w:ind w:firstLine="480" w:firstLineChars="200"/>
              <w:rPr>
                <w:b/>
                <w:bCs/>
                <w:color w:val="auto"/>
                <w:kern w:val="0"/>
                <w:sz w:val="24"/>
              </w:rPr>
            </w:pPr>
            <w:r>
              <w:rPr>
                <w:color w:val="auto"/>
                <w:kern w:val="0"/>
                <w:sz w:val="24"/>
              </w:rPr>
              <w:t>主要设备见下表。</w:t>
            </w:r>
          </w:p>
          <w:p w14:paraId="5277C5E5">
            <w:pPr>
              <w:widowControl/>
              <w:jc w:val="center"/>
              <w:rPr>
                <w:b/>
                <w:bCs/>
                <w:color w:val="auto"/>
                <w:kern w:val="0"/>
                <w:sz w:val="24"/>
              </w:rPr>
            </w:pPr>
            <w:r>
              <w:rPr>
                <w:b/>
                <w:bCs/>
                <w:color w:val="auto"/>
                <w:kern w:val="0"/>
                <w:sz w:val="24"/>
              </w:rPr>
              <w:t>表2-2 主要设备一览表</w:t>
            </w:r>
          </w:p>
          <w:tbl>
            <w:tblPr>
              <w:tblStyle w:val="27"/>
              <w:tblW w:w="50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
              <w:gridCol w:w="2030"/>
              <w:gridCol w:w="20"/>
              <w:gridCol w:w="2083"/>
              <w:gridCol w:w="24"/>
              <w:gridCol w:w="1799"/>
              <w:gridCol w:w="14"/>
              <w:gridCol w:w="1585"/>
            </w:tblGrid>
            <w:tr w14:paraId="5AD88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59" w:type="pct"/>
                  <w:gridSpan w:val="2"/>
                  <w:shd w:val="clear" w:color="auto" w:fill="auto"/>
                  <w:vAlign w:val="center"/>
                </w:tcPr>
                <w:p w14:paraId="49306AF3">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序号</w:t>
                  </w:r>
                </w:p>
              </w:tc>
              <w:tc>
                <w:tcPr>
                  <w:tcW w:w="1205" w:type="pct"/>
                  <w:gridSpan w:val="2"/>
                  <w:shd w:val="clear" w:color="auto" w:fill="auto"/>
                  <w:vAlign w:val="center"/>
                </w:tcPr>
                <w:p w14:paraId="4B925654">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设备名称</w:t>
                  </w:r>
                </w:p>
              </w:tc>
              <w:tc>
                <w:tcPr>
                  <w:tcW w:w="1224" w:type="pct"/>
                  <w:shd w:val="clear" w:color="auto" w:fill="auto"/>
                  <w:vAlign w:val="center"/>
                </w:tcPr>
                <w:p w14:paraId="758BDBD4">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规格、型号</w:t>
                  </w:r>
                </w:p>
              </w:tc>
              <w:tc>
                <w:tcPr>
                  <w:tcW w:w="1071" w:type="pct"/>
                  <w:gridSpan w:val="2"/>
                  <w:shd w:val="clear" w:color="auto" w:fill="auto"/>
                  <w:vAlign w:val="center"/>
                </w:tcPr>
                <w:p w14:paraId="24CE1F93">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数量</w:t>
                  </w:r>
                </w:p>
              </w:tc>
              <w:tc>
                <w:tcPr>
                  <w:tcW w:w="937" w:type="pct"/>
                  <w:gridSpan w:val="2"/>
                  <w:shd w:val="clear" w:color="auto" w:fill="auto"/>
                  <w:vAlign w:val="center"/>
                </w:tcPr>
                <w:p w14:paraId="474BDFA5">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单位</w:t>
                  </w:r>
                </w:p>
              </w:tc>
            </w:tr>
            <w:tr w14:paraId="5DE01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9" w:type="pct"/>
                  <w:gridSpan w:val="2"/>
                  <w:shd w:val="clear" w:color="auto" w:fill="auto"/>
                  <w:vAlign w:val="center"/>
                </w:tcPr>
                <w:p w14:paraId="4338FC6A">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1</w:t>
                  </w:r>
                </w:p>
              </w:tc>
              <w:tc>
                <w:tcPr>
                  <w:tcW w:w="1205" w:type="pct"/>
                  <w:gridSpan w:val="2"/>
                  <w:shd w:val="clear" w:color="auto" w:fill="auto"/>
                  <w:vAlign w:val="center"/>
                </w:tcPr>
                <w:p w14:paraId="50D11540">
                  <w:pPr>
                    <w:contextualSpacing/>
                    <w:jc w:val="center"/>
                    <w:rPr>
                      <w:rFonts w:eastAsiaTheme="minorEastAsia"/>
                      <w:color w:val="auto"/>
                      <w:szCs w:val="21"/>
                    </w:rPr>
                  </w:pPr>
                  <w:r>
                    <w:rPr>
                      <w:rFonts w:eastAsiaTheme="minorEastAsia"/>
                      <w:color w:val="auto"/>
                      <w:szCs w:val="21"/>
                    </w:rPr>
                    <w:t>搅拌</w:t>
                  </w:r>
                  <w:r>
                    <w:rPr>
                      <w:rFonts w:hint="eastAsia" w:eastAsiaTheme="minorEastAsia"/>
                      <w:color w:val="auto"/>
                      <w:szCs w:val="21"/>
                    </w:rPr>
                    <w:t>器</w:t>
                  </w:r>
                </w:p>
              </w:tc>
              <w:tc>
                <w:tcPr>
                  <w:tcW w:w="1224" w:type="pct"/>
                  <w:shd w:val="clear" w:color="auto" w:fill="auto"/>
                  <w:vAlign w:val="center"/>
                </w:tcPr>
                <w:p w14:paraId="33F22271">
                  <w:pPr>
                    <w:contextualSpacing/>
                    <w:jc w:val="center"/>
                    <w:rPr>
                      <w:rFonts w:eastAsiaTheme="minorEastAsia"/>
                      <w:color w:val="auto"/>
                      <w:szCs w:val="21"/>
                    </w:rPr>
                  </w:pPr>
                  <w:r>
                    <w:rPr>
                      <w:rFonts w:hint="eastAsia" w:eastAsiaTheme="minorEastAsia"/>
                      <w:color w:val="auto"/>
                      <w:szCs w:val="21"/>
                    </w:rPr>
                    <w:t>/</w:t>
                  </w:r>
                </w:p>
              </w:tc>
              <w:tc>
                <w:tcPr>
                  <w:tcW w:w="1071" w:type="pct"/>
                  <w:gridSpan w:val="2"/>
                  <w:shd w:val="clear" w:color="auto" w:fill="auto"/>
                  <w:vAlign w:val="center"/>
                </w:tcPr>
                <w:p w14:paraId="0DB6859D">
                  <w:pPr>
                    <w:contextualSpacing/>
                    <w:jc w:val="center"/>
                    <w:rPr>
                      <w:rFonts w:eastAsiaTheme="minorEastAsia"/>
                      <w:color w:val="auto"/>
                      <w:szCs w:val="21"/>
                    </w:rPr>
                  </w:pPr>
                  <w:r>
                    <w:rPr>
                      <w:rFonts w:eastAsiaTheme="minorEastAsia"/>
                      <w:color w:val="auto"/>
                      <w:szCs w:val="21"/>
                    </w:rPr>
                    <w:t>1</w:t>
                  </w:r>
                </w:p>
              </w:tc>
              <w:tc>
                <w:tcPr>
                  <w:tcW w:w="937" w:type="pct"/>
                  <w:gridSpan w:val="2"/>
                  <w:shd w:val="clear" w:color="auto" w:fill="auto"/>
                  <w:vAlign w:val="center"/>
                </w:tcPr>
                <w:p w14:paraId="6A1F9E87">
                  <w:pPr>
                    <w:contextualSpacing/>
                    <w:jc w:val="center"/>
                    <w:rPr>
                      <w:rFonts w:eastAsiaTheme="minorEastAsia"/>
                      <w:color w:val="auto"/>
                      <w:szCs w:val="21"/>
                    </w:rPr>
                  </w:pPr>
                  <w:r>
                    <w:rPr>
                      <w:rFonts w:eastAsiaTheme="minorEastAsia"/>
                      <w:color w:val="auto"/>
                      <w:szCs w:val="21"/>
                    </w:rPr>
                    <w:t>台</w:t>
                  </w:r>
                </w:p>
              </w:tc>
            </w:tr>
            <w:tr w14:paraId="16C27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9" w:type="pct"/>
                  <w:gridSpan w:val="2"/>
                  <w:shd w:val="clear" w:color="auto" w:fill="auto"/>
                  <w:vAlign w:val="center"/>
                </w:tcPr>
                <w:p w14:paraId="0B92EF45">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2</w:t>
                  </w:r>
                </w:p>
              </w:tc>
              <w:tc>
                <w:tcPr>
                  <w:tcW w:w="1205" w:type="pct"/>
                  <w:gridSpan w:val="2"/>
                  <w:shd w:val="clear" w:color="auto" w:fill="auto"/>
                  <w:vAlign w:val="center"/>
                </w:tcPr>
                <w:p w14:paraId="2B5DADCD">
                  <w:pPr>
                    <w:contextualSpacing/>
                    <w:jc w:val="center"/>
                    <w:rPr>
                      <w:rFonts w:eastAsiaTheme="minorEastAsia"/>
                      <w:color w:val="auto"/>
                      <w:szCs w:val="21"/>
                    </w:rPr>
                  </w:pPr>
                  <w:r>
                    <w:rPr>
                      <w:rFonts w:eastAsiaTheme="minorEastAsia"/>
                      <w:color w:val="auto"/>
                      <w:szCs w:val="21"/>
                    </w:rPr>
                    <w:t>干燥筒</w:t>
                  </w:r>
                </w:p>
              </w:tc>
              <w:tc>
                <w:tcPr>
                  <w:tcW w:w="1224" w:type="pct"/>
                  <w:shd w:val="clear" w:color="auto" w:fill="auto"/>
                  <w:vAlign w:val="center"/>
                </w:tcPr>
                <w:p w14:paraId="39042BFE">
                  <w:pPr>
                    <w:contextualSpacing/>
                    <w:jc w:val="center"/>
                    <w:rPr>
                      <w:rFonts w:eastAsiaTheme="minorEastAsia"/>
                      <w:color w:val="auto"/>
                      <w:szCs w:val="21"/>
                    </w:rPr>
                  </w:pPr>
                  <w:r>
                    <w:rPr>
                      <w:rFonts w:eastAsiaTheme="minorEastAsia"/>
                      <w:color w:val="auto"/>
                      <w:szCs w:val="21"/>
                    </w:rPr>
                    <w:t>/</w:t>
                  </w:r>
                </w:p>
              </w:tc>
              <w:tc>
                <w:tcPr>
                  <w:tcW w:w="1071" w:type="pct"/>
                  <w:gridSpan w:val="2"/>
                  <w:shd w:val="clear" w:color="auto" w:fill="auto"/>
                  <w:vAlign w:val="center"/>
                </w:tcPr>
                <w:p w14:paraId="03D60C58">
                  <w:pPr>
                    <w:contextualSpacing/>
                    <w:jc w:val="center"/>
                    <w:rPr>
                      <w:rFonts w:eastAsiaTheme="minorEastAsia"/>
                      <w:color w:val="auto"/>
                      <w:szCs w:val="21"/>
                    </w:rPr>
                  </w:pPr>
                  <w:r>
                    <w:rPr>
                      <w:rFonts w:eastAsiaTheme="minorEastAsia"/>
                      <w:color w:val="auto"/>
                      <w:szCs w:val="21"/>
                    </w:rPr>
                    <w:t>1</w:t>
                  </w:r>
                </w:p>
              </w:tc>
              <w:tc>
                <w:tcPr>
                  <w:tcW w:w="937" w:type="pct"/>
                  <w:gridSpan w:val="2"/>
                  <w:shd w:val="clear" w:color="auto" w:fill="auto"/>
                  <w:vAlign w:val="center"/>
                </w:tcPr>
                <w:p w14:paraId="33EB852F">
                  <w:pPr>
                    <w:contextualSpacing/>
                    <w:jc w:val="center"/>
                    <w:rPr>
                      <w:rFonts w:eastAsiaTheme="minorEastAsia"/>
                      <w:color w:val="auto"/>
                      <w:szCs w:val="21"/>
                    </w:rPr>
                  </w:pPr>
                  <w:r>
                    <w:rPr>
                      <w:rFonts w:eastAsiaTheme="minorEastAsia"/>
                      <w:color w:val="auto"/>
                      <w:szCs w:val="21"/>
                    </w:rPr>
                    <w:t>台</w:t>
                  </w:r>
                </w:p>
              </w:tc>
            </w:tr>
            <w:tr w14:paraId="64056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9" w:type="pct"/>
                  <w:gridSpan w:val="2"/>
                  <w:shd w:val="clear" w:color="auto" w:fill="auto"/>
                  <w:vAlign w:val="center"/>
                </w:tcPr>
                <w:p w14:paraId="22B61053">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3</w:t>
                  </w:r>
                </w:p>
              </w:tc>
              <w:tc>
                <w:tcPr>
                  <w:tcW w:w="1205" w:type="pct"/>
                  <w:gridSpan w:val="2"/>
                  <w:shd w:val="clear" w:color="auto" w:fill="auto"/>
                  <w:vAlign w:val="center"/>
                </w:tcPr>
                <w:p w14:paraId="6D6325AE">
                  <w:pPr>
                    <w:contextualSpacing/>
                    <w:jc w:val="center"/>
                    <w:rPr>
                      <w:rFonts w:eastAsiaTheme="minorEastAsia"/>
                      <w:color w:val="auto"/>
                      <w:szCs w:val="21"/>
                    </w:rPr>
                  </w:pPr>
                  <w:r>
                    <w:rPr>
                      <w:rFonts w:eastAsiaTheme="minorEastAsia"/>
                      <w:color w:val="auto"/>
                      <w:szCs w:val="21"/>
                    </w:rPr>
                    <w:t>燃烧器</w:t>
                  </w:r>
                </w:p>
              </w:tc>
              <w:tc>
                <w:tcPr>
                  <w:tcW w:w="1224" w:type="pct"/>
                  <w:shd w:val="clear" w:color="auto" w:fill="auto"/>
                  <w:vAlign w:val="center"/>
                </w:tcPr>
                <w:p w14:paraId="59C2B85B">
                  <w:pPr>
                    <w:contextualSpacing/>
                    <w:jc w:val="center"/>
                    <w:rPr>
                      <w:rFonts w:eastAsiaTheme="minorEastAsia"/>
                      <w:color w:val="auto"/>
                      <w:szCs w:val="21"/>
                    </w:rPr>
                  </w:pPr>
                  <w:r>
                    <w:rPr>
                      <w:rFonts w:hint="eastAsia" w:eastAsiaTheme="minorEastAsia"/>
                      <w:color w:val="auto"/>
                      <w:szCs w:val="21"/>
                      <w:highlight w:val="none"/>
                    </w:rPr>
                    <w:t>28MW</w:t>
                  </w:r>
                </w:p>
              </w:tc>
              <w:tc>
                <w:tcPr>
                  <w:tcW w:w="1071" w:type="pct"/>
                  <w:gridSpan w:val="2"/>
                  <w:shd w:val="clear" w:color="auto" w:fill="auto"/>
                  <w:vAlign w:val="center"/>
                </w:tcPr>
                <w:p w14:paraId="40BBC2E3">
                  <w:pPr>
                    <w:contextualSpacing/>
                    <w:jc w:val="center"/>
                    <w:rPr>
                      <w:rFonts w:eastAsiaTheme="minorEastAsia"/>
                      <w:color w:val="auto"/>
                      <w:szCs w:val="21"/>
                    </w:rPr>
                  </w:pPr>
                  <w:r>
                    <w:rPr>
                      <w:rFonts w:eastAsiaTheme="minorEastAsia"/>
                      <w:color w:val="auto"/>
                      <w:szCs w:val="21"/>
                    </w:rPr>
                    <w:t>1</w:t>
                  </w:r>
                </w:p>
              </w:tc>
              <w:tc>
                <w:tcPr>
                  <w:tcW w:w="937" w:type="pct"/>
                  <w:gridSpan w:val="2"/>
                  <w:shd w:val="clear" w:color="auto" w:fill="auto"/>
                  <w:vAlign w:val="center"/>
                </w:tcPr>
                <w:p w14:paraId="28FCBC51">
                  <w:pPr>
                    <w:contextualSpacing/>
                    <w:jc w:val="center"/>
                    <w:rPr>
                      <w:rFonts w:eastAsiaTheme="minorEastAsia"/>
                      <w:color w:val="auto"/>
                      <w:szCs w:val="21"/>
                    </w:rPr>
                  </w:pPr>
                  <w:r>
                    <w:rPr>
                      <w:rFonts w:eastAsiaTheme="minorEastAsia"/>
                      <w:color w:val="auto"/>
                      <w:szCs w:val="21"/>
                    </w:rPr>
                    <w:t>台</w:t>
                  </w:r>
                </w:p>
              </w:tc>
            </w:tr>
            <w:tr w14:paraId="61914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9" w:type="pct"/>
                  <w:gridSpan w:val="2"/>
                  <w:shd w:val="clear" w:color="auto" w:fill="auto"/>
                  <w:vAlign w:val="center"/>
                </w:tcPr>
                <w:p w14:paraId="068B6699">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4</w:t>
                  </w:r>
                </w:p>
              </w:tc>
              <w:tc>
                <w:tcPr>
                  <w:tcW w:w="1205" w:type="pct"/>
                  <w:gridSpan w:val="2"/>
                  <w:shd w:val="clear" w:color="auto" w:fill="auto"/>
                  <w:vAlign w:val="center"/>
                </w:tcPr>
                <w:p w14:paraId="531847AF">
                  <w:pPr>
                    <w:contextualSpacing/>
                    <w:jc w:val="center"/>
                    <w:rPr>
                      <w:rFonts w:eastAsiaTheme="minorEastAsia"/>
                      <w:color w:val="auto"/>
                      <w:szCs w:val="21"/>
                    </w:rPr>
                  </w:pPr>
                  <w:r>
                    <w:rPr>
                      <w:rFonts w:eastAsiaTheme="minorEastAsia"/>
                      <w:color w:val="auto"/>
                      <w:szCs w:val="21"/>
                    </w:rPr>
                    <w:t>振动筛</w:t>
                  </w:r>
                </w:p>
              </w:tc>
              <w:tc>
                <w:tcPr>
                  <w:tcW w:w="1224" w:type="pct"/>
                  <w:shd w:val="clear" w:color="auto" w:fill="auto"/>
                  <w:vAlign w:val="center"/>
                </w:tcPr>
                <w:p w14:paraId="1F3D3C83">
                  <w:pPr>
                    <w:contextualSpacing/>
                    <w:jc w:val="center"/>
                    <w:rPr>
                      <w:rFonts w:eastAsiaTheme="minorEastAsia"/>
                      <w:color w:val="auto"/>
                      <w:szCs w:val="21"/>
                    </w:rPr>
                  </w:pPr>
                  <w:r>
                    <w:rPr>
                      <w:rFonts w:eastAsiaTheme="minorEastAsia"/>
                      <w:color w:val="auto"/>
                      <w:szCs w:val="21"/>
                    </w:rPr>
                    <w:t>/</w:t>
                  </w:r>
                </w:p>
              </w:tc>
              <w:tc>
                <w:tcPr>
                  <w:tcW w:w="1071" w:type="pct"/>
                  <w:gridSpan w:val="2"/>
                  <w:shd w:val="clear" w:color="auto" w:fill="auto"/>
                  <w:vAlign w:val="center"/>
                </w:tcPr>
                <w:p w14:paraId="44460479">
                  <w:pPr>
                    <w:contextualSpacing/>
                    <w:jc w:val="center"/>
                    <w:rPr>
                      <w:rFonts w:eastAsiaTheme="minorEastAsia"/>
                      <w:color w:val="auto"/>
                      <w:szCs w:val="21"/>
                    </w:rPr>
                  </w:pPr>
                  <w:r>
                    <w:rPr>
                      <w:rFonts w:eastAsiaTheme="minorEastAsia"/>
                      <w:color w:val="auto"/>
                      <w:szCs w:val="21"/>
                    </w:rPr>
                    <w:t>1</w:t>
                  </w:r>
                </w:p>
              </w:tc>
              <w:tc>
                <w:tcPr>
                  <w:tcW w:w="937" w:type="pct"/>
                  <w:gridSpan w:val="2"/>
                  <w:shd w:val="clear" w:color="auto" w:fill="auto"/>
                  <w:vAlign w:val="center"/>
                </w:tcPr>
                <w:p w14:paraId="1451C723">
                  <w:pPr>
                    <w:contextualSpacing/>
                    <w:jc w:val="center"/>
                    <w:rPr>
                      <w:rFonts w:eastAsiaTheme="minorEastAsia"/>
                      <w:color w:val="auto"/>
                      <w:szCs w:val="21"/>
                    </w:rPr>
                  </w:pPr>
                  <w:r>
                    <w:rPr>
                      <w:rFonts w:eastAsiaTheme="minorEastAsia"/>
                      <w:color w:val="auto"/>
                      <w:szCs w:val="21"/>
                    </w:rPr>
                    <w:t>台</w:t>
                  </w:r>
                </w:p>
              </w:tc>
            </w:tr>
            <w:tr w14:paraId="506A1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0FCEB617">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5</w:t>
                  </w:r>
                </w:p>
              </w:tc>
              <w:tc>
                <w:tcPr>
                  <w:tcW w:w="1200" w:type="pct"/>
                  <w:gridSpan w:val="2"/>
                  <w:shd w:val="clear" w:color="auto" w:fill="auto"/>
                  <w:vAlign w:val="center"/>
                </w:tcPr>
                <w:p w14:paraId="24F9C440">
                  <w:pPr>
                    <w:contextualSpacing/>
                    <w:jc w:val="center"/>
                    <w:rPr>
                      <w:rFonts w:eastAsiaTheme="minorEastAsia"/>
                      <w:color w:val="auto"/>
                      <w:szCs w:val="21"/>
                    </w:rPr>
                  </w:pPr>
                  <w:r>
                    <w:rPr>
                      <w:rFonts w:eastAsiaTheme="minorEastAsia"/>
                      <w:color w:val="auto"/>
                      <w:szCs w:val="21"/>
                    </w:rPr>
                    <w:t>骨料计量称</w:t>
                  </w:r>
                </w:p>
              </w:tc>
              <w:tc>
                <w:tcPr>
                  <w:tcW w:w="1250" w:type="pct"/>
                  <w:gridSpan w:val="3"/>
                  <w:shd w:val="clear" w:color="auto" w:fill="auto"/>
                  <w:vAlign w:val="center"/>
                </w:tcPr>
                <w:p w14:paraId="7A6438A7">
                  <w:pPr>
                    <w:contextualSpacing/>
                    <w:jc w:val="center"/>
                    <w:rPr>
                      <w:rFonts w:eastAsiaTheme="minorEastAsia"/>
                      <w:color w:val="auto"/>
                      <w:szCs w:val="21"/>
                    </w:rPr>
                  </w:pPr>
                  <w:r>
                    <w:rPr>
                      <w:rFonts w:eastAsiaTheme="minorEastAsia"/>
                      <w:color w:val="auto"/>
                      <w:szCs w:val="21"/>
                    </w:rPr>
                    <w:t>/</w:t>
                  </w:r>
                </w:p>
              </w:tc>
              <w:tc>
                <w:tcPr>
                  <w:tcW w:w="1065" w:type="pct"/>
                  <w:gridSpan w:val="2"/>
                  <w:shd w:val="clear" w:color="auto" w:fill="auto"/>
                  <w:vAlign w:val="center"/>
                </w:tcPr>
                <w:p w14:paraId="363D5B93">
                  <w:pPr>
                    <w:contextualSpacing/>
                    <w:jc w:val="center"/>
                    <w:rPr>
                      <w:rFonts w:eastAsiaTheme="minorEastAsia"/>
                      <w:color w:val="auto"/>
                      <w:szCs w:val="21"/>
                    </w:rPr>
                  </w:pPr>
                  <w:r>
                    <w:rPr>
                      <w:rFonts w:eastAsiaTheme="minorEastAsia"/>
                      <w:color w:val="auto"/>
                      <w:szCs w:val="21"/>
                    </w:rPr>
                    <w:t>1</w:t>
                  </w:r>
                </w:p>
              </w:tc>
              <w:tc>
                <w:tcPr>
                  <w:tcW w:w="931" w:type="pct"/>
                  <w:shd w:val="clear" w:color="auto" w:fill="auto"/>
                  <w:vAlign w:val="center"/>
                </w:tcPr>
                <w:p w14:paraId="3155BB78">
                  <w:pPr>
                    <w:contextualSpacing/>
                    <w:jc w:val="center"/>
                    <w:rPr>
                      <w:rFonts w:eastAsiaTheme="minorEastAsia"/>
                      <w:color w:val="auto"/>
                      <w:szCs w:val="21"/>
                    </w:rPr>
                  </w:pPr>
                  <w:r>
                    <w:rPr>
                      <w:rFonts w:eastAsiaTheme="minorEastAsia"/>
                      <w:color w:val="auto"/>
                      <w:szCs w:val="21"/>
                    </w:rPr>
                    <w:t>台</w:t>
                  </w:r>
                </w:p>
              </w:tc>
            </w:tr>
            <w:tr w14:paraId="19972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52" w:type="pct"/>
                  <w:shd w:val="clear" w:color="auto" w:fill="auto"/>
                  <w:vAlign w:val="center"/>
                </w:tcPr>
                <w:p w14:paraId="0CA6A8BD">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6</w:t>
                  </w:r>
                </w:p>
              </w:tc>
              <w:tc>
                <w:tcPr>
                  <w:tcW w:w="1200" w:type="pct"/>
                  <w:gridSpan w:val="2"/>
                  <w:shd w:val="clear" w:color="auto" w:fill="auto"/>
                  <w:vAlign w:val="center"/>
                </w:tcPr>
                <w:p w14:paraId="1A05C26A">
                  <w:pPr>
                    <w:contextualSpacing/>
                    <w:jc w:val="center"/>
                    <w:rPr>
                      <w:rFonts w:eastAsiaTheme="minorEastAsia"/>
                      <w:color w:val="auto"/>
                      <w:szCs w:val="21"/>
                    </w:rPr>
                  </w:pPr>
                  <w:r>
                    <w:rPr>
                      <w:rFonts w:eastAsiaTheme="minorEastAsia"/>
                      <w:color w:val="auto"/>
                      <w:szCs w:val="21"/>
                    </w:rPr>
                    <w:t>矿粉筒仓</w:t>
                  </w:r>
                </w:p>
              </w:tc>
              <w:tc>
                <w:tcPr>
                  <w:tcW w:w="1250" w:type="pct"/>
                  <w:gridSpan w:val="3"/>
                  <w:shd w:val="clear" w:color="auto" w:fill="auto"/>
                  <w:vAlign w:val="center"/>
                </w:tcPr>
                <w:p w14:paraId="47DF0695">
                  <w:pPr>
                    <w:contextualSpacing/>
                    <w:jc w:val="center"/>
                    <w:rPr>
                      <w:rFonts w:eastAsiaTheme="minorEastAsia"/>
                      <w:color w:val="auto"/>
                      <w:szCs w:val="21"/>
                    </w:rPr>
                  </w:pPr>
                  <w:r>
                    <w:rPr>
                      <w:rFonts w:hint="eastAsia" w:eastAsiaTheme="minorEastAsia"/>
                      <w:color w:val="auto"/>
                      <w:szCs w:val="21"/>
                    </w:rPr>
                    <w:t>70</w:t>
                  </w:r>
                  <w:r>
                    <w:rPr>
                      <w:rFonts w:eastAsiaTheme="minorEastAsia"/>
                      <w:color w:val="auto"/>
                      <w:szCs w:val="21"/>
                    </w:rPr>
                    <w:t>t</w:t>
                  </w:r>
                </w:p>
              </w:tc>
              <w:tc>
                <w:tcPr>
                  <w:tcW w:w="1065" w:type="pct"/>
                  <w:gridSpan w:val="2"/>
                  <w:shd w:val="clear" w:color="auto" w:fill="auto"/>
                  <w:vAlign w:val="center"/>
                </w:tcPr>
                <w:p w14:paraId="63AE4D59">
                  <w:pPr>
                    <w:contextualSpacing/>
                    <w:jc w:val="center"/>
                    <w:rPr>
                      <w:rFonts w:eastAsiaTheme="minorEastAsia"/>
                      <w:color w:val="auto"/>
                      <w:szCs w:val="21"/>
                    </w:rPr>
                  </w:pPr>
                  <w:r>
                    <w:rPr>
                      <w:rFonts w:eastAsiaTheme="minorEastAsia"/>
                      <w:color w:val="auto"/>
                      <w:szCs w:val="21"/>
                    </w:rPr>
                    <w:t>1</w:t>
                  </w:r>
                </w:p>
              </w:tc>
              <w:tc>
                <w:tcPr>
                  <w:tcW w:w="931" w:type="pct"/>
                  <w:shd w:val="clear" w:color="auto" w:fill="auto"/>
                  <w:vAlign w:val="center"/>
                </w:tcPr>
                <w:p w14:paraId="4B285AB4">
                  <w:pPr>
                    <w:contextualSpacing/>
                    <w:jc w:val="center"/>
                    <w:rPr>
                      <w:rFonts w:eastAsiaTheme="minorEastAsia"/>
                      <w:color w:val="auto"/>
                      <w:szCs w:val="21"/>
                    </w:rPr>
                  </w:pPr>
                  <w:r>
                    <w:rPr>
                      <w:rFonts w:eastAsiaTheme="minorEastAsia"/>
                      <w:color w:val="auto"/>
                      <w:szCs w:val="21"/>
                    </w:rPr>
                    <w:t>个</w:t>
                  </w:r>
                </w:p>
              </w:tc>
            </w:tr>
            <w:tr w14:paraId="0C26C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5DAFE4E5">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7</w:t>
                  </w:r>
                </w:p>
              </w:tc>
              <w:tc>
                <w:tcPr>
                  <w:tcW w:w="1200" w:type="pct"/>
                  <w:gridSpan w:val="2"/>
                  <w:shd w:val="clear" w:color="auto" w:fill="auto"/>
                  <w:vAlign w:val="center"/>
                </w:tcPr>
                <w:p w14:paraId="23C18F96">
                  <w:pPr>
                    <w:contextualSpacing/>
                    <w:jc w:val="center"/>
                    <w:rPr>
                      <w:rFonts w:eastAsiaTheme="minorEastAsia"/>
                      <w:color w:val="auto"/>
                      <w:szCs w:val="21"/>
                    </w:rPr>
                  </w:pPr>
                  <w:r>
                    <w:rPr>
                      <w:rFonts w:eastAsiaTheme="minorEastAsia"/>
                      <w:color w:val="auto"/>
                      <w:szCs w:val="21"/>
                    </w:rPr>
                    <w:t>导热油炉</w:t>
                  </w:r>
                </w:p>
              </w:tc>
              <w:tc>
                <w:tcPr>
                  <w:tcW w:w="1250" w:type="pct"/>
                  <w:gridSpan w:val="3"/>
                  <w:shd w:val="clear" w:color="auto" w:fill="auto"/>
                  <w:vAlign w:val="center"/>
                </w:tcPr>
                <w:p w14:paraId="213AD653">
                  <w:pPr>
                    <w:contextualSpacing/>
                    <w:jc w:val="center"/>
                    <w:rPr>
                      <w:rFonts w:eastAsiaTheme="minorEastAsia"/>
                      <w:color w:val="auto"/>
                      <w:szCs w:val="21"/>
                    </w:rPr>
                  </w:pPr>
                  <w:r>
                    <w:rPr>
                      <w:rFonts w:hint="eastAsia" w:ascii="Times New Roman" w:hAnsi="Times New Roman" w:cs="Times New Roman" w:eastAsiaTheme="minorEastAsia"/>
                      <w:color w:val="auto"/>
                      <w:szCs w:val="21"/>
                      <w:lang w:val="en-US" w:eastAsia="zh-CN"/>
                    </w:rPr>
                    <w:t>1.5</w:t>
                  </w:r>
                  <w:r>
                    <w:rPr>
                      <w:rFonts w:hint="eastAsia" w:ascii="Times New Roman" w:hAnsi="Times New Roman" w:cs="Times New Roman" w:eastAsiaTheme="minorEastAsia"/>
                      <w:color w:val="auto"/>
                      <w:szCs w:val="21"/>
                    </w:rPr>
                    <w:t>t/h</w:t>
                  </w:r>
                </w:p>
              </w:tc>
              <w:tc>
                <w:tcPr>
                  <w:tcW w:w="1065" w:type="pct"/>
                  <w:gridSpan w:val="2"/>
                  <w:shd w:val="clear" w:color="auto" w:fill="auto"/>
                  <w:vAlign w:val="center"/>
                </w:tcPr>
                <w:p w14:paraId="0DAAC82C">
                  <w:pPr>
                    <w:contextualSpacing/>
                    <w:jc w:val="center"/>
                    <w:rPr>
                      <w:rFonts w:eastAsiaTheme="minorEastAsia"/>
                      <w:color w:val="auto"/>
                      <w:szCs w:val="21"/>
                    </w:rPr>
                  </w:pPr>
                  <w:r>
                    <w:rPr>
                      <w:rFonts w:eastAsiaTheme="minorEastAsia"/>
                      <w:color w:val="auto"/>
                      <w:szCs w:val="21"/>
                    </w:rPr>
                    <w:t>1</w:t>
                  </w:r>
                </w:p>
              </w:tc>
              <w:tc>
                <w:tcPr>
                  <w:tcW w:w="931" w:type="pct"/>
                  <w:shd w:val="clear" w:color="auto" w:fill="auto"/>
                  <w:vAlign w:val="center"/>
                </w:tcPr>
                <w:p w14:paraId="5047BBE5">
                  <w:pPr>
                    <w:contextualSpacing/>
                    <w:jc w:val="center"/>
                    <w:rPr>
                      <w:rFonts w:eastAsiaTheme="minorEastAsia"/>
                      <w:color w:val="auto"/>
                      <w:szCs w:val="21"/>
                    </w:rPr>
                  </w:pPr>
                  <w:r>
                    <w:rPr>
                      <w:rFonts w:eastAsiaTheme="minorEastAsia"/>
                      <w:color w:val="auto"/>
                      <w:szCs w:val="21"/>
                    </w:rPr>
                    <w:t>台</w:t>
                  </w:r>
                </w:p>
              </w:tc>
            </w:tr>
            <w:tr w14:paraId="5239F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2BD70230">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8</w:t>
                  </w:r>
                </w:p>
              </w:tc>
              <w:tc>
                <w:tcPr>
                  <w:tcW w:w="1200" w:type="pct"/>
                  <w:gridSpan w:val="2"/>
                  <w:shd w:val="clear" w:color="auto" w:fill="auto"/>
                  <w:vAlign w:val="center"/>
                </w:tcPr>
                <w:p w14:paraId="7EE6EF38">
                  <w:pPr>
                    <w:contextualSpacing/>
                    <w:jc w:val="center"/>
                    <w:rPr>
                      <w:rFonts w:eastAsiaTheme="minorEastAsia"/>
                      <w:color w:val="auto"/>
                      <w:szCs w:val="21"/>
                    </w:rPr>
                  </w:pPr>
                  <w:r>
                    <w:rPr>
                      <w:rFonts w:eastAsiaTheme="minorEastAsia"/>
                      <w:color w:val="auto"/>
                      <w:szCs w:val="21"/>
                    </w:rPr>
                    <w:t>沥青罐</w:t>
                  </w:r>
                </w:p>
              </w:tc>
              <w:tc>
                <w:tcPr>
                  <w:tcW w:w="1250" w:type="pct"/>
                  <w:gridSpan w:val="3"/>
                  <w:shd w:val="clear" w:color="auto" w:fill="auto"/>
                  <w:vAlign w:val="center"/>
                </w:tcPr>
                <w:p w14:paraId="75823AE0">
                  <w:pPr>
                    <w:contextualSpacing/>
                    <w:jc w:val="center"/>
                    <w:rPr>
                      <w:rFonts w:eastAsiaTheme="minorEastAsia"/>
                      <w:color w:val="auto"/>
                      <w:szCs w:val="21"/>
                    </w:rPr>
                  </w:pPr>
                  <w:r>
                    <w:rPr>
                      <w:rFonts w:eastAsiaTheme="minorEastAsia"/>
                      <w:color w:val="auto"/>
                      <w:szCs w:val="21"/>
                    </w:rPr>
                    <w:t>50t</w:t>
                  </w:r>
                </w:p>
              </w:tc>
              <w:tc>
                <w:tcPr>
                  <w:tcW w:w="1065" w:type="pct"/>
                  <w:gridSpan w:val="2"/>
                  <w:shd w:val="clear" w:color="auto" w:fill="auto"/>
                  <w:vAlign w:val="center"/>
                </w:tcPr>
                <w:p w14:paraId="06CDB483">
                  <w:pPr>
                    <w:contextualSpacing/>
                    <w:jc w:val="center"/>
                    <w:rPr>
                      <w:rFonts w:hint="eastAsia" w:eastAsiaTheme="minorEastAsia"/>
                      <w:color w:val="auto"/>
                      <w:szCs w:val="21"/>
                      <w:lang w:eastAsia="zh-CN"/>
                    </w:rPr>
                  </w:pPr>
                  <w:r>
                    <w:rPr>
                      <w:rFonts w:hint="eastAsia" w:eastAsiaTheme="minorEastAsia"/>
                      <w:color w:val="auto"/>
                      <w:szCs w:val="21"/>
                      <w:lang w:val="en-US" w:eastAsia="zh-CN"/>
                    </w:rPr>
                    <w:t>6</w:t>
                  </w:r>
                </w:p>
              </w:tc>
              <w:tc>
                <w:tcPr>
                  <w:tcW w:w="931" w:type="pct"/>
                  <w:shd w:val="clear" w:color="auto" w:fill="auto"/>
                  <w:vAlign w:val="center"/>
                </w:tcPr>
                <w:p w14:paraId="21AF5B3A">
                  <w:pPr>
                    <w:contextualSpacing/>
                    <w:jc w:val="center"/>
                    <w:rPr>
                      <w:rFonts w:eastAsiaTheme="minorEastAsia"/>
                      <w:color w:val="auto"/>
                      <w:szCs w:val="21"/>
                    </w:rPr>
                  </w:pPr>
                  <w:r>
                    <w:rPr>
                      <w:rFonts w:eastAsiaTheme="minorEastAsia"/>
                      <w:color w:val="auto"/>
                      <w:szCs w:val="21"/>
                    </w:rPr>
                    <w:t>个</w:t>
                  </w:r>
                </w:p>
              </w:tc>
            </w:tr>
            <w:tr w14:paraId="49AA3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52" w:type="pct"/>
                  <w:shd w:val="clear" w:color="auto" w:fill="auto"/>
                  <w:vAlign w:val="center"/>
                </w:tcPr>
                <w:p w14:paraId="6EC2F7AF">
                  <w:pPr>
                    <w:pStyle w:val="59"/>
                    <w:spacing w:beforeLines="0" w:afterLines="0"/>
                    <w:ind w:firstLine="0" w:firstLineChars="0"/>
                    <w:contextualSpacing/>
                    <w:jc w:val="center"/>
                    <w:textAlignment w:val="baseline"/>
                    <w:rPr>
                      <w:rFonts w:eastAsiaTheme="minorEastAsia"/>
                      <w:color w:val="auto"/>
                      <w:sz w:val="21"/>
                      <w:szCs w:val="21"/>
                    </w:rPr>
                  </w:pPr>
                  <w:r>
                    <w:rPr>
                      <w:rFonts w:hint="eastAsia" w:eastAsiaTheme="minorEastAsia"/>
                      <w:color w:val="auto"/>
                      <w:sz w:val="21"/>
                      <w:szCs w:val="21"/>
                    </w:rPr>
                    <w:t>9</w:t>
                  </w:r>
                </w:p>
              </w:tc>
              <w:tc>
                <w:tcPr>
                  <w:tcW w:w="1200" w:type="pct"/>
                  <w:gridSpan w:val="2"/>
                  <w:shd w:val="clear" w:color="auto" w:fill="auto"/>
                  <w:vAlign w:val="center"/>
                </w:tcPr>
                <w:p w14:paraId="7B651891">
                  <w:pPr>
                    <w:contextualSpacing/>
                    <w:jc w:val="center"/>
                    <w:rPr>
                      <w:rFonts w:eastAsiaTheme="minorEastAsia"/>
                      <w:color w:val="auto"/>
                      <w:szCs w:val="21"/>
                    </w:rPr>
                  </w:pPr>
                  <w:r>
                    <w:rPr>
                      <w:rFonts w:eastAsiaTheme="minorEastAsia"/>
                      <w:color w:val="auto"/>
                      <w:szCs w:val="21"/>
                    </w:rPr>
                    <w:t>铲车</w:t>
                  </w:r>
                </w:p>
              </w:tc>
              <w:tc>
                <w:tcPr>
                  <w:tcW w:w="1250" w:type="pct"/>
                  <w:gridSpan w:val="3"/>
                  <w:shd w:val="clear" w:color="auto" w:fill="auto"/>
                  <w:vAlign w:val="center"/>
                </w:tcPr>
                <w:p w14:paraId="0FABFD0C">
                  <w:pPr>
                    <w:contextualSpacing/>
                    <w:jc w:val="center"/>
                    <w:rPr>
                      <w:rFonts w:eastAsiaTheme="minorEastAsia"/>
                      <w:color w:val="auto"/>
                      <w:szCs w:val="21"/>
                    </w:rPr>
                  </w:pPr>
                  <w:r>
                    <w:rPr>
                      <w:rFonts w:eastAsiaTheme="minorEastAsia"/>
                      <w:color w:val="auto"/>
                      <w:szCs w:val="21"/>
                    </w:rPr>
                    <w:t>/</w:t>
                  </w:r>
                </w:p>
              </w:tc>
              <w:tc>
                <w:tcPr>
                  <w:tcW w:w="1065" w:type="pct"/>
                  <w:gridSpan w:val="2"/>
                  <w:shd w:val="clear" w:color="auto" w:fill="auto"/>
                  <w:vAlign w:val="center"/>
                </w:tcPr>
                <w:p w14:paraId="4CF445A4">
                  <w:pPr>
                    <w:contextualSpacing/>
                    <w:jc w:val="center"/>
                    <w:rPr>
                      <w:rFonts w:eastAsiaTheme="minorEastAsia"/>
                      <w:color w:val="auto"/>
                      <w:szCs w:val="21"/>
                    </w:rPr>
                  </w:pPr>
                  <w:r>
                    <w:rPr>
                      <w:rFonts w:hint="eastAsia" w:eastAsiaTheme="minorEastAsia"/>
                      <w:color w:val="auto"/>
                      <w:szCs w:val="21"/>
                    </w:rPr>
                    <w:t>2</w:t>
                  </w:r>
                </w:p>
              </w:tc>
              <w:tc>
                <w:tcPr>
                  <w:tcW w:w="931" w:type="pct"/>
                  <w:shd w:val="clear" w:color="auto" w:fill="auto"/>
                  <w:vAlign w:val="center"/>
                </w:tcPr>
                <w:p w14:paraId="7E2DA950">
                  <w:pPr>
                    <w:contextualSpacing/>
                    <w:jc w:val="center"/>
                    <w:rPr>
                      <w:rFonts w:eastAsiaTheme="minorEastAsia"/>
                      <w:color w:val="auto"/>
                      <w:szCs w:val="21"/>
                    </w:rPr>
                  </w:pPr>
                  <w:r>
                    <w:rPr>
                      <w:rFonts w:eastAsiaTheme="minorEastAsia"/>
                      <w:color w:val="auto"/>
                      <w:szCs w:val="21"/>
                    </w:rPr>
                    <w:t>辆</w:t>
                  </w:r>
                </w:p>
              </w:tc>
            </w:tr>
            <w:tr w14:paraId="48B86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3192DCDC">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1</w:t>
                  </w:r>
                  <w:r>
                    <w:rPr>
                      <w:rFonts w:hint="eastAsia" w:eastAsiaTheme="minorEastAsia"/>
                      <w:color w:val="auto"/>
                      <w:sz w:val="21"/>
                      <w:szCs w:val="21"/>
                    </w:rPr>
                    <w:t>0</w:t>
                  </w:r>
                </w:p>
              </w:tc>
              <w:tc>
                <w:tcPr>
                  <w:tcW w:w="1200" w:type="pct"/>
                  <w:gridSpan w:val="2"/>
                  <w:shd w:val="clear" w:color="auto" w:fill="auto"/>
                  <w:vAlign w:val="center"/>
                </w:tcPr>
                <w:p w14:paraId="6DE4812F">
                  <w:pPr>
                    <w:contextualSpacing/>
                    <w:jc w:val="center"/>
                    <w:rPr>
                      <w:rFonts w:eastAsiaTheme="minorEastAsia"/>
                      <w:color w:val="auto"/>
                      <w:szCs w:val="21"/>
                    </w:rPr>
                  </w:pPr>
                  <w:r>
                    <w:rPr>
                      <w:rFonts w:eastAsiaTheme="minorEastAsia"/>
                      <w:color w:val="auto"/>
                      <w:szCs w:val="21"/>
                    </w:rPr>
                    <w:t>皮带</w:t>
                  </w:r>
                </w:p>
              </w:tc>
              <w:tc>
                <w:tcPr>
                  <w:tcW w:w="1250" w:type="pct"/>
                  <w:gridSpan w:val="3"/>
                  <w:shd w:val="clear" w:color="auto" w:fill="auto"/>
                  <w:vAlign w:val="center"/>
                </w:tcPr>
                <w:p w14:paraId="27DDB524">
                  <w:pPr>
                    <w:contextualSpacing/>
                    <w:jc w:val="center"/>
                    <w:rPr>
                      <w:rFonts w:eastAsiaTheme="minorEastAsia"/>
                      <w:color w:val="auto"/>
                      <w:szCs w:val="21"/>
                    </w:rPr>
                  </w:pPr>
                  <w:r>
                    <w:rPr>
                      <w:rFonts w:eastAsiaTheme="minorEastAsia"/>
                      <w:color w:val="auto"/>
                      <w:szCs w:val="21"/>
                    </w:rPr>
                    <w:t>/</w:t>
                  </w:r>
                </w:p>
              </w:tc>
              <w:tc>
                <w:tcPr>
                  <w:tcW w:w="1065" w:type="pct"/>
                  <w:gridSpan w:val="2"/>
                  <w:shd w:val="clear" w:color="auto" w:fill="auto"/>
                  <w:vAlign w:val="center"/>
                </w:tcPr>
                <w:p w14:paraId="70F57DE7">
                  <w:pPr>
                    <w:contextualSpacing/>
                    <w:jc w:val="center"/>
                    <w:rPr>
                      <w:rFonts w:eastAsiaTheme="minorEastAsia"/>
                      <w:color w:val="auto"/>
                      <w:szCs w:val="21"/>
                    </w:rPr>
                  </w:pPr>
                  <w:r>
                    <w:rPr>
                      <w:rFonts w:hint="eastAsia" w:eastAsiaTheme="minorEastAsia"/>
                      <w:color w:val="auto"/>
                      <w:szCs w:val="21"/>
                    </w:rPr>
                    <w:t>3</w:t>
                  </w:r>
                </w:p>
              </w:tc>
              <w:tc>
                <w:tcPr>
                  <w:tcW w:w="931" w:type="pct"/>
                  <w:shd w:val="clear" w:color="auto" w:fill="auto"/>
                  <w:vAlign w:val="center"/>
                </w:tcPr>
                <w:p w14:paraId="1B1A780E">
                  <w:pPr>
                    <w:contextualSpacing/>
                    <w:jc w:val="center"/>
                    <w:rPr>
                      <w:rFonts w:eastAsiaTheme="minorEastAsia"/>
                      <w:color w:val="auto"/>
                      <w:szCs w:val="21"/>
                    </w:rPr>
                  </w:pPr>
                  <w:r>
                    <w:rPr>
                      <w:rFonts w:eastAsiaTheme="minorEastAsia"/>
                      <w:color w:val="auto"/>
                      <w:szCs w:val="21"/>
                    </w:rPr>
                    <w:t>条</w:t>
                  </w:r>
                </w:p>
              </w:tc>
            </w:tr>
            <w:tr w14:paraId="13FEA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13CB1098">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1</w:t>
                  </w:r>
                  <w:r>
                    <w:rPr>
                      <w:rFonts w:hint="eastAsia" w:eastAsiaTheme="minorEastAsia"/>
                      <w:color w:val="auto"/>
                      <w:sz w:val="21"/>
                      <w:szCs w:val="21"/>
                    </w:rPr>
                    <w:t>1</w:t>
                  </w:r>
                </w:p>
              </w:tc>
              <w:tc>
                <w:tcPr>
                  <w:tcW w:w="1200" w:type="pct"/>
                  <w:gridSpan w:val="2"/>
                  <w:shd w:val="clear" w:color="auto" w:fill="auto"/>
                  <w:vAlign w:val="center"/>
                </w:tcPr>
                <w:p w14:paraId="51E74743">
                  <w:pPr>
                    <w:contextualSpacing/>
                    <w:jc w:val="center"/>
                    <w:rPr>
                      <w:rFonts w:eastAsiaTheme="minorEastAsia"/>
                      <w:color w:val="auto"/>
                      <w:szCs w:val="21"/>
                    </w:rPr>
                  </w:pPr>
                  <w:r>
                    <w:rPr>
                      <w:rFonts w:hint="eastAsia" w:eastAsiaTheme="minorEastAsia"/>
                      <w:color w:val="auto"/>
                      <w:szCs w:val="21"/>
                    </w:rPr>
                    <w:t>天然气罐</w:t>
                  </w:r>
                </w:p>
              </w:tc>
              <w:tc>
                <w:tcPr>
                  <w:tcW w:w="1250" w:type="pct"/>
                  <w:gridSpan w:val="3"/>
                  <w:shd w:val="clear" w:color="auto" w:fill="auto"/>
                  <w:vAlign w:val="center"/>
                </w:tcPr>
                <w:p w14:paraId="73140426">
                  <w:pPr>
                    <w:contextualSpacing/>
                    <w:jc w:val="center"/>
                    <w:rPr>
                      <w:rFonts w:eastAsiaTheme="minorEastAsia"/>
                      <w:color w:val="auto"/>
                      <w:szCs w:val="21"/>
                    </w:rPr>
                  </w:pPr>
                  <w:r>
                    <w:rPr>
                      <w:rFonts w:hint="eastAsia" w:eastAsiaTheme="minorEastAsia"/>
                      <w:color w:val="auto"/>
                      <w:szCs w:val="21"/>
                    </w:rPr>
                    <w:t>5</w:t>
                  </w:r>
                  <w:r>
                    <w:rPr>
                      <w:rFonts w:eastAsiaTheme="minorEastAsia"/>
                      <w:color w:val="auto"/>
                      <w:szCs w:val="21"/>
                    </w:rPr>
                    <w:t>t</w:t>
                  </w:r>
                </w:p>
              </w:tc>
              <w:tc>
                <w:tcPr>
                  <w:tcW w:w="1065" w:type="pct"/>
                  <w:gridSpan w:val="2"/>
                  <w:shd w:val="clear" w:color="auto" w:fill="auto"/>
                  <w:vAlign w:val="center"/>
                </w:tcPr>
                <w:p w14:paraId="2765BFF8">
                  <w:pPr>
                    <w:contextualSpacing/>
                    <w:jc w:val="center"/>
                    <w:rPr>
                      <w:rFonts w:eastAsiaTheme="minorEastAsia"/>
                      <w:color w:val="auto"/>
                      <w:szCs w:val="21"/>
                    </w:rPr>
                  </w:pPr>
                  <w:r>
                    <w:rPr>
                      <w:rFonts w:hint="eastAsia" w:eastAsiaTheme="minorEastAsia"/>
                      <w:color w:val="auto"/>
                      <w:szCs w:val="21"/>
                    </w:rPr>
                    <w:t>8</w:t>
                  </w:r>
                </w:p>
              </w:tc>
              <w:tc>
                <w:tcPr>
                  <w:tcW w:w="931" w:type="pct"/>
                  <w:shd w:val="clear" w:color="auto" w:fill="auto"/>
                  <w:vAlign w:val="center"/>
                </w:tcPr>
                <w:p w14:paraId="73D68EA8">
                  <w:pPr>
                    <w:contextualSpacing/>
                    <w:jc w:val="center"/>
                    <w:rPr>
                      <w:rFonts w:eastAsiaTheme="minorEastAsia"/>
                      <w:color w:val="auto"/>
                      <w:szCs w:val="21"/>
                    </w:rPr>
                  </w:pPr>
                  <w:r>
                    <w:rPr>
                      <w:rFonts w:eastAsiaTheme="minorEastAsia"/>
                      <w:color w:val="auto"/>
                      <w:szCs w:val="21"/>
                    </w:rPr>
                    <w:t>个</w:t>
                  </w:r>
                </w:p>
              </w:tc>
            </w:tr>
            <w:tr w14:paraId="5EDD5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292CF317">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1</w:t>
                  </w:r>
                  <w:r>
                    <w:rPr>
                      <w:rFonts w:hint="eastAsia" w:eastAsiaTheme="minorEastAsia"/>
                      <w:color w:val="auto"/>
                      <w:sz w:val="21"/>
                      <w:szCs w:val="21"/>
                    </w:rPr>
                    <w:t>3</w:t>
                  </w:r>
                </w:p>
              </w:tc>
              <w:tc>
                <w:tcPr>
                  <w:tcW w:w="1200" w:type="pct"/>
                  <w:gridSpan w:val="2"/>
                  <w:shd w:val="clear" w:color="auto" w:fill="auto"/>
                  <w:vAlign w:val="center"/>
                </w:tcPr>
                <w:p w14:paraId="59736730">
                  <w:pPr>
                    <w:contextualSpacing/>
                    <w:jc w:val="center"/>
                    <w:rPr>
                      <w:rFonts w:eastAsiaTheme="minorEastAsia"/>
                      <w:color w:val="auto"/>
                      <w:szCs w:val="21"/>
                    </w:rPr>
                  </w:pPr>
                  <w:r>
                    <w:rPr>
                      <w:rFonts w:eastAsiaTheme="minorEastAsia"/>
                      <w:color w:val="auto"/>
                      <w:szCs w:val="21"/>
                    </w:rPr>
                    <w:t>热料仓</w:t>
                  </w:r>
                </w:p>
              </w:tc>
              <w:tc>
                <w:tcPr>
                  <w:tcW w:w="1250" w:type="pct"/>
                  <w:gridSpan w:val="3"/>
                  <w:shd w:val="clear" w:color="auto" w:fill="auto"/>
                  <w:vAlign w:val="center"/>
                </w:tcPr>
                <w:p w14:paraId="738D124A">
                  <w:pPr>
                    <w:contextualSpacing/>
                    <w:jc w:val="center"/>
                    <w:rPr>
                      <w:rFonts w:eastAsiaTheme="minorEastAsia"/>
                      <w:color w:val="auto"/>
                      <w:szCs w:val="21"/>
                    </w:rPr>
                  </w:pPr>
                  <w:r>
                    <w:rPr>
                      <w:rFonts w:eastAsiaTheme="minorEastAsia"/>
                      <w:color w:val="auto"/>
                      <w:szCs w:val="21"/>
                    </w:rPr>
                    <w:t>X-LJ(X)4000</w:t>
                  </w:r>
                </w:p>
              </w:tc>
              <w:tc>
                <w:tcPr>
                  <w:tcW w:w="1065" w:type="pct"/>
                  <w:gridSpan w:val="2"/>
                  <w:shd w:val="clear" w:color="auto" w:fill="auto"/>
                  <w:vAlign w:val="center"/>
                </w:tcPr>
                <w:p w14:paraId="2DBCE22B">
                  <w:pPr>
                    <w:contextualSpacing/>
                    <w:jc w:val="center"/>
                    <w:rPr>
                      <w:rFonts w:eastAsiaTheme="minorEastAsia"/>
                      <w:color w:val="auto"/>
                      <w:szCs w:val="21"/>
                    </w:rPr>
                  </w:pPr>
                  <w:r>
                    <w:rPr>
                      <w:rFonts w:eastAsiaTheme="minorEastAsia"/>
                      <w:color w:val="auto"/>
                      <w:szCs w:val="21"/>
                    </w:rPr>
                    <w:t>6</w:t>
                  </w:r>
                </w:p>
              </w:tc>
              <w:tc>
                <w:tcPr>
                  <w:tcW w:w="931" w:type="pct"/>
                  <w:shd w:val="clear" w:color="auto" w:fill="auto"/>
                  <w:vAlign w:val="center"/>
                </w:tcPr>
                <w:p w14:paraId="6A703C77">
                  <w:pPr>
                    <w:contextualSpacing/>
                    <w:jc w:val="center"/>
                    <w:rPr>
                      <w:rFonts w:eastAsiaTheme="minorEastAsia"/>
                      <w:color w:val="auto"/>
                      <w:szCs w:val="21"/>
                    </w:rPr>
                  </w:pPr>
                  <w:r>
                    <w:rPr>
                      <w:rFonts w:eastAsiaTheme="minorEastAsia"/>
                      <w:color w:val="auto"/>
                      <w:szCs w:val="21"/>
                    </w:rPr>
                    <w:t>个</w:t>
                  </w:r>
                </w:p>
              </w:tc>
            </w:tr>
            <w:tr w14:paraId="6FC66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29E75E8D">
                  <w:pPr>
                    <w:pStyle w:val="59"/>
                    <w:spacing w:beforeLines="0" w:afterLines="0"/>
                    <w:ind w:firstLine="0" w:firstLineChars="0"/>
                    <w:contextualSpacing/>
                    <w:jc w:val="center"/>
                    <w:textAlignment w:val="baseline"/>
                    <w:rPr>
                      <w:rFonts w:eastAsiaTheme="minorEastAsia"/>
                      <w:color w:val="auto"/>
                      <w:sz w:val="21"/>
                      <w:szCs w:val="21"/>
                    </w:rPr>
                  </w:pPr>
                  <w:r>
                    <w:rPr>
                      <w:rFonts w:eastAsiaTheme="minorEastAsia"/>
                      <w:color w:val="auto"/>
                      <w:sz w:val="21"/>
                      <w:szCs w:val="21"/>
                    </w:rPr>
                    <w:t>1</w:t>
                  </w:r>
                  <w:r>
                    <w:rPr>
                      <w:rFonts w:hint="eastAsia" w:eastAsiaTheme="minorEastAsia"/>
                      <w:color w:val="auto"/>
                      <w:sz w:val="21"/>
                      <w:szCs w:val="21"/>
                    </w:rPr>
                    <w:t>4</w:t>
                  </w:r>
                </w:p>
              </w:tc>
              <w:tc>
                <w:tcPr>
                  <w:tcW w:w="1200" w:type="pct"/>
                  <w:gridSpan w:val="2"/>
                  <w:shd w:val="clear" w:color="auto" w:fill="auto"/>
                  <w:vAlign w:val="center"/>
                </w:tcPr>
                <w:p w14:paraId="09B0586F">
                  <w:pPr>
                    <w:contextualSpacing/>
                    <w:jc w:val="center"/>
                    <w:rPr>
                      <w:rFonts w:eastAsiaTheme="minorEastAsia"/>
                      <w:color w:val="auto"/>
                      <w:szCs w:val="21"/>
                    </w:rPr>
                  </w:pPr>
                  <w:r>
                    <w:rPr>
                      <w:rFonts w:eastAsiaTheme="minorEastAsia"/>
                      <w:color w:val="auto"/>
                      <w:szCs w:val="21"/>
                    </w:rPr>
                    <w:t>冷料仓</w:t>
                  </w:r>
                </w:p>
              </w:tc>
              <w:tc>
                <w:tcPr>
                  <w:tcW w:w="1250" w:type="pct"/>
                  <w:gridSpan w:val="3"/>
                  <w:shd w:val="clear" w:color="auto" w:fill="auto"/>
                  <w:vAlign w:val="center"/>
                </w:tcPr>
                <w:p w14:paraId="2391015B">
                  <w:pPr>
                    <w:contextualSpacing/>
                    <w:jc w:val="center"/>
                    <w:rPr>
                      <w:rFonts w:eastAsiaTheme="minorEastAsia"/>
                      <w:color w:val="auto"/>
                      <w:szCs w:val="21"/>
                    </w:rPr>
                  </w:pPr>
                  <w:r>
                    <w:rPr>
                      <w:rFonts w:eastAsiaTheme="minorEastAsia"/>
                      <w:color w:val="auto"/>
                      <w:szCs w:val="21"/>
                    </w:rPr>
                    <w:t>/</w:t>
                  </w:r>
                </w:p>
              </w:tc>
              <w:tc>
                <w:tcPr>
                  <w:tcW w:w="1065" w:type="pct"/>
                  <w:gridSpan w:val="2"/>
                  <w:shd w:val="clear" w:color="auto" w:fill="auto"/>
                  <w:vAlign w:val="center"/>
                </w:tcPr>
                <w:p w14:paraId="768FB69F">
                  <w:pPr>
                    <w:contextualSpacing/>
                    <w:jc w:val="center"/>
                    <w:rPr>
                      <w:rFonts w:eastAsiaTheme="minorEastAsia"/>
                      <w:color w:val="auto"/>
                      <w:szCs w:val="21"/>
                    </w:rPr>
                  </w:pPr>
                  <w:r>
                    <w:rPr>
                      <w:rFonts w:eastAsiaTheme="minorEastAsia"/>
                      <w:color w:val="auto"/>
                      <w:szCs w:val="21"/>
                    </w:rPr>
                    <w:t>6</w:t>
                  </w:r>
                </w:p>
              </w:tc>
              <w:tc>
                <w:tcPr>
                  <w:tcW w:w="931" w:type="pct"/>
                  <w:shd w:val="clear" w:color="auto" w:fill="auto"/>
                  <w:vAlign w:val="center"/>
                </w:tcPr>
                <w:p w14:paraId="23C37D07">
                  <w:pPr>
                    <w:contextualSpacing/>
                    <w:jc w:val="center"/>
                    <w:rPr>
                      <w:rFonts w:eastAsiaTheme="minorEastAsia"/>
                      <w:color w:val="auto"/>
                      <w:szCs w:val="21"/>
                    </w:rPr>
                  </w:pPr>
                  <w:r>
                    <w:rPr>
                      <w:rFonts w:eastAsiaTheme="minorEastAsia"/>
                      <w:color w:val="auto"/>
                      <w:szCs w:val="21"/>
                    </w:rPr>
                    <w:t>个</w:t>
                  </w:r>
                </w:p>
              </w:tc>
            </w:tr>
            <w:tr w14:paraId="44193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2" w:type="pct"/>
                  <w:shd w:val="clear" w:color="auto" w:fill="auto"/>
                  <w:vAlign w:val="center"/>
                </w:tcPr>
                <w:p w14:paraId="6E949C90">
                  <w:pPr>
                    <w:pStyle w:val="59"/>
                    <w:spacing w:beforeLines="0" w:afterLines="0"/>
                    <w:ind w:firstLine="0" w:firstLineChars="0"/>
                    <w:contextualSpacing/>
                    <w:jc w:val="center"/>
                    <w:textAlignment w:val="baseline"/>
                    <w:rPr>
                      <w:rFonts w:eastAsiaTheme="minorEastAsia"/>
                      <w:color w:val="auto"/>
                      <w:sz w:val="21"/>
                      <w:szCs w:val="21"/>
                    </w:rPr>
                  </w:pPr>
                  <w:r>
                    <w:rPr>
                      <w:rFonts w:hint="eastAsia" w:eastAsiaTheme="minorEastAsia"/>
                      <w:color w:val="auto"/>
                      <w:sz w:val="21"/>
                      <w:szCs w:val="21"/>
                    </w:rPr>
                    <w:t>15</w:t>
                  </w:r>
                </w:p>
              </w:tc>
              <w:tc>
                <w:tcPr>
                  <w:tcW w:w="1200" w:type="pct"/>
                  <w:gridSpan w:val="2"/>
                  <w:shd w:val="clear" w:color="auto" w:fill="auto"/>
                  <w:vAlign w:val="center"/>
                </w:tcPr>
                <w:p w14:paraId="3F936988">
                  <w:pPr>
                    <w:contextualSpacing/>
                    <w:jc w:val="center"/>
                    <w:rPr>
                      <w:rFonts w:eastAsiaTheme="minorEastAsia"/>
                      <w:color w:val="auto"/>
                      <w:szCs w:val="21"/>
                    </w:rPr>
                  </w:pPr>
                  <w:r>
                    <w:rPr>
                      <w:rFonts w:eastAsiaTheme="minorEastAsia"/>
                      <w:color w:val="auto"/>
                      <w:szCs w:val="21"/>
                    </w:rPr>
                    <w:t>风机</w:t>
                  </w:r>
                </w:p>
              </w:tc>
              <w:tc>
                <w:tcPr>
                  <w:tcW w:w="1250" w:type="pct"/>
                  <w:gridSpan w:val="3"/>
                  <w:shd w:val="clear" w:color="auto" w:fill="auto"/>
                  <w:vAlign w:val="center"/>
                </w:tcPr>
                <w:p w14:paraId="0BD38A96">
                  <w:pPr>
                    <w:contextualSpacing/>
                    <w:jc w:val="center"/>
                    <w:rPr>
                      <w:rFonts w:eastAsiaTheme="minorEastAsia"/>
                      <w:color w:val="auto"/>
                      <w:szCs w:val="21"/>
                    </w:rPr>
                  </w:pPr>
                  <w:r>
                    <w:rPr>
                      <w:rFonts w:eastAsiaTheme="minorEastAsia"/>
                      <w:color w:val="auto"/>
                      <w:szCs w:val="21"/>
                    </w:rPr>
                    <w:t>/</w:t>
                  </w:r>
                </w:p>
              </w:tc>
              <w:tc>
                <w:tcPr>
                  <w:tcW w:w="1065" w:type="pct"/>
                  <w:gridSpan w:val="2"/>
                  <w:shd w:val="clear" w:color="auto" w:fill="auto"/>
                  <w:vAlign w:val="center"/>
                </w:tcPr>
                <w:p w14:paraId="5B3F53AE">
                  <w:pPr>
                    <w:contextualSpacing/>
                    <w:jc w:val="center"/>
                    <w:rPr>
                      <w:rFonts w:eastAsiaTheme="minorEastAsia"/>
                      <w:color w:val="auto"/>
                      <w:szCs w:val="21"/>
                    </w:rPr>
                  </w:pPr>
                  <w:r>
                    <w:rPr>
                      <w:rFonts w:hint="eastAsia" w:eastAsiaTheme="minorEastAsia"/>
                      <w:color w:val="auto"/>
                      <w:szCs w:val="21"/>
                    </w:rPr>
                    <w:t>8</w:t>
                  </w:r>
                </w:p>
              </w:tc>
              <w:tc>
                <w:tcPr>
                  <w:tcW w:w="931" w:type="pct"/>
                  <w:shd w:val="clear" w:color="auto" w:fill="auto"/>
                  <w:vAlign w:val="center"/>
                </w:tcPr>
                <w:p w14:paraId="18FF4BAA">
                  <w:pPr>
                    <w:contextualSpacing/>
                    <w:jc w:val="center"/>
                    <w:rPr>
                      <w:rFonts w:eastAsiaTheme="minorEastAsia"/>
                      <w:color w:val="auto"/>
                      <w:szCs w:val="21"/>
                    </w:rPr>
                  </w:pPr>
                  <w:r>
                    <w:rPr>
                      <w:rFonts w:eastAsiaTheme="minorEastAsia"/>
                      <w:color w:val="auto"/>
                      <w:szCs w:val="21"/>
                    </w:rPr>
                    <w:t>个</w:t>
                  </w:r>
                </w:p>
              </w:tc>
            </w:tr>
          </w:tbl>
          <w:p w14:paraId="497C2AB2">
            <w:pPr>
              <w:spacing w:line="360" w:lineRule="auto"/>
              <w:ind w:firstLine="482" w:firstLineChars="200"/>
              <w:contextualSpacing/>
              <w:jc w:val="left"/>
              <w:rPr>
                <w:b/>
                <w:color w:val="auto"/>
                <w:kern w:val="0"/>
                <w:sz w:val="24"/>
              </w:rPr>
            </w:pPr>
            <w:r>
              <w:rPr>
                <w:b/>
                <w:color w:val="auto"/>
                <w:kern w:val="0"/>
                <w:sz w:val="24"/>
              </w:rPr>
              <w:t>3、主要原辅材料</w:t>
            </w:r>
          </w:p>
          <w:p w14:paraId="2D8A2627">
            <w:pPr>
              <w:widowControl/>
              <w:spacing w:line="360" w:lineRule="auto"/>
              <w:ind w:firstLine="480" w:firstLineChars="200"/>
              <w:rPr>
                <w:bCs/>
                <w:color w:val="auto"/>
                <w:kern w:val="0"/>
                <w:sz w:val="24"/>
              </w:rPr>
            </w:pPr>
            <w:r>
              <w:rPr>
                <w:bCs/>
                <w:color w:val="auto"/>
                <w:kern w:val="0"/>
                <w:sz w:val="24"/>
              </w:rPr>
              <w:t>本项目原辅材料见下表。</w:t>
            </w:r>
          </w:p>
          <w:p w14:paraId="662CCD33">
            <w:pPr>
              <w:widowControl/>
              <w:jc w:val="center"/>
              <w:rPr>
                <w:b/>
                <w:bCs/>
                <w:color w:val="auto"/>
                <w:kern w:val="0"/>
                <w:sz w:val="24"/>
              </w:rPr>
            </w:pPr>
            <w:r>
              <w:rPr>
                <w:b/>
                <w:bCs/>
                <w:color w:val="auto"/>
                <w:kern w:val="0"/>
                <w:sz w:val="24"/>
              </w:rPr>
              <w:t>表2-3主要原辅材料一览表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33"/>
              <w:gridCol w:w="1643"/>
              <w:gridCol w:w="2169"/>
              <w:gridCol w:w="1246"/>
            </w:tblGrid>
            <w:tr w14:paraId="3E25C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86" w:type="pct"/>
                </w:tcPr>
                <w:p w14:paraId="5EEE8CC3">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名称</w:t>
                  </w:r>
                </w:p>
              </w:tc>
              <w:tc>
                <w:tcPr>
                  <w:tcW w:w="979" w:type="pct"/>
                  <w:shd w:val="clear" w:color="auto" w:fill="auto"/>
                  <w:vAlign w:val="center"/>
                </w:tcPr>
                <w:p w14:paraId="30D9C671">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单位</w:t>
                  </w:r>
                </w:p>
              </w:tc>
              <w:tc>
                <w:tcPr>
                  <w:tcW w:w="1292" w:type="pct"/>
                  <w:shd w:val="clear" w:color="auto" w:fill="auto"/>
                  <w:vAlign w:val="center"/>
                </w:tcPr>
                <w:p w14:paraId="5B92548F">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用量</w:t>
                  </w:r>
                </w:p>
              </w:tc>
              <w:tc>
                <w:tcPr>
                  <w:tcW w:w="742" w:type="pct"/>
                  <w:shd w:val="clear" w:color="auto" w:fill="auto"/>
                  <w:vAlign w:val="center"/>
                </w:tcPr>
                <w:p w14:paraId="32A585D5">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备注</w:t>
                  </w:r>
                </w:p>
              </w:tc>
            </w:tr>
            <w:tr w14:paraId="4D8B2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86" w:type="pct"/>
                  <w:vAlign w:val="center"/>
                </w:tcPr>
                <w:p w14:paraId="55BD4C68">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碎石</w:t>
                  </w:r>
                </w:p>
              </w:tc>
              <w:tc>
                <w:tcPr>
                  <w:tcW w:w="979" w:type="pct"/>
                  <w:shd w:val="clear" w:color="auto" w:fill="auto"/>
                  <w:vAlign w:val="center"/>
                </w:tcPr>
                <w:p w14:paraId="0C2BC736">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t/a</w:t>
                  </w:r>
                </w:p>
              </w:tc>
              <w:tc>
                <w:tcPr>
                  <w:tcW w:w="2172" w:type="dxa"/>
                  <w:shd w:val="clear" w:color="auto" w:fill="auto"/>
                  <w:vAlign w:val="center"/>
                </w:tcPr>
                <w:p w14:paraId="7352CE79">
                  <w:pPr>
                    <w:keepNext w:val="0"/>
                    <w:keepLines w:val="0"/>
                    <w:widowControl/>
                    <w:suppressLineNumbers w:val="0"/>
                    <w:jc w:val="center"/>
                    <w:textAlignment w:val="center"/>
                    <w:rPr>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205000</w:t>
                  </w:r>
                </w:p>
              </w:tc>
              <w:tc>
                <w:tcPr>
                  <w:tcW w:w="742" w:type="pct"/>
                  <w:shd w:val="clear" w:color="auto" w:fill="auto"/>
                  <w:vAlign w:val="center"/>
                </w:tcPr>
                <w:p w14:paraId="0FB19300">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r w14:paraId="1A616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986" w:type="pct"/>
                </w:tcPr>
                <w:p w14:paraId="39707C17">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矿粉</w:t>
                  </w:r>
                </w:p>
              </w:tc>
              <w:tc>
                <w:tcPr>
                  <w:tcW w:w="979" w:type="pct"/>
                  <w:shd w:val="clear" w:color="auto" w:fill="auto"/>
                  <w:vAlign w:val="center"/>
                </w:tcPr>
                <w:p w14:paraId="1DC10D17">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t/a</w:t>
                  </w:r>
                </w:p>
              </w:tc>
              <w:tc>
                <w:tcPr>
                  <w:tcW w:w="2172" w:type="dxa"/>
                  <w:shd w:val="clear" w:color="auto" w:fill="auto"/>
                  <w:vAlign w:val="center"/>
                </w:tcPr>
                <w:p w14:paraId="798F0356">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5000</w:t>
                  </w:r>
                </w:p>
              </w:tc>
              <w:tc>
                <w:tcPr>
                  <w:tcW w:w="742" w:type="pct"/>
                  <w:shd w:val="clear" w:color="auto" w:fill="auto"/>
                  <w:vAlign w:val="center"/>
                </w:tcPr>
                <w:p w14:paraId="1F8E9E6C">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r w14:paraId="17C1D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986" w:type="pct"/>
                </w:tcPr>
                <w:p w14:paraId="603241BE">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沥青</w:t>
                  </w:r>
                </w:p>
              </w:tc>
              <w:tc>
                <w:tcPr>
                  <w:tcW w:w="979" w:type="pct"/>
                  <w:shd w:val="clear" w:color="auto" w:fill="auto"/>
                  <w:vAlign w:val="center"/>
                </w:tcPr>
                <w:p w14:paraId="68D78778">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t/a</w:t>
                  </w:r>
                </w:p>
              </w:tc>
              <w:tc>
                <w:tcPr>
                  <w:tcW w:w="2172" w:type="dxa"/>
                  <w:shd w:val="clear" w:color="auto" w:fill="auto"/>
                  <w:vAlign w:val="center"/>
                </w:tcPr>
                <w:p w14:paraId="236CAAE9">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13</w:t>
                  </w:r>
                  <w:r>
                    <w:rPr>
                      <w:rFonts w:hint="eastAsia" w:cs="Times New Roman"/>
                      <w:i w:val="0"/>
                      <w:iCs w:val="0"/>
                      <w:color w:val="auto"/>
                      <w:kern w:val="0"/>
                      <w:sz w:val="21"/>
                      <w:szCs w:val="21"/>
                      <w:u w:val="none"/>
                      <w:lang w:val="en-US" w:eastAsia="zh-CN" w:bidi="ar"/>
                    </w:rPr>
                    <w:t>000</w:t>
                  </w:r>
                </w:p>
              </w:tc>
              <w:tc>
                <w:tcPr>
                  <w:tcW w:w="742" w:type="pct"/>
                  <w:shd w:val="clear" w:color="auto" w:fill="auto"/>
                  <w:vAlign w:val="center"/>
                </w:tcPr>
                <w:p w14:paraId="5AAFB5F2">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r w14:paraId="28BDC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986" w:type="pct"/>
                </w:tcPr>
                <w:p w14:paraId="3BF6679A">
                  <w:pPr>
                    <w:pStyle w:val="59"/>
                    <w:spacing w:beforeLines="0" w:afterLines="0" w:line="0" w:lineRule="atLeast"/>
                    <w:ind w:firstLine="0" w:firstLineChars="0"/>
                    <w:jc w:val="center"/>
                    <w:textAlignment w:val="baseline"/>
                    <w:rPr>
                      <w:rFonts w:hint="eastAsia" w:eastAsiaTheme="minorEastAsia"/>
                      <w:color w:val="auto"/>
                      <w:sz w:val="21"/>
                      <w:szCs w:val="21"/>
                      <w:lang w:val="en-US" w:eastAsia="zh-CN"/>
                    </w:rPr>
                  </w:pPr>
                  <w:r>
                    <w:rPr>
                      <w:rFonts w:hint="eastAsia" w:eastAsiaTheme="minorEastAsia"/>
                      <w:color w:val="auto"/>
                      <w:sz w:val="21"/>
                      <w:szCs w:val="21"/>
                      <w:lang w:val="en-US" w:eastAsia="zh-CN"/>
                    </w:rPr>
                    <w:t>机制砂</w:t>
                  </w:r>
                </w:p>
              </w:tc>
              <w:tc>
                <w:tcPr>
                  <w:tcW w:w="979" w:type="pct"/>
                  <w:shd w:val="clear" w:color="auto" w:fill="auto"/>
                  <w:vAlign w:val="center"/>
                </w:tcPr>
                <w:p w14:paraId="4FCBDC56">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t/a</w:t>
                  </w:r>
                </w:p>
              </w:tc>
              <w:tc>
                <w:tcPr>
                  <w:tcW w:w="2172" w:type="dxa"/>
                  <w:shd w:val="clear" w:color="auto" w:fill="auto"/>
                  <w:vAlign w:val="center"/>
                </w:tcPr>
                <w:p w14:paraId="503B420B">
                  <w:pPr>
                    <w:keepNext w:val="0"/>
                    <w:keepLines w:val="0"/>
                    <w:widowControl/>
                    <w:suppressLineNumbers w:val="0"/>
                    <w:jc w:val="center"/>
                    <w:textAlignment w:val="center"/>
                    <w:rPr>
                      <w:rFonts w:hint="default"/>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r>
                    <w:rPr>
                      <w:rFonts w:hint="eastAsia" w:cs="Times New Roman"/>
                      <w:i w:val="0"/>
                      <w:iCs w:val="0"/>
                      <w:color w:val="auto"/>
                      <w:kern w:val="0"/>
                      <w:sz w:val="21"/>
                      <w:szCs w:val="21"/>
                      <w:u w:val="none"/>
                      <w:lang w:val="en-US" w:eastAsia="zh-CN" w:bidi="ar"/>
                    </w:rPr>
                    <w:t>00</w:t>
                  </w:r>
                  <w:r>
                    <w:rPr>
                      <w:rFonts w:hint="default" w:ascii="Times New Roman" w:hAnsi="Times New Roman" w:eastAsia="宋体" w:cs="Times New Roman"/>
                      <w:i w:val="0"/>
                      <w:iCs w:val="0"/>
                      <w:color w:val="auto"/>
                      <w:kern w:val="0"/>
                      <w:sz w:val="21"/>
                      <w:szCs w:val="21"/>
                      <w:u w:val="none"/>
                      <w:lang w:val="en-US" w:eastAsia="zh-CN" w:bidi="ar"/>
                    </w:rPr>
                    <w:t>0</w:t>
                  </w:r>
                </w:p>
              </w:tc>
              <w:tc>
                <w:tcPr>
                  <w:tcW w:w="742" w:type="pct"/>
                  <w:shd w:val="clear" w:color="auto" w:fill="auto"/>
                  <w:vAlign w:val="center"/>
                </w:tcPr>
                <w:p w14:paraId="29F707C3">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r w14:paraId="0592E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pct"/>
                </w:tcPr>
                <w:p w14:paraId="0EE4F2A3">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导热油</w:t>
                  </w:r>
                </w:p>
              </w:tc>
              <w:tc>
                <w:tcPr>
                  <w:tcW w:w="979" w:type="pct"/>
                  <w:shd w:val="clear" w:color="auto" w:fill="auto"/>
                  <w:vAlign w:val="center"/>
                </w:tcPr>
                <w:p w14:paraId="407A0CB3">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t/</w:t>
                  </w:r>
                  <w:r>
                    <w:rPr>
                      <w:rFonts w:hint="eastAsia" w:eastAsiaTheme="minorEastAsia"/>
                      <w:color w:val="auto"/>
                      <w:sz w:val="21"/>
                      <w:szCs w:val="21"/>
                    </w:rPr>
                    <w:t>3</w:t>
                  </w:r>
                  <w:r>
                    <w:rPr>
                      <w:rFonts w:eastAsiaTheme="minorEastAsia"/>
                      <w:color w:val="auto"/>
                      <w:sz w:val="21"/>
                      <w:szCs w:val="21"/>
                    </w:rPr>
                    <w:t>a</w:t>
                  </w:r>
                </w:p>
              </w:tc>
              <w:tc>
                <w:tcPr>
                  <w:tcW w:w="1292" w:type="pct"/>
                  <w:shd w:val="clear" w:color="auto" w:fill="auto"/>
                  <w:vAlign w:val="center"/>
                </w:tcPr>
                <w:p w14:paraId="10E2870D">
                  <w:pPr>
                    <w:adjustRightInd w:val="0"/>
                    <w:snapToGrid w:val="0"/>
                    <w:jc w:val="center"/>
                    <w:rPr>
                      <w:rFonts w:eastAsiaTheme="minorEastAsia"/>
                      <w:color w:val="auto"/>
                      <w:szCs w:val="21"/>
                    </w:rPr>
                  </w:pPr>
                  <w:r>
                    <w:rPr>
                      <w:rFonts w:hint="eastAsia" w:eastAsiaTheme="minorEastAsia"/>
                      <w:color w:val="auto"/>
                      <w:szCs w:val="21"/>
                    </w:rPr>
                    <w:t>3</w:t>
                  </w:r>
                </w:p>
              </w:tc>
              <w:tc>
                <w:tcPr>
                  <w:tcW w:w="742" w:type="pct"/>
                  <w:shd w:val="clear" w:color="auto" w:fill="auto"/>
                  <w:vAlign w:val="center"/>
                </w:tcPr>
                <w:p w14:paraId="7B093BD5">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r w14:paraId="6DC9E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986" w:type="pct"/>
                </w:tcPr>
                <w:p w14:paraId="4E434D38">
                  <w:pPr>
                    <w:pStyle w:val="59"/>
                    <w:spacing w:beforeLines="0" w:afterLines="0" w:line="0" w:lineRule="atLeast"/>
                    <w:ind w:firstLine="0" w:firstLineChars="0"/>
                    <w:jc w:val="center"/>
                    <w:textAlignment w:val="baseline"/>
                    <w:rPr>
                      <w:rFonts w:eastAsiaTheme="minorEastAsia"/>
                      <w:color w:val="auto"/>
                      <w:sz w:val="21"/>
                      <w:szCs w:val="21"/>
                      <w:highlight w:val="none"/>
                    </w:rPr>
                  </w:pPr>
                  <w:r>
                    <w:rPr>
                      <w:rFonts w:hint="eastAsia" w:eastAsiaTheme="minorEastAsia"/>
                      <w:color w:val="auto"/>
                      <w:sz w:val="21"/>
                      <w:szCs w:val="21"/>
                      <w:highlight w:val="none"/>
                    </w:rPr>
                    <w:t>天然气</w:t>
                  </w:r>
                </w:p>
              </w:tc>
              <w:tc>
                <w:tcPr>
                  <w:tcW w:w="979" w:type="pct"/>
                  <w:shd w:val="clear" w:color="auto" w:fill="auto"/>
                  <w:vAlign w:val="center"/>
                </w:tcPr>
                <w:p w14:paraId="47A79C06">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万m³/a</w:t>
                  </w:r>
                </w:p>
              </w:tc>
              <w:tc>
                <w:tcPr>
                  <w:tcW w:w="1292" w:type="pct"/>
                  <w:shd w:val="clear" w:color="auto" w:fill="auto"/>
                  <w:vAlign w:val="center"/>
                </w:tcPr>
                <w:p w14:paraId="52D08963">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364.05</w:t>
                  </w:r>
                </w:p>
              </w:tc>
              <w:tc>
                <w:tcPr>
                  <w:tcW w:w="742" w:type="pct"/>
                  <w:shd w:val="clear" w:color="auto" w:fill="auto"/>
                  <w:vAlign w:val="center"/>
                </w:tcPr>
                <w:p w14:paraId="4C519152">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r w14:paraId="01F54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986" w:type="pct"/>
                </w:tcPr>
                <w:p w14:paraId="2F28CD9B">
                  <w:pPr>
                    <w:pStyle w:val="59"/>
                    <w:spacing w:beforeLines="0" w:afterLines="0" w:line="0" w:lineRule="atLeast"/>
                    <w:ind w:firstLine="0" w:firstLineChars="0"/>
                    <w:jc w:val="center"/>
                    <w:textAlignment w:val="baseline"/>
                    <w:rPr>
                      <w:rFonts w:eastAsiaTheme="minorEastAsia"/>
                      <w:color w:val="auto"/>
                      <w:sz w:val="21"/>
                      <w:szCs w:val="21"/>
                      <w:highlight w:val="none"/>
                    </w:rPr>
                  </w:pPr>
                  <w:r>
                    <w:rPr>
                      <w:rFonts w:hint="eastAsia" w:eastAsiaTheme="minorEastAsia"/>
                      <w:color w:val="auto"/>
                      <w:sz w:val="21"/>
                      <w:szCs w:val="21"/>
                      <w:highlight w:val="none"/>
                    </w:rPr>
                    <w:t>高</w:t>
                  </w:r>
                  <w:r>
                    <w:rPr>
                      <w:rFonts w:eastAsiaTheme="minorEastAsia"/>
                      <w:color w:val="auto"/>
                      <w:sz w:val="21"/>
                      <w:szCs w:val="21"/>
                      <w:highlight w:val="none"/>
                    </w:rPr>
                    <w:t>碘值碳</w:t>
                  </w:r>
                </w:p>
              </w:tc>
              <w:tc>
                <w:tcPr>
                  <w:tcW w:w="979" w:type="pct"/>
                  <w:shd w:val="clear" w:color="auto" w:fill="auto"/>
                  <w:vAlign w:val="center"/>
                </w:tcPr>
                <w:p w14:paraId="3FEAA3C8">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t/a</w:t>
                  </w:r>
                </w:p>
              </w:tc>
              <w:tc>
                <w:tcPr>
                  <w:tcW w:w="1292" w:type="pct"/>
                  <w:shd w:val="clear" w:color="auto" w:fill="auto"/>
                  <w:vAlign w:val="center"/>
                </w:tcPr>
                <w:p w14:paraId="35615DE1">
                  <w:pPr>
                    <w:adjustRightInd w:val="0"/>
                    <w:snapToGrid w:val="0"/>
                    <w:jc w:val="center"/>
                    <w:rPr>
                      <w:rFonts w:eastAsiaTheme="minorEastAsia"/>
                      <w:color w:val="auto"/>
                      <w:szCs w:val="21"/>
                    </w:rPr>
                  </w:pPr>
                  <w:r>
                    <w:rPr>
                      <w:rFonts w:hint="eastAsia" w:eastAsiaTheme="minorEastAsia"/>
                      <w:color w:val="auto"/>
                      <w:szCs w:val="21"/>
                    </w:rPr>
                    <w:t>3.6</w:t>
                  </w:r>
                </w:p>
              </w:tc>
              <w:tc>
                <w:tcPr>
                  <w:tcW w:w="742" w:type="pct"/>
                  <w:shd w:val="clear" w:color="auto" w:fill="auto"/>
                  <w:vAlign w:val="center"/>
                </w:tcPr>
                <w:p w14:paraId="3B2222D3">
                  <w:pPr>
                    <w:pStyle w:val="59"/>
                    <w:spacing w:beforeLines="0" w:afterLines="0" w:line="0" w:lineRule="atLeast"/>
                    <w:ind w:firstLine="0" w:firstLineChars="0"/>
                    <w:jc w:val="center"/>
                    <w:textAlignment w:val="baseline"/>
                    <w:rPr>
                      <w:rFonts w:eastAsiaTheme="minorEastAsia"/>
                      <w:color w:val="auto"/>
                      <w:sz w:val="21"/>
                      <w:szCs w:val="21"/>
                    </w:rPr>
                  </w:pPr>
                  <w:r>
                    <w:rPr>
                      <w:rFonts w:eastAsiaTheme="minorEastAsia"/>
                      <w:color w:val="auto"/>
                      <w:sz w:val="21"/>
                      <w:szCs w:val="21"/>
                    </w:rPr>
                    <w:t>外购</w:t>
                  </w:r>
                </w:p>
              </w:tc>
            </w:tr>
          </w:tbl>
          <w:p w14:paraId="21902195">
            <w:pPr>
              <w:pStyle w:val="59"/>
              <w:spacing w:beforeLines="0" w:afterLines="0" w:line="360" w:lineRule="auto"/>
              <w:ind w:firstLine="482"/>
              <w:contextualSpacing/>
              <w:rPr>
                <w:rFonts w:eastAsiaTheme="minorEastAsia"/>
                <w:color w:val="auto"/>
              </w:rPr>
            </w:pPr>
            <w:r>
              <w:rPr>
                <w:rFonts w:eastAsiaTheme="minorEastAsia"/>
                <w:b/>
                <w:bCs/>
                <w:color w:val="auto"/>
              </w:rPr>
              <w:t>主要物料理化性质：</w:t>
            </w:r>
          </w:p>
          <w:p w14:paraId="288D6211">
            <w:pPr>
              <w:pStyle w:val="59"/>
              <w:spacing w:beforeLines="0" w:afterLines="0" w:line="360" w:lineRule="auto"/>
              <w:ind w:firstLine="480"/>
              <w:contextualSpacing/>
              <w:rPr>
                <w:rFonts w:eastAsiaTheme="minorEastAsia"/>
                <w:color w:val="auto"/>
              </w:rPr>
            </w:pPr>
            <w:r>
              <w:rPr>
                <w:rFonts w:eastAsiaTheme="minorEastAsia"/>
                <w:bCs/>
                <w:color w:val="auto"/>
              </w:rPr>
              <w:fldChar w:fldCharType="begin"/>
            </w:r>
            <w:r>
              <w:rPr>
                <w:rFonts w:eastAsiaTheme="minorEastAsia"/>
                <w:bCs/>
                <w:color w:val="auto"/>
              </w:rPr>
              <w:instrText xml:space="preserve"> = 1 \* GB3 </w:instrText>
            </w:r>
            <w:r>
              <w:rPr>
                <w:rFonts w:eastAsiaTheme="minorEastAsia"/>
                <w:bCs/>
                <w:color w:val="auto"/>
              </w:rPr>
              <w:fldChar w:fldCharType="separate"/>
            </w:r>
            <w:r>
              <w:rPr>
                <w:rFonts w:eastAsiaTheme="minorEastAsia"/>
                <w:bCs/>
                <w:color w:val="auto"/>
              </w:rPr>
              <w:t>①</w:t>
            </w:r>
            <w:r>
              <w:rPr>
                <w:rFonts w:eastAsiaTheme="minorEastAsia"/>
                <w:bCs/>
                <w:color w:val="auto"/>
              </w:rPr>
              <w:fldChar w:fldCharType="end"/>
            </w:r>
            <w:r>
              <w:rPr>
                <w:rFonts w:eastAsiaTheme="minorEastAsia"/>
                <w:color w:val="auto"/>
              </w:rPr>
              <w:t>沥青：石油沥青是原油蒸馏后的残渣，是复杂的碳氢化合物与其非金属衍生物组成的混合物。根据提炼程度的不同，在常温下成液体、半固体或固体。石油沥青色黑而有光泽，具有较高的感温性。由于它在生产过程中曾经蒸馏至400℃以上，因而所含挥发成分甚少，但仍可能有高分子的碳氢化合物未经挥发出来。沥青常见的为深棕色至黑色有光泽的无定形固体，密度1.15～1.25g/cm</w:t>
            </w:r>
            <w:r>
              <w:rPr>
                <w:rFonts w:eastAsiaTheme="minorEastAsia"/>
                <w:color w:val="auto"/>
                <w:vertAlign w:val="superscript"/>
              </w:rPr>
              <w:t>3</w:t>
            </w:r>
            <w:r>
              <w:rPr>
                <w:rFonts w:eastAsiaTheme="minorEastAsia"/>
                <w:color w:val="auto"/>
              </w:rPr>
              <w:t>，温度足够低时呈脆性，断面平整，几乎全部由多核（三环以上）芳香族化合物组成。沥青有毒，不溶于水，黏结性、抗水性和防腐性良好，可按其软化点、针入度、延度等规定其标号。软化点中等的称作中（温）沥7青，其软化点为65℃。电极沥青软化点为110～115℃。石油沥青的组分主要为油分、树脂、地沥青质。地沥青质是决定石油沥青温度敏感性和黏性的重要组分。沥青中地沥青质含量在10%～30%之间，其含量愈多，则软化点愈高，黏性越大，也愈硬脆。石油沥青中还含2%～3%的沥青碳和似碳物（黑色固体粉末），是石油沥青中分子量最大的，它会降低石油沥青的粘结力。</w:t>
            </w:r>
          </w:p>
          <w:p w14:paraId="2649F837">
            <w:pPr>
              <w:pStyle w:val="59"/>
              <w:spacing w:beforeLines="0" w:afterLines="0" w:line="360" w:lineRule="auto"/>
              <w:ind w:firstLine="480"/>
              <w:contextualSpacing/>
              <w:rPr>
                <w:rFonts w:eastAsiaTheme="minorEastAsia"/>
                <w:color w:val="auto"/>
              </w:rPr>
            </w:pPr>
            <w:r>
              <w:rPr>
                <w:rFonts w:eastAsiaTheme="minorEastAsia"/>
                <w:color w:val="auto"/>
              </w:rPr>
              <w:fldChar w:fldCharType="begin"/>
            </w:r>
            <w:r>
              <w:rPr>
                <w:rFonts w:eastAsiaTheme="minorEastAsia"/>
                <w:color w:val="auto"/>
              </w:rPr>
              <w:instrText xml:space="preserve"> = 2 \* GB3 </w:instrText>
            </w:r>
            <w:r>
              <w:rPr>
                <w:rFonts w:eastAsiaTheme="minorEastAsia"/>
                <w:color w:val="auto"/>
              </w:rPr>
              <w:fldChar w:fldCharType="separate"/>
            </w:r>
            <w:r>
              <w:rPr>
                <w:rFonts w:eastAsiaTheme="minorEastAsia"/>
                <w:color w:val="auto"/>
              </w:rPr>
              <w:t>②</w:t>
            </w:r>
            <w:r>
              <w:rPr>
                <w:rFonts w:eastAsiaTheme="minorEastAsia"/>
                <w:color w:val="auto"/>
              </w:rPr>
              <w:fldChar w:fldCharType="end"/>
            </w:r>
            <w:r>
              <w:rPr>
                <w:rFonts w:eastAsiaTheme="minorEastAsia"/>
                <w:color w:val="auto"/>
              </w:rPr>
              <w:t>导热油：导热油又称传热油，正规名称为热载体油，英文名称为Heat transfer oil，所以也称热导油，热媒油等。以精制矿物油为基础油，加导热油添加剂配制而成。导热油添加剂由多种耐高温抗氧剂、阻焦剂、清净分散剂、防锈剂等多功能添加剂调配而成。导热油硫含量≤0.2%，氯含量≤0.01%，闪点为216℃，无毒。</w:t>
            </w:r>
          </w:p>
          <w:p w14:paraId="24E667F3">
            <w:pPr>
              <w:spacing w:line="360" w:lineRule="auto"/>
              <w:ind w:firstLine="480" w:firstLineChars="200"/>
              <w:rPr>
                <w:rFonts w:hAnsiTheme="minorEastAsia" w:eastAsiaTheme="minorEastAsia"/>
                <w:color w:val="auto"/>
                <w:sz w:val="24"/>
              </w:rPr>
            </w:pPr>
            <w:r>
              <w:rPr>
                <w:rFonts w:hint="eastAsia" w:ascii="宋体" w:hAnsi="宋体" w:eastAsiaTheme="minorEastAsia"/>
                <w:color w:val="auto"/>
                <w:sz w:val="24"/>
                <w:lang w:val="en-US" w:eastAsia="zh-CN"/>
              </w:rPr>
              <w:t>③</w:t>
            </w:r>
            <w:r>
              <w:rPr>
                <w:rFonts w:eastAsiaTheme="minorEastAsia"/>
                <w:color w:val="auto"/>
                <w:sz w:val="24"/>
              </w:rPr>
              <w:t>矿粉：</w:t>
            </w:r>
            <w:r>
              <w:rPr>
                <w:rFonts w:hAnsiTheme="minorEastAsia" w:eastAsiaTheme="minorEastAsia"/>
                <w:color w:val="auto"/>
                <w:sz w:val="24"/>
              </w:rPr>
              <w:t>是符合工程要求的石粉及其代用品的统称</w:t>
            </w:r>
            <w:r>
              <w:rPr>
                <w:rFonts w:hint="eastAsia" w:hAnsiTheme="minorEastAsia" w:eastAsiaTheme="minorEastAsia"/>
                <w:color w:val="auto"/>
                <w:sz w:val="24"/>
              </w:rPr>
              <w:t>，是矿石粉碎加工后的产物，主要成分为碳酸钙、二氧化硅等无机质</w:t>
            </w:r>
            <w:r>
              <w:rPr>
                <w:rFonts w:hAnsiTheme="minorEastAsia" w:eastAsiaTheme="minorEastAsia"/>
                <w:color w:val="auto"/>
                <w:sz w:val="24"/>
              </w:rPr>
              <w:t>。本项目矿粉均为外购。</w:t>
            </w:r>
          </w:p>
          <w:p w14:paraId="771434CC">
            <w:pPr>
              <w:spacing w:line="360" w:lineRule="auto"/>
              <w:ind w:firstLine="482" w:firstLineChars="200"/>
              <w:contextualSpacing/>
              <w:jc w:val="left"/>
              <w:rPr>
                <w:b/>
                <w:color w:val="auto"/>
                <w:kern w:val="0"/>
                <w:sz w:val="24"/>
              </w:rPr>
            </w:pPr>
            <w:r>
              <w:rPr>
                <w:b/>
                <w:color w:val="auto"/>
                <w:kern w:val="0"/>
                <w:sz w:val="24"/>
              </w:rPr>
              <w:t>4、产品方案</w:t>
            </w:r>
          </w:p>
          <w:p w14:paraId="1297AE1B">
            <w:pPr>
              <w:spacing w:line="360" w:lineRule="auto"/>
              <w:ind w:firstLine="480" w:firstLineChars="200"/>
              <w:contextualSpacing/>
              <w:jc w:val="left"/>
              <w:rPr>
                <w:bCs/>
                <w:color w:val="auto"/>
                <w:kern w:val="0"/>
                <w:sz w:val="24"/>
              </w:rPr>
            </w:pPr>
            <w:r>
              <w:rPr>
                <w:bCs/>
                <w:color w:val="auto"/>
                <w:kern w:val="0"/>
                <w:sz w:val="24"/>
              </w:rPr>
              <w:t>本项目产品方案见下表。</w:t>
            </w:r>
          </w:p>
          <w:p w14:paraId="5FB55BBD">
            <w:pPr>
              <w:widowControl/>
              <w:shd w:val="clear" w:color="auto" w:fill="FFFFFF"/>
              <w:contextualSpacing/>
              <w:jc w:val="center"/>
              <w:rPr>
                <w:b/>
                <w:bCs/>
                <w:color w:val="auto"/>
                <w:kern w:val="0"/>
                <w:sz w:val="24"/>
              </w:rPr>
            </w:pPr>
          </w:p>
          <w:p w14:paraId="5FBED34F">
            <w:pPr>
              <w:widowControl/>
              <w:shd w:val="clear" w:color="auto" w:fill="FFFFFF"/>
              <w:contextualSpacing/>
              <w:jc w:val="center"/>
              <w:rPr>
                <w:b/>
                <w:bCs/>
                <w:color w:val="auto"/>
                <w:kern w:val="0"/>
                <w:sz w:val="24"/>
              </w:rPr>
            </w:pPr>
            <w:r>
              <w:rPr>
                <w:b/>
                <w:bCs/>
                <w:color w:val="auto"/>
                <w:kern w:val="0"/>
                <w:sz w:val="24"/>
              </w:rPr>
              <w:t>表2-4 产品方案一览表</w:t>
            </w:r>
          </w:p>
          <w:tbl>
            <w:tblPr>
              <w:tblStyle w:val="27"/>
              <w:tblW w:w="46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691"/>
              <w:gridCol w:w="1166"/>
              <w:gridCol w:w="1630"/>
            </w:tblGrid>
            <w:tr w14:paraId="67526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98" w:type="pct"/>
                  <w:vAlign w:val="center"/>
                </w:tcPr>
                <w:p w14:paraId="2A08EF8B">
                  <w:pPr>
                    <w:spacing w:line="0" w:lineRule="atLeast"/>
                    <w:contextualSpacing/>
                    <w:jc w:val="center"/>
                    <w:rPr>
                      <w:color w:val="auto"/>
                      <w:kern w:val="0"/>
                      <w:szCs w:val="21"/>
                    </w:rPr>
                  </w:pPr>
                  <w:r>
                    <w:rPr>
                      <w:color w:val="auto"/>
                      <w:kern w:val="0"/>
                      <w:szCs w:val="21"/>
                    </w:rPr>
                    <w:t>名称</w:t>
                  </w:r>
                </w:p>
              </w:tc>
              <w:tc>
                <w:tcPr>
                  <w:tcW w:w="1717" w:type="pct"/>
                  <w:vAlign w:val="center"/>
                </w:tcPr>
                <w:p w14:paraId="0351984D">
                  <w:pPr>
                    <w:spacing w:line="0" w:lineRule="atLeast"/>
                    <w:contextualSpacing/>
                    <w:jc w:val="center"/>
                    <w:rPr>
                      <w:color w:val="auto"/>
                      <w:kern w:val="0"/>
                      <w:szCs w:val="21"/>
                    </w:rPr>
                  </w:pPr>
                  <w:r>
                    <w:rPr>
                      <w:color w:val="auto"/>
                      <w:kern w:val="0"/>
                      <w:szCs w:val="21"/>
                    </w:rPr>
                    <w:t>数量</w:t>
                  </w:r>
                </w:p>
              </w:tc>
              <w:tc>
                <w:tcPr>
                  <w:tcW w:w="744" w:type="pct"/>
                  <w:vAlign w:val="center"/>
                </w:tcPr>
                <w:p w14:paraId="28FA27C6">
                  <w:pPr>
                    <w:spacing w:line="0" w:lineRule="atLeast"/>
                    <w:contextualSpacing/>
                    <w:jc w:val="center"/>
                    <w:rPr>
                      <w:color w:val="auto"/>
                      <w:kern w:val="0"/>
                      <w:szCs w:val="21"/>
                    </w:rPr>
                  </w:pPr>
                  <w:r>
                    <w:rPr>
                      <w:color w:val="auto"/>
                      <w:kern w:val="0"/>
                      <w:szCs w:val="21"/>
                    </w:rPr>
                    <w:t>单位</w:t>
                  </w:r>
                </w:p>
              </w:tc>
              <w:tc>
                <w:tcPr>
                  <w:tcW w:w="1040" w:type="pct"/>
                  <w:vAlign w:val="center"/>
                </w:tcPr>
                <w:p w14:paraId="6C37E47D">
                  <w:pPr>
                    <w:spacing w:line="0" w:lineRule="atLeast"/>
                    <w:contextualSpacing/>
                    <w:jc w:val="center"/>
                    <w:rPr>
                      <w:color w:val="auto"/>
                      <w:kern w:val="0"/>
                      <w:szCs w:val="21"/>
                    </w:rPr>
                  </w:pPr>
                  <w:r>
                    <w:rPr>
                      <w:color w:val="auto"/>
                      <w:kern w:val="0"/>
                      <w:szCs w:val="21"/>
                    </w:rPr>
                    <w:t>备注</w:t>
                  </w:r>
                </w:p>
              </w:tc>
            </w:tr>
            <w:tr w14:paraId="00C04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8" w:type="pct"/>
                  <w:vAlign w:val="center"/>
                </w:tcPr>
                <w:p w14:paraId="309C425B">
                  <w:pPr>
                    <w:spacing w:line="0" w:lineRule="atLeast"/>
                    <w:contextualSpacing/>
                    <w:jc w:val="center"/>
                    <w:rPr>
                      <w:color w:val="auto"/>
                      <w:kern w:val="0"/>
                      <w:szCs w:val="21"/>
                    </w:rPr>
                  </w:pPr>
                  <w:r>
                    <w:rPr>
                      <w:rFonts w:eastAsiaTheme="minorEastAsia"/>
                      <w:color w:val="auto"/>
                      <w:szCs w:val="21"/>
                    </w:rPr>
                    <w:t>沥青混凝土</w:t>
                  </w:r>
                </w:p>
              </w:tc>
              <w:tc>
                <w:tcPr>
                  <w:tcW w:w="1717" w:type="pct"/>
                  <w:shd w:val="clear" w:color="auto" w:fill="auto"/>
                  <w:vAlign w:val="center"/>
                </w:tcPr>
                <w:p w14:paraId="02F2E097">
                  <w:pPr>
                    <w:spacing w:line="0" w:lineRule="atLeast"/>
                    <w:contextualSpacing/>
                    <w:jc w:val="center"/>
                    <w:rPr>
                      <w:rFonts w:hint="eastAsia" w:ascii="宋体" w:hAnsi="宋体" w:eastAsia="宋体" w:cs="宋体"/>
                      <w:i w:val="0"/>
                      <w:iCs w:val="0"/>
                      <w:color w:val="auto"/>
                      <w:kern w:val="2"/>
                      <w:sz w:val="22"/>
                      <w:szCs w:val="22"/>
                      <w:u w:val="none"/>
                      <w:lang w:val="en-US" w:eastAsia="zh-CN" w:bidi="ar-SA"/>
                    </w:rPr>
                  </w:pPr>
                  <w:r>
                    <w:rPr>
                      <w:rFonts w:hint="eastAsia"/>
                      <w:color w:val="auto"/>
                      <w:kern w:val="0"/>
                      <w:szCs w:val="21"/>
                      <w:lang w:val="en-US" w:eastAsia="zh-CN"/>
                    </w:rPr>
                    <w:t>332995</w:t>
                  </w:r>
                </w:p>
              </w:tc>
              <w:tc>
                <w:tcPr>
                  <w:tcW w:w="744" w:type="pct"/>
                  <w:vAlign w:val="center"/>
                </w:tcPr>
                <w:p w14:paraId="4725663A">
                  <w:pPr>
                    <w:spacing w:line="0" w:lineRule="atLeast"/>
                    <w:contextualSpacing/>
                    <w:jc w:val="center"/>
                    <w:rPr>
                      <w:color w:val="auto"/>
                      <w:kern w:val="0"/>
                      <w:szCs w:val="21"/>
                    </w:rPr>
                  </w:pPr>
                  <w:r>
                    <w:rPr>
                      <w:bCs/>
                      <w:color w:val="auto"/>
                      <w:kern w:val="0"/>
                      <w:szCs w:val="21"/>
                    </w:rPr>
                    <w:t>t</w:t>
                  </w:r>
                  <w:r>
                    <w:rPr>
                      <w:color w:val="auto"/>
                      <w:kern w:val="0"/>
                      <w:szCs w:val="21"/>
                    </w:rPr>
                    <w:t>/a</w:t>
                  </w:r>
                </w:p>
              </w:tc>
              <w:tc>
                <w:tcPr>
                  <w:tcW w:w="1040" w:type="pct"/>
                  <w:vAlign w:val="center"/>
                </w:tcPr>
                <w:p w14:paraId="1F4907EE">
                  <w:pPr>
                    <w:spacing w:line="0" w:lineRule="atLeast"/>
                    <w:contextualSpacing/>
                    <w:jc w:val="center"/>
                    <w:rPr>
                      <w:color w:val="auto"/>
                      <w:kern w:val="0"/>
                      <w:szCs w:val="21"/>
                    </w:rPr>
                  </w:pPr>
                  <w:r>
                    <w:rPr>
                      <w:color w:val="auto"/>
                      <w:kern w:val="0"/>
                      <w:szCs w:val="21"/>
                    </w:rPr>
                    <w:t>/</w:t>
                  </w:r>
                </w:p>
              </w:tc>
            </w:tr>
          </w:tbl>
          <w:p w14:paraId="653D631E">
            <w:pPr>
              <w:widowControl/>
              <w:shd w:val="clear" w:color="auto" w:fill="FFFFFF"/>
              <w:contextualSpacing/>
              <w:jc w:val="center"/>
              <w:rPr>
                <w:rFonts w:hint="eastAsia" w:eastAsia="宋体"/>
                <w:b/>
                <w:bCs/>
                <w:color w:val="auto"/>
                <w:kern w:val="0"/>
                <w:sz w:val="24"/>
                <w:lang w:eastAsia="zh-CN"/>
              </w:rPr>
            </w:pPr>
            <w:r>
              <w:rPr>
                <w:b/>
                <w:bCs/>
                <w:color w:val="auto"/>
                <w:kern w:val="0"/>
                <w:sz w:val="24"/>
              </w:rPr>
              <w:t>表2-</w:t>
            </w:r>
            <w:r>
              <w:rPr>
                <w:rFonts w:hint="eastAsia"/>
                <w:b/>
                <w:bCs/>
                <w:color w:val="auto"/>
                <w:kern w:val="0"/>
                <w:sz w:val="24"/>
                <w:lang w:val="en-US" w:eastAsia="zh-CN"/>
              </w:rPr>
              <w:t>5</w:t>
            </w:r>
            <w:r>
              <w:rPr>
                <w:b/>
                <w:bCs/>
                <w:color w:val="auto"/>
                <w:kern w:val="0"/>
                <w:sz w:val="24"/>
              </w:rPr>
              <w:t xml:space="preserve"> </w:t>
            </w:r>
            <w:r>
              <w:rPr>
                <w:rFonts w:hint="eastAsia"/>
                <w:b/>
                <w:bCs/>
                <w:color w:val="auto"/>
                <w:kern w:val="0"/>
                <w:sz w:val="24"/>
                <w:lang w:val="en-US" w:eastAsia="zh-CN"/>
              </w:rPr>
              <w:t>物料平衡</w:t>
            </w:r>
            <w:r>
              <w:rPr>
                <w:b/>
                <w:bCs/>
                <w:color w:val="auto"/>
                <w:kern w:val="0"/>
                <w:sz w:val="24"/>
              </w:rPr>
              <w:t>表</w:t>
            </w:r>
            <w:r>
              <w:rPr>
                <w:rFonts w:hint="eastAsia"/>
                <w:b/>
                <w:bCs/>
                <w:color w:val="auto"/>
                <w:kern w:val="0"/>
                <w:sz w:val="24"/>
                <w:lang w:eastAsia="zh-CN"/>
              </w:rPr>
              <w:t>（</w:t>
            </w:r>
            <w:r>
              <w:rPr>
                <w:rFonts w:hint="eastAsia"/>
                <w:b/>
                <w:bCs/>
                <w:color w:val="auto"/>
                <w:kern w:val="0"/>
                <w:sz w:val="24"/>
                <w:lang w:val="en-US" w:eastAsia="zh-CN"/>
              </w:rPr>
              <w:t>t/a</w:t>
            </w:r>
            <w:r>
              <w:rPr>
                <w:rFonts w:hint="eastAsia"/>
                <w:b/>
                <w:bCs/>
                <w:color w:val="auto"/>
                <w:kern w:val="0"/>
                <w:sz w:val="24"/>
                <w:lang w:eastAsia="zh-CN"/>
              </w:rPr>
              <w:t>）</w:t>
            </w:r>
          </w:p>
          <w:tbl>
            <w:tblPr>
              <w:tblStyle w:val="27"/>
              <w:tblW w:w="46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073"/>
              <w:gridCol w:w="1784"/>
              <w:gridCol w:w="1630"/>
            </w:tblGrid>
            <w:tr w14:paraId="059D9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98" w:type="pct"/>
                  <w:vAlign w:val="center"/>
                </w:tcPr>
                <w:p w14:paraId="4662034E">
                  <w:pPr>
                    <w:spacing w:line="0" w:lineRule="atLeast"/>
                    <w:contextualSpacing/>
                    <w:jc w:val="center"/>
                    <w:rPr>
                      <w:rFonts w:hint="eastAsia" w:eastAsia="宋体"/>
                      <w:color w:val="auto"/>
                      <w:kern w:val="0"/>
                      <w:szCs w:val="21"/>
                      <w:lang w:eastAsia="zh-CN"/>
                    </w:rPr>
                  </w:pPr>
                  <w:r>
                    <w:rPr>
                      <w:rFonts w:hint="eastAsia"/>
                      <w:color w:val="auto"/>
                      <w:kern w:val="0"/>
                      <w:szCs w:val="21"/>
                      <w:lang w:val="en-US" w:eastAsia="zh-CN"/>
                    </w:rPr>
                    <w:t>进料</w:t>
                  </w:r>
                </w:p>
              </w:tc>
              <w:tc>
                <w:tcPr>
                  <w:tcW w:w="1322" w:type="pct"/>
                  <w:vAlign w:val="center"/>
                </w:tcPr>
                <w:p w14:paraId="6992D805">
                  <w:pPr>
                    <w:spacing w:line="0" w:lineRule="atLeast"/>
                    <w:contextualSpacing/>
                    <w:jc w:val="center"/>
                    <w:rPr>
                      <w:color w:val="auto"/>
                      <w:kern w:val="0"/>
                      <w:szCs w:val="21"/>
                    </w:rPr>
                  </w:pPr>
                  <w:r>
                    <w:rPr>
                      <w:color w:val="auto"/>
                      <w:kern w:val="0"/>
                      <w:szCs w:val="21"/>
                    </w:rPr>
                    <w:t>数量</w:t>
                  </w:r>
                </w:p>
              </w:tc>
              <w:tc>
                <w:tcPr>
                  <w:tcW w:w="1138" w:type="pct"/>
                  <w:vAlign w:val="center"/>
                </w:tcPr>
                <w:p w14:paraId="303901DC">
                  <w:pPr>
                    <w:spacing w:line="0" w:lineRule="atLeast"/>
                    <w:contextualSpacing/>
                    <w:jc w:val="center"/>
                    <w:rPr>
                      <w:rFonts w:hint="eastAsia" w:eastAsia="宋体"/>
                      <w:color w:val="auto"/>
                      <w:kern w:val="0"/>
                      <w:szCs w:val="21"/>
                      <w:lang w:eastAsia="zh-CN"/>
                    </w:rPr>
                  </w:pPr>
                  <w:r>
                    <w:rPr>
                      <w:rFonts w:hint="eastAsia"/>
                      <w:color w:val="auto"/>
                      <w:kern w:val="0"/>
                      <w:szCs w:val="21"/>
                      <w:lang w:val="en-US" w:eastAsia="zh-CN"/>
                    </w:rPr>
                    <w:t>出料</w:t>
                  </w:r>
                </w:p>
              </w:tc>
              <w:tc>
                <w:tcPr>
                  <w:tcW w:w="1040" w:type="pct"/>
                  <w:vAlign w:val="center"/>
                </w:tcPr>
                <w:p w14:paraId="700B52BA">
                  <w:pPr>
                    <w:spacing w:line="0" w:lineRule="atLeast"/>
                    <w:contextualSpacing/>
                    <w:jc w:val="center"/>
                    <w:rPr>
                      <w:color w:val="auto"/>
                      <w:kern w:val="0"/>
                      <w:szCs w:val="21"/>
                    </w:rPr>
                  </w:pPr>
                  <w:r>
                    <w:rPr>
                      <w:color w:val="auto"/>
                      <w:kern w:val="0"/>
                      <w:szCs w:val="21"/>
                    </w:rPr>
                    <w:t>数量</w:t>
                  </w:r>
                </w:p>
              </w:tc>
            </w:tr>
            <w:tr w14:paraId="57427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8" w:type="pct"/>
                  <w:vAlign w:val="center"/>
                </w:tcPr>
                <w:p w14:paraId="1D77A1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碎石</w:t>
                  </w:r>
                </w:p>
              </w:tc>
              <w:tc>
                <w:tcPr>
                  <w:tcW w:w="1322" w:type="pct"/>
                  <w:shd w:val="clear" w:color="auto" w:fill="auto"/>
                  <w:vAlign w:val="center"/>
                </w:tcPr>
                <w:p w14:paraId="1F9C4A7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205000</w:t>
                  </w:r>
                </w:p>
              </w:tc>
              <w:tc>
                <w:tcPr>
                  <w:tcW w:w="1138" w:type="pct"/>
                  <w:vAlign w:val="center"/>
                </w:tcPr>
                <w:p w14:paraId="4A59AF9C">
                  <w:pPr>
                    <w:spacing w:line="0" w:lineRule="atLeast"/>
                    <w:contextualSpacing/>
                    <w:jc w:val="center"/>
                    <w:rPr>
                      <w:rFonts w:hint="eastAsia" w:eastAsia="宋体"/>
                      <w:color w:val="auto"/>
                      <w:kern w:val="0"/>
                      <w:szCs w:val="21"/>
                      <w:lang w:val="en-US" w:eastAsia="zh-CN"/>
                    </w:rPr>
                  </w:pPr>
                  <w:r>
                    <w:rPr>
                      <w:rFonts w:hint="eastAsia"/>
                      <w:bCs/>
                      <w:color w:val="auto"/>
                      <w:kern w:val="0"/>
                      <w:szCs w:val="21"/>
                      <w:lang w:val="en-US" w:eastAsia="zh-CN"/>
                    </w:rPr>
                    <w:t>成品</w:t>
                  </w:r>
                </w:p>
              </w:tc>
              <w:tc>
                <w:tcPr>
                  <w:tcW w:w="1040" w:type="pct"/>
                  <w:vAlign w:val="center"/>
                </w:tcPr>
                <w:p w14:paraId="15E46E8F">
                  <w:pPr>
                    <w:spacing w:line="0" w:lineRule="atLeast"/>
                    <w:contextualSpacing/>
                    <w:jc w:val="center"/>
                    <w:rPr>
                      <w:rFonts w:hint="default" w:eastAsia="宋体"/>
                      <w:color w:val="auto"/>
                      <w:kern w:val="0"/>
                      <w:szCs w:val="21"/>
                      <w:lang w:val="en-US" w:eastAsia="zh-CN"/>
                    </w:rPr>
                  </w:pPr>
                  <w:r>
                    <w:rPr>
                      <w:rFonts w:hint="eastAsia"/>
                      <w:color w:val="auto"/>
                      <w:kern w:val="0"/>
                      <w:szCs w:val="21"/>
                      <w:lang w:val="en-US" w:eastAsia="zh-CN"/>
                    </w:rPr>
                    <w:t>332995.3281</w:t>
                  </w:r>
                </w:p>
              </w:tc>
            </w:tr>
            <w:tr w14:paraId="174FE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8" w:type="pct"/>
                  <w:vAlign w:val="center"/>
                </w:tcPr>
                <w:p w14:paraId="54F15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矿粉</w:t>
                  </w:r>
                </w:p>
              </w:tc>
              <w:tc>
                <w:tcPr>
                  <w:tcW w:w="1322" w:type="pct"/>
                  <w:shd w:val="clear" w:color="auto" w:fill="auto"/>
                  <w:vAlign w:val="center"/>
                </w:tcPr>
                <w:p w14:paraId="79404E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green"/>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5000</w:t>
                  </w:r>
                </w:p>
              </w:tc>
              <w:tc>
                <w:tcPr>
                  <w:tcW w:w="1138" w:type="pct"/>
                  <w:vAlign w:val="center"/>
                </w:tcPr>
                <w:p w14:paraId="6B07B734">
                  <w:pPr>
                    <w:spacing w:line="0" w:lineRule="atLeast"/>
                    <w:contextualSpacing/>
                    <w:jc w:val="center"/>
                    <w:rPr>
                      <w:rFonts w:hint="eastAsia" w:eastAsia="宋体"/>
                      <w:bCs/>
                      <w:color w:val="auto"/>
                      <w:kern w:val="0"/>
                      <w:szCs w:val="21"/>
                      <w:lang w:val="en-US" w:eastAsia="zh-CN"/>
                    </w:rPr>
                  </w:pPr>
                  <w:r>
                    <w:rPr>
                      <w:rFonts w:hint="eastAsia"/>
                      <w:color w:val="auto"/>
                      <w:kern w:val="0"/>
                      <w:szCs w:val="21"/>
                      <w:lang w:val="en-US" w:eastAsia="zh-CN"/>
                    </w:rPr>
                    <w:t>粉尘（含沥青烟）</w:t>
                  </w:r>
                </w:p>
              </w:tc>
              <w:tc>
                <w:tcPr>
                  <w:tcW w:w="1040" w:type="pct"/>
                  <w:vAlign w:val="center"/>
                </w:tcPr>
                <w:p w14:paraId="7C69BD29">
                  <w:pPr>
                    <w:spacing w:line="0" w:lineRule="atLeast"/>
                    <w:contextualSpacing/>
                    <w:jc w:val="center"/>
                    <w:rPr>
                      <w:color w:val="auto"/>
                      <w:kern w:val="0"/>
                      <w:szCs w:val="21"/>
                    </w:rPr>
                  </w:pPr>
                  <w:r>
                    <w:rPr>
                      <w:rFonts w:hint="eastAsia" w:ascii="Times New Roman" w:hAnsi="Times New Roman" w:eastAsia="宋体" w:cs="Times New Roman"/>
                      <w:i w:val="0"/>
                      <w:iCs w:val="0"/>
                      <w:color w:val="auto"/>
                      <w:kern w:val="0"/>
                      <w:sz w:val="21"/>
                      <w:szCs w:val="21"/>
                      <w:u w:val="none"/>
                      <w:lang w:val="en-US" w:eastAsia="zh-CN" w:bidi="ar"/>
                    </w:rPr>
                    <w:t>4.6719</w:t>
                  </w:r>
                </w:p>
              </w:tc>
            </w:tr>
            <w:tr w14:paraId="571CE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8" w:type="pct"/>
                  <w:vAlign w:val="center"/>
                </w:tcPr>
                <w:p w14:paraId="1178C3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沥青</w:t>
                  </w:r>
                </w:p>
              </w:tc>
              <w:tc>
                <w:tcPr>
                  <w:tcW w:w="1322" w:type="pct"/>
                  <w:shd w:val="clear" w:color="auto" w:fill="auto"/>
                  <w:vAlign w:val="center"/>
                </w:tcPr>
                <w:p w14:paraId="158706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green"/>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r>
                    <w:rPr>
                      <w:rFonts w:hint="eastAsia" w:cs="Times New Roman"/>
                      <w:i w:val="0"/>
                      <w:iCs w:val="0"/>
                      <w:color w:val="auto"/>
                      <w:kern w:val="0"/>
                      <w:sz w:val="21"/>
                      <w:szCs w:val="21"/>
                      <w:u w:val="none"/>
                      <w:lang w:val="en-US" w:eastAsia="zh-CN" w:bidi="ar"/>
                    </w:rPr>
                    <w:t>000</w:t>
                  </w:r>
                </w:p>
              </w:tc>
              <w:tc>
                <w:tcPr>
                  <w:tcW w:w="1138" w:type="pct"/>
                  <w:vAlign w:val="center"/>
                </w:tcPr>
                <w:p w14:paraId="1D4847AB">
                  <w:pPr>
                    <w:spacing w:line="0" w:lineRule="atLeast"/>
                    <w:contextualSpacing/>
                    <w:jc w:val="center"/>
                    <w:rPr>
                      <w:rFonts w:hint="eastAsia" w:eastAsia="宋体"/>
                      <w:bCs/>
                      <w:color w:val="auto"/>
                      <w:kern w:val="0"/>
                      <w:szCs w:val="21"/>
                      <w:lang w:val="en-US" w:eastAsia="zh-CN"/>
                    </w:rPr>
                  </w:pPr>
                </w:p>
              </w:tc>
              <w:tc>
                <w:tcPr>
                  <w:tcW w:w="1040" w:type="pct"/>
                  <w:vAlign w:val="center"/>
                </w:tcPr>
                <w:p w14:paraId="35ABEDC2">
                  <w:pPr>
                    <w:spacing w:line="0" w:lineRule="atLeast"/>
                    <w:contextualSpacing/>
                    <w:jc w:val="center"/>
                    <w:rPr>
                      <w:color w:val="auto"/>
                      <w:kern w:val="0"/>
                      <w:szCs w:val="21"/>
                    </w:rPr>
                  </w:pPr>
                </w:p>
              </w:tc>
            </w:tr>
            <w:tr w14:paraId="4D721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8" w:type="pct"/>
                  <w:vAlign w:val="center"/>
                </w:tcPr>
                <w:p w14:paraId="6DAC68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机制砂</w:t>
                  </w:r>
                </w:p>
              </w:tc>
              <w:tc>
                <w:tcPr>
                  <w:tcW w:w="1322" w:type="pct"/>
                  <w:shd w:val="clear" w:color="auto" w:fill="auto"/>
                  <w:vAlign w:val="center"/>
                </w:tcPr>
                <w:p w14:paraId="084D64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green"/>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r>
                    <w:rPr>
                      <w:rFonts w:hint="eastAsia" w:cs="Times New Roman"/>
                      <w:i w:val="0"/>
                      <w:iCs w:val="0"/>
                      <w:color w:val="auto"/>
                      <w:kern w:val="0"/>
                      <w:sz w:val="21"/>
                      <w:szCs w:val="21"/>
                      <w:u w:val="none"/>
                      <w:lang w:val="en-US" w:eastAsia="zh-CN" w:bidi="ar"/>
                    </w:rPr>
                    <w:t>00</w:t>
                  </w:r>
                  <w:r>
                    <w:rPr>
                      <w:rFonts w:hint="default" w:ascii="Times New Roman" w:hAnsi="Times New Roman" w:eastAsia="宋体" w:cs="Times New Roman"/>
                      <w:i w:val="0"/>
                      <w:iCs w:val="0"/>
                      <w:color w:val="auto"/>
                      <w:kern w:val="0"/>
                      <w:sz w:val="21"/>
                      <w:szCs w:val="21"/>
                      <w:u w:val="none"/>
                      <w:lang w:val="en-US" w:eastAsia="zh-CN" w:bidi="ar"/>
                    </w:rPr>
                    <w:t>0</w:t>
                  </w:r>
                </w:p>
              </w:tc>
              <w:tc>
                <w:tcPr>
                  <w:tcW w:w="1138" w:type="pct"/>
                  <w:vAlign w:val="center"/>
                </w:tcPr>
                <w:p w14:paraId="03467D8D">
                  <w:pPr>
                    <w:spacing w:line="0" w:lineRule="atLeast"/>
                    <w:contextualSpacing/>
                    <w:jc w:val="center"/>
                    <w:rPr>
                      <w:bCs/>
                      <w:color w:val="auto"/>
                      <w:kern w:val="0"/>
                      <w:szCs w:val="21"/>
                    </w:rPr>
                  </w:pPr>
                </w:p>
              </w:tc>
              <w:tc>
                <w:tcPr>
                  <w:tcW w:w="1040" w:type="pct"/>
                  <w:vAlign w:val="center"/>
                </w:tcPr>
                <w:p w14:paraId="7C13188A">
                  <w:pPr>
                    <w:spacing w:line="0" w:lineRule="atLeast"/>
                    <w:contextualSpacing/>
                    <w:jc w:val="center"/>
                    <w:rPr>
                      <w:color w:val="auto"/>
                      <w:kern w:val="0"/>
                      <w:szCs w:val="21"/>
                    </w:rPr>
                  </w:pPr>
                </w:p>
              </w:tc>
            </w:tr>
            <w:tr w14:paraId="08760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8" w:type="pct"/>
                  <w:vAlign w:val="center"/>
                </w:tcPr>
                <w:p w14:paraId="446BCB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合计</w:t>
                  </w:r>
                </w:p>
              </w:tc>
              <w:tc>
                <w:tcPr>
                  <w:tcW w:w="1322" w:type="pct"/>
                  <w:shd w:val="clear" w:color="auto" w:fill="auto"/>
                  <w:vAlign w:val="center"/>
                </w:tcPr>
                <w:p w14:paraId="6DA468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333000</w:t>
                  </w:r>
                </w:p>
              </w:tc>
              <w:tc>
                <w:tcPr>
                  <w:tcW w:w="1138" w:type="pct"/>
                  <w:vAlign w:val="center"/>
                </w:tcPr>
                <w:p w14:paraId="14D723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40" w:type="pct"/>
                  <w:shd w:val="clear" w:color="auto" w:fill="auto"/>
                  <w:vAlign w:val="center"/>
                </w:tcPr>
                <w:p w14:paraId="6498127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333000</w:t>
                  </w:r>
                </w:p>
              </w:tc>
            </w:tr>
          </w:tbl>
          <w:p w14:paraId="623CF247">
            <w:pPr>
              <w:spacing w:line="360" w:lineRule="auto"/>
              <w:ind w:firstLine="482" w:firstLineChars="200"/>
              <w:contextualSpacing/>
              <w:jc w:val="left"/>
              <w:rPr>
                <w:b/>
                <w:color w:val="auto"/>
                <w:kern w:val="0"/>
                <w:sz w:val="24"/>
              </w:rPr>
            </w:pPr>
            <w:r>
              <w:rPr>
                <w:b/>
                <w:color w:val="auto"/>
                <w:kern w:val="0"/>
                <w:sz w:val="24"/>
              </w:rPr>
              <w:t>5、公用工程</w:t>
            </w:r>
          </w:p>
          <w:p w14:paraId="1C7633FB">
            <w:pPr>
              <w:spacing w:line="360" w:lineRule="auto"/>
              <w:ind w:firstLine="480" w:firstLineChars="200"/>
              <w:contextualSpacing/>
              <w:rPr>
                <w:color w:val="auto"/>
                <w:sz w:val="24"/>
              </w:rPr>
            </w:pPr>
            <w:r>
              <w:rPr>
                <w:color w:val="auto"/>
                <w:sz w:val="24"/>
              </w:rPr>
              <w:t>（1）供水：本项目用水</w:t>
            </w:r>
            <w:r>
              <w:rPr>
                <w:rFonts w:hint="eastAsia"/>
                <w:color w:val="auto"/>
                <w:sz w:val="24"/>
              </w:rPr>
              <w:t>采用</w:t>
            </w:r>
            <w:r>
              <w:rPr>
                <w:color w:val="auto"/>
                <w:sz w:val="24"/>
              </w:rPr>
              <w:t>厂区</w:t>
            </w:r>
            <w:r>
              <w:rPr>
                <w:rFonts w:hint="eastAsia"/>
                <w:color w:val="auto"/>
                <w:sz w:val="24"/>
              </w:rPr>
              <w:t>自</w:t>
            </w:r>
            <w:r>
              <w:rPr>
                <w:color w:val="auto"/>
                <w:sz w:val="24"/>
              </w:rPr>
              <w:t>打井。</w:t>
            </w:r>
          </w:p>
          <w:p w14:paraId="6AEA4287">
            <w:pPr>
              <w:spacing w:line="360" w:lineRule="auto"/>
              <w:ind w:firstLine="480" w:firstLineChars="200"/>
              <w:contextualSpacing/>
              <w:rPr>
                <w:color w:val="auto"/>
                <w:sz w:val="24"/>
              </w:rPr>
            </w:pPr>
            <w:r>
              <w:rPr>
                <w:rFonts w:hint="eastAsia"/>
                <w:color w:val="auto"/>
                <w:sz w:val="24"/>
              </w:rPr>
              <w:t>本项目生产不用水，项目沥青混凝土车辆全部租赁，不涉及车辆清洗用水；厂区</w:t>
            </w:r>
            <w:r>
              <w:rPr>
                <w:color w:val="auto"/>
                <w:sz w:val="24"/>
              </w:rPr>
              <w:t>铲装集堆过程洒水喷淋</w:t>
            </w:r>
            <w:r>
              <w:rPr>
                <w:rFonts w:hint="eastAsia"/>
                <w:color w:val="auto"/>
                <w:sz w:val="24"/>
              </w:rPr>
              <w:t>，日常不进行地面冲洗，不产生冲洗废水；项目用水主要为生活用水、喷淋降尘用水。</w:t>
            </w:r>
          </w:p>
          <w:p w14:paraId="457C197E">
            <w:pPr>
              <w:spacing w:line="360" w:lineRule="auto"/>
              <w:ind w:firstLine="480" w:firstLineChars="200"/>
              <w:contextualSpacing/>
              <w:rPr>
                <w:color w:val="auto"/>
                <w:sz w:val="24"/>
              </w:rPr>
            </w:pPr>
            <w:r>
              <w:rPr>
                <w:color w:val="auto"/>
                <w:sz w:val="24"/>
              </w:rPr>
              <w:t>生活用水量计算参照黑龙江省地方标准《用水定额》（DB23/T</w:t>
            </w:r>
            <w:r>
              <w:rPr>
                <w:rFonts w:hint="eastAsia"/>
                <w:color w:val="auto"/>
                <w:sz w:val="24"/>
              </w:rPr>
              <w:t xml:space="preserve"> </w:t>
            </w:r>
            <w:r>
              <w:rPr>
                <w:color w:val="auto"/>
                <w:sz w:val="24"/>
              </w:rPr>
              <w:t>727-2021），员工的生活用水采用</w:t>
            </w:r>
            <w:r>
              <w:rPr>
                <w:rFonts w:hint="eastAsia"/>
                <w:color w:val="auto"/>
                <w:sz w:val="24"/>
              </w:rPr>
              <w:t>8</w:t>
            </w:r>
            <w:r>
              <w:rPr>
                <w:color w:val="auto"/>
                <w:sz w:val="24"/>
              </w:rPr>
              <w:t>0L/人•d，员工人数为</w:t>
            </w:r>
            <w:r>
              <w:rPr>
                <w:rFonts w:hint="eastAsia"/>
                <w:color w:val="auto"/>
                <w:sz w:val="24"/>
                <w:lang w:val="en-US" w:eastAsia="zh-CN"/>
              </w:rPr>
              <w:t>6</w:t>
            </w:r>
            <w:r>
              <w:rPr>
                <w:rFonts w:hint="eastAsia"/>
                <w:color w:val="auto"/>
                <w:sz w:val="24"/>
              </w:rPr>
              <w:t>人</w:t>
            </w:r>
            <w:r>
              <w:rPr>
                <w:rFonts w:hint="eastAsia"/>
                <w:color w:val="auto"/>
                <w:sz w:val="24"/>
              </w:rPr>
              <w:t>，</w:t>
            </w:r>
            <w:r>
              <w:rPr>
                <w:color w:val="auto"/>
                <w:sz w:val="24"/>
              </w:rPr>
              <w:t>生活用水量为</w:t>
            </w:r>
            <w:r>
              <w:rPr>
                <w:rFonts w:hint="eastAsia"/>
                <w:color w:val="auto"/>
                <w:sz w:val="24"/>
                <w:lang w:val="en-US" w:eastAsia="zh-CN"/>
              </w:rPr>
              <w:t>0.48</w:t>
            </w:r>
            <w:r>
              <w:rPr>
                <w:color w:val="auto"/>
                <w:sz w:val="24"/>
              </w:rPr>
              <w:t>t/d，</w:t>
            </w:r>
            <w:r>
              <w:rPr>
                <w:rFonts w:hint="eastAsia"/>
                <w:color w:val="auto"/>
                <w:sz w:val="24"/>
                <w:lang w:val="en-US" w:eastAsia="zh-CN"/>
              </w:rPr>
              <w:t>115.2</w:t>
            </w:r>
            <w:r>
              <w:rPr>
                <w:color w:val="auto"/>
                <w:sz w:val="24"/>
              </w:rPr>
              <w:t>t</w:t>
            </w:r>
            <w:r>
              <w:rPr>
                <w:color w:val="auto"/>
                <w:sz w:val="24"/>
              </w:rPr>
              <w:t>/a</w:t>
            </w:r>
            <w:r>
              <w:rPr>
                <w:rFonts w:hint="eastAsia"/>
                <w:color w:val="auto"/>
                <w:sz w:val="24"/>
              </w:rPr>
              <w:t>；生产用水为堆场</w:t>
            </w:r>
            <w:r>
              <w:rPr>
                <w:color w:val="auto"/>
                <w:sz w:val="24"/>
              </w:rPr>
              <w:t>、</w:t>
            </w:r>
            <w:r>
              <w:rPr>
                <w:rFonts w:hint="eastAsia"/>
                <w:color w:val="auto"/>
                <w:sz w:val="24"/>
              </w:rPr>
              <w:t>铲装集堆、道路</w:t>
            </w:r>
            <w:r>
              <w:rPr>
                <w:color w:val="auto"/>
                <w:sz w:val="24"/>
              </w:rPr>
              <w:t>等降尘用水</w:t>
            </w:r>
            <w:r>
              <w:rPr>
                <w:rFonts w:hint="eastAsia"/>
                <w:color w:val="auto"/>
                <w:sz w:val="24"/>
              </w:rPr>
              <w:t>，用水量约为</w:t>
            </w:r>
            <w:r>
              <w:rPr>
                <w:rFonts w:hint="eastAsia"/>
                <w:color w:val="auto"/>
                <w:sz w:val="24"/>
              </w:rPr>
              <w:t>351.6</w:t>
            </w:r>
            <w:r>
              <w:rPr>
                <w:rFonts w:hint="eastAsia"/>
                <w:color w:val="auto"/>
                <w:sz w:val="24"/>
                <w:lang w:val="en-US" w:eastAsia="zh-CN"/>
              </w:rPr>
              <w:t>t/a</w:t>
            </w:r>
            <w:r>
              <w:rPr>
                <w:rFonts w:hint="eastAsia"/>
                <w:color w:val="auto"/>
                <w:sz w:val="24"/>
              </w:rPr>
              <w:t>。</w:t>
            </w:r>
          </w:p>
          <w:p w14:paraId="72BDD0FD">
            <w:pPr>
              <w:widowControl/>
              <w:spacing w:line="360" w:lineRule="auto"/>
              <w:ind w:firstLine="480" w:firstLineChars="200"/>
              <w:contextualSpacing/>
              <w:rPr>
                <w:color w:val="auto"/>
                <w:kern w:val="0"/>
                <w:sz w:val="24"/>
              </w:rPr>
            </w:pPr>
            <w:r>
              <w:rPr>
                <w:color w:val="auto"/>
                <w:sz w:val="24"/>
              </w:rPr>
              <w:t>（2）</w:t>
            </w:r>
            <w:r>
              <w:rPr>
                <w:color w:val="auto"/>
                <w:kern w:val="0"/>
                <w:sz w:val="24"/>
              </w:rPr>
              <w:t>排水：本项目无</w:t>
            </w:r>
            <w:r>
              <w:rPr>
                <w:color w:val="auto"/>
                <w:sz w:val="24"/>
              </w:rPr>
              <w:t>生产废水产生</w:t>
            </w:r>
            <w:r>
              <w:rPr>
                <w:color w:val="auto"/>
                <w:kern w:val="0"/>
                <w:sz w:val="24"/>
              </w:rPr>
              <w:t>；</w:t>
            </w:r>
            <w:r>
              <w:rPr>
                <w:color w:val="auto"/>
                <w:sz w:val="24"/>
              </w:rPr>
              <w:t>生活污水产生量按用水量的80%计，为</w:t>
            </w:r>
            <w:r>
              <w:rPr>
                <w:color w:val="auto"/>
                <w:sz w:val="24"/>
              </w:rPr>
              <w:t>0.</w:t>
            </w:r>
            <w:r>
              <w:rPr>
                <w:rFonts w:hint="eastAsia"/>
                <w:color w:val="auto"/>
                <w:sz w:val="24"/>
                <w:lang w:val="en-US" w:eastAsia="zh-CN"/>
              </w:rPr>
              <w:t>384</w:t>
            </w:r>
            <w:r>
              <w:rPr>
                <w:color w:val="auto"/>
                <w:sz w:val="24"/>
              </w:rPr>
              <w:t>t/d，</w:t>
            </w:r>
            <w:r>
              <w:rPr>
                <w:rFonts w:hint="eastAsia"/>
                <w:color w:val="auto"/>
                <w:sz w:val="24"/>
                <w:lang w:val="en-US" w:eastAsia="zh-CN"/>
              </w:rPr>
              <w:t>92.16</w:t>
            </w:r>
            <w:r>
              <w:rPr>
                <w:color w:val="auto"/>
                <w:sz w:val="24"/>
              </w:rPr>
              <w:t>t/a，生活污水排入防渗旱厕，定期清掏，外运堆肥，不外排</w:t>
            </w:r>
            <w:r>
              <w:rPr>
                <w:color w:val="auto"/>
                <w:kern w:val="0"/>
                <w:sz w:val="24"/>
              </w:rPr>
              <w:t>。</w:t>
            </w:r>
          </w:p>
          <w:p w14:paraId="01576970">
            <w:pPr>
              <w:widowControl/>
              <w:spacing w:line="360" w:lineRule="auto"/>
              <w:ind w:firstLine="480" w:firstLineChars="200"/>
              <w:contextualSpacing/>
              <w:rPr>
                <w:color w:val="auto"/>
                <w:kern w:val="0"/>
                <w:sz w:val="24"/>
              </w:rPr>
            </w:pPr>
            <w:r>
              <w:rPr>
                <w:rFonts w:hint="eastAsia"/>
                <w:color w:val="auto"/>
                <w:kern w:val="0"/>
                <w:sz w:val="24"/>
              </w:rPr>
              <w:t>初期雨水</w:t>
            </w:r>
          </w:p>
          <w:p w14:paraId="62D5034D">
            <w:pPr>
              <w:spacing w:line="360" w:lineRule="auto"/>
              <w:ind w:firstLine="480" w:firstLineChars="200"/>
              <w:rPr>
                <w:color w:val="auto"/>
                <w:sz w:val="24"/>
              </w:rPr>
            </w:pPr>
            <w:r>
              <w:rPr>
                <w:color w:val="auto"/>
                <w:sz w:val="24"/>
              </w:rPr>
              <w:t>初期雨水的估算方法，以暴雨量的前15min雨量作为初期雨水量。本评价采用暴雨强度及雨水流量计算公式进行估算，计算公式如下：</w:t>
            </w:r>
          </w:p>
          <w:p w14:paraId="2B334ED6">
            <w:pPr>
              <w:spacing w:line="360" w:lineRule="auto"/>
              <w:ind w:firstLine="480" w:firstLineChars="200"/>
              <w:rPr>
                <w:color w:val="auto"/>
                <w:sz w:val="24"/>
              </w:rPr>
            </w:pPr>
            <w:r>
              <w:rPr>
                <w:color w:val="auto"/>
                <w:sz w:val="24"/>
              </w:rPr>
              <w:t>V=q×ψ×F×t×60/1000</w:t>
            </w:r>
          </w:p>
          <w:p w14:paraId="3366BAEB">
            <w:pPr>
              <w:spacing w:line="360" w:lineRule="auto"/>
              <w:ind w:firstLine="480" w:firstLineChars="200"/>
              <w:rPr>
                <w:color w:val="auto"/>
                <w:sz w:val="24"/>
              </w:rPr>
            </w:pPr>
            <w:r>
              <w:rPr>
                <w:color w:val="auto"/>
                <w:sz w:val="24"/>
              </w:rPr>
              <w:t>式中：</w:t>
            </w:r>
          </w:p>
          <w:p w14:paraId="27BA45BC">
            <w:pPr>
              <w:spacing w:line="360" w:lineRule="auto"/>
              <w:ind w:firstLine="480" w:firstLineChars="200"/>
              <w:rPr>
                <w:color w:val="auto"/>
                <w:sz w:val="24"/>
              </w:rPr>
            </w:pPr>
            <w:r>
              <w:rPr>
                <w:color w:val="auto"/>
                <w:sz w:val="24"/>
              </w:rPr>
              <w:t>t——降雨历时，min，取15；</w:t>
            </w:r>
          </w:p>
          <w:p w14:paraId="31A7CE5C">
            <w:pPr>
              <w:spacing w:line="360" w:lineRule="auto"/>
              <w:ind w:firstLine="480" w:firstLineChars="200"/>
              <w:rPr>
                <w:color w:val="auto"/>
                <w:sz w:val="24"/>
              </w:rPr>
            </w:pPr>
            <w:r>
              <w:rPr>
                <w:color w:val="auto"/>
                <w:sz w:val="24"/>
              </w:rPr>
              <w:t>F——汇水面积，hm</w:t>
            </w:r>
            <w:r>
              <w:rPr>
                <w:color w:val="auto"/>
                <w:sz w:val="24"/>
                <w:vertAlign w:val="superscript"/>
              </w:rPr>
              <w:t>2</w:t>
            </w:r>
            <w:r>
              <w:rPr>
                <w:color w:val="auto"/>
                <w:sz w:val="24"/>
              </w:rPr>
              <w:t>，本项目汇水面积取</w:t>
            </w:r>
            <w:r>
              <w:rPr>
                <w:rFonts w:hint="eastAsia"/>
                <w:color w:val="auto"/>
                <w:sz w:val="24"/>
              </w:rPr>
              <w:t>0.5</w:t>
            </w:r>
            <w:r>
              <w:rPr>
                <w:color w:val="auto"/>
                <w:sz w:val="24"/>
              </w:rPr>
              <w:t>；</w:t>
            </w:r>
          </w:p>
          <w:p w14:paraId="323A756F">
            <w:pPr>
              <w:spacing w:line="360" w:lineRule="auto"/>
              <w:ind w:firstLine="480" w:firstLineChars="200"/>
              <w:rPr>
                <w:color w:val="auto"/>
                <w:sz w:val="24"/>
              </w:rPr>
            </w:pPr>
            <w:r>
              <w:rPr>
                <w:color w:val="auto"/>
                <w:sz w:val="24"/>
              </w:rPr>
              <w:t>ψ——径流系数，取0.3；</w:t>
            </w:r>
          </w:p>
          <w:p w14:paraId="1D7BB438">
            <w:pPr>
              <w:spacing w:line="360" w:lineRule="auto"/>
              <w:ind w:firstLine="480" w:firstLineChars="200"/>
              <w:rPr>
                <w:color w:val="auto"/>
                <w:sz w:val="24"/>
              </w:rPr>
            </w:pPr>
            <w:r>
              <w:rPr>
                <w:color w:val="auto"/>
                <w:sz w:val="24"/>
              </w:rPr>
              <w:t>q——设计暴雨强度，L/(s•hm</w:t>
            </w:r>
            <w:r>
              <w:rPr>
                <w:color w:val="auto"/>
                <w:sz w:val="24"/>
                <w:vertAlign w:val="superscript"/>
              </w:rPr>
              <w:t>2</w:t>
            </w:r>
            <w:r>
              <w:rPr>
                <w:color w:val="auto"/>
                <w:sz w:val="24"/>
              </w:rPr>
              <w:t>)，</w:t>
            </w:r>
          </w:p>
          <w:p w14:paraId="4AF67466">
            <w:pPr>
              <w:spacing w:line="360" w:lineRule="auto"/>
              <w:ind w:firstLine="480" w:firstLineChars="200"/>
              <w:rPr>
                <w:color w:val="auto"/>
                <w:sz w:val="24"/>
              </w:rPr>
            </w:pPr>
            <w:r>
              <w:rPr>
                <w:color w:val="auto"/>
                <w:sz w:val="24"/>
              </w:rPr>
              <w:t>暴雨强度</w:t>
            </w:r>
            <w:r>
              <w:rPr>
                <w:rFonts w:hint="eastAsia"/>
                <w:color w:val="auto"/>
                <w:sz w:val="24"/>
              </w:rPr>
              <w:t>q</w:t>
            </w:r>
            <w:r>
              <w:rPr>
                <w:color w:val="auto"/>
                <w:sz w:val="24"/>
              </w:rPr>
              <w:t>采取</w:t>
            </w:r>
            <w:r>
              <w:rPr>
                <w:rFonts w:hint="eastAsia"/>
                <w:color w:val="auto"/>
                <w:sz w:val="24"/>
                <w:lang w:val="en-US" w:eastAsia="zh-CN"/>
              </w:rPr>
              <w:t>伊春</w:t>
            </w:r>
            <w:r>
              <w:rPr>
                <w:color w:val="auto"/>
                <w:sz w:val="24"/>
              </w:rPr>
              <w:t>市暴雨强度计算公式：</w:t>
            </w:r>
          </w:p>
          <w:p w14:paraId="67D12B04">
            <w:pPr>
              <w:spacing w:line="360" w:lineRule="auto"/>
              <w:ind w:firstLine="480" w:firstLineChars="200"/>
              <w:jc w:val="center"/>
              <w:rPr>
                <w:color w:val="auto"/>
                <w:sz w:val="24"/>
              </w:rPr>
            </w:pPr>
            <w:r>
              <w:rPr>
                <w:color w:val="auto"/>
                <w:sz w:val="24"/>
              </w:rPr>
              <w:object>
                <v:shape id="_x0000_i1025" o:spt="75" type="#_x0000_t75" style="height:32.65pt;width:106.35pt;" o:ole="t" filled="f" coordsize="21600,21600">
                  <v:path/>
                  <v:fill on="f" focussize="0,0"/>
                  <v:stroke/>
                  <v:imagedata r:id="rId11" o:title=""/>
                  <o:lock v:ext="edit" aspectratio="t"/>
                  <w10:wrap type="none"/>
                  <w10:anchorlock/>
                </v:shape>
                <o:OLEObject Type="Embed" ProgID="Equation.3" ShapeID="_x0000_i1025" DrawAspect="Content" ObjectID="_1468075725" r:id="rId10">
                  <o:LockedField>false</o:LockedField>
                </o:OLEObject>
              </w:object>
            </w:r>
          </w:p>
          <w:p w14:paraId="1516A9E3">
            <w:pPr>
              <w:widowControl/>
              <w:spacing w:line="360" w:lineRule="auto"/>
              <w:ind w:firstLine="480" w:firstLineChars="200"/>
              <w:contextualSpacing/>
              <w:rPr>
                <w:color w:val="auto"/>
                <w:kern w:val="0"/>
                <w:sz w:val="24"/>
              </w:rPr>
            </w:pPr>
            <w:r>
              <w:rPr>
                <w:color w:val="auto"/>
                <w:sz w:val="24"/>
              </w:rPr>
              <w:t>其中P为设计重现期，取2a，t为降雨历时，取15min，径流系数取0.3，厂区汇水面积</w:t>
            </w:r>
            <w:r>
              <w:rPr>
                <w:rFonts w:hint="eastAsia"/>
                <w:color w:val="auto"/>
                <w:sz w:val="24"/>
                <w:lang w:val="en-US" w:eastAsia="zh-CN"/>
              </w:rPr>
              <w:t>约</w:t>
            </w:r>
            <w:r>
              <w:rPr>
                <w:color w:val="auto"/>
                <w:sz w:val="24"/>
              </w:rPr>
              <w:t>为</w:t>
            </w:r>
            <w:r>
              <w:rPr>
                <w:rFonts w:hint="eastAsia"/>
                <w:color w:val="auto"/>
                <w:sz w:val="24"/>
              </w:rPr>
              <w:t>0.5</w:t>
            </w:r>
            <w:r>
              <w:rPr>
                <w:color w:val="auto"/>
                <w:sz w:val="24"/>
              </w:rPr>
              <w:t>hm</w:t>
            </w:r>
            <w:r>
              <w:rPr>
                <w:color w:val="auto"/>
                <w:sz w:val="24"/>
                <w:vertAlign w:val="superscript"/>
              </w:rPr>
              <w:t>2</w:t>
            </w:r>
            <w:r>
              <w:rPr>
                <w:color w:val="auto"/>
                <w:sz w:val="24"/>
              </w:rPr>
              <w:t>，经计算，暴雨强度q值为</w:t>
            </w:r>
            <w:r>
              <w:rPr>
                <w:rFonts w:hint="eastAsia"/>
                <w:color w:val="auto"/>
                <w:sz w:val="24"/>
              </w:rPr>
              <w:t>217</w:t>
            </w:r>
            <w:r>
              <w:rPr>
                <w:color w:val="auto"/>
                <w:sz w:val="24"/>
              </w:rPr>
              <w:t>L/(s•hm</w:t>
            </w:r>
            <w:r>
              <w:rPr>
                <w:color w:val="auto"/>
                <w:sz w:val="24"/>
                <w:vertAlign w:val="superscript"/>
              </w:rPr>
              <w:t>2</w:t>
            </w:r>
            <w:r>
              <w:rPr>
                <w:color w:val="auto"/>
                <w:sz w:val="24"/>
              </w:rPr>
              <w:t>)，则初期雨水量为2</w:t>
            </w:r>
            <w:r>
              <w:rPr>
                <w:rFonts w:hint="eastAsia"/>
                <w:color w:val="auto"/>
                <w:sz w:val="24"/>
              </w:rPr>
              <w:t>17</w:t>
            </w:r>
            <w:r>
              <w:rPr>
                <w:color w:val="auto"/>
                <w:sz w:val="24"/>
              </w:rPr>
              <w:t>×0.3×</w:t>
            </w:r>
            <w:r>
              <w:rPr>
                <w:rFonts w:hint="eastAsia"/>
                <w:color w:val="auto"/>
                <w:sz w:val="24"/>
              </w:rPr>
              <w:t>0.5</w:t>
            </w:r>
            <w:r>
              <w:rPr>
                <w:color w:val="auto"/>
                <w:sz w:val="24"/>
              </w:rPr>
              <w:t>×15×60÷1000=</w:t>
            </w:r>
            <w:r>
              <w:rPr>
                <w:rFonts w:hint="eastAsia"/>
                <w:color w:val="auto"/>
                <w:sz w:val="24"/>
              </w:rPr>
              <w:t>29.3</w:t>
            </w:r>
            <w:r>
              <w:rPr>
                <w:color w:val="auto"/>
                <w:sz w:val="24"/>
              </w:rPr>
              <w:t>m</w:t>
            </w:r>
            <w:r>
              <w:rPr>
                <w:color w:val="auto"/>
                <w:sz w:val="24"/>
                <w:vertAlign w:val="superscript"/>
              </w:rPr>
              <w:t>3</w:t>
            </w:r>
            <w:r>
              <w:rPr>
                <w:color w:val="auto"/>
                <w:sz w:val="24"/>
              </w:rPr>
              <w:t>/次。初期雨水经厂区四周排水沟汇入</w:t>
            </w:r>
            <w:r>
              <w:rPr>
                <w:rFonts w:hint="eastAsia"/>
                <w:color w:val="auto"/>
                <w:sz w:val="24"/>
              </w:rPr>
              <w:t>厂区</w:t>
            </w:r>
            <w:r>
              <w:rPr>
                <w:color w:val="auto"/>
                <w:sz w:val="24"/>
              </w:rPr>
              <w:t>初期雨水池隔油沉淀后，用于</w:t>
            </w:r>
            <w:r>
              <w:rPr>
                <w:rFonts w:hint="eastAsia"/>
                <w:color w:val="auto"/>
                <w:sz w:val="24"/>
              </w:rPr>
              <w:t>洒水降尘</w:t>
            </w:r>
            <w:r>
              <w:rPr>
                <w:color w:val="auto"/>
                <w:sz w:val="24"/>
              </w:rPr>
              <w:t>，不外排。本项目每年</w:t>
            </w:r>
            <w:r>
              <w:rPr>
                <w:rFonts w:hint="eastAsia"/>
                <w:color w:val="auto"/>
                <w:sz w:val="24"/>
              </w:rPr>
              <w:t>5月到10月降雨，平均每月收集2次初期雨水，初期雨水量为351.6</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w:t>
            </w:r>
          </w:p>
          <w:p w14:paraId="51B62D00">
            <w:pPr>
              <w:spacing w:line="360" w:lineRule="auto"/>
              <w:contextualSpacing/>
              <w:jc w:val="center"/>
              <w:rPr>
                <w:rFonts w:eastAsiaTheme="minorEastAsia"/>
                <w:b/>
                <w:color w:val="auto"/>
                <w:sz w:val="24"/>
              </w:rPr>
            </w:pPr>
            <w:r>
              <w:rPr>
                <w:rFonts w:eastAsiaTheme="minorEastAsia"/>
                <w:color w:val="auto"/>
                <w:sz w:val="24"/>
              </w:rPr>
              <w:pict>
                <v:group id="_x0000_s2050" o:spid="_x0000_s2050" o:spt="203" style="height:135.2pt;width:416.5pt;" coordorigin="1807,2922" coordsize="8330,2704" editas="canvas">
                  <o:lock v:ext="edit"/>
                  <v:shape id="_x0000_s1810" o:spid="_x0000_s1810" o:spt="75" type="#_x0000_t75" style="position:absolute;left:1807;top:2922;height:2704;width:8330;" fillcolor="#FFFFFF" filled="t" stroked="f" coordsize="21600,21600">
                    <v:path/>
                    <v:fill on="t" color2="#FFFFFF" focussize="0,0"/>
                    <v:stroke on="f"/>
                    <v:imagedata o:title=""/>
                    <o:lock v:ext="edit" text="t" aspectratio="t"/>
                  </v:shape>
                  <v:rect id="_x0000_s2051" o:spid="_x0000_s2051" o:spt="1" style="position:absolute;left:2108;top:4153;height:467;width:1070;" fillcolor="#FFFFFF" filled="t" stroked="t" coordsize="21600,21600">
                    <v:path/>
                    <v:fill on="t" color2="#FFFFFF" focussize="0,0"/>
                    <v:stroke color="#000000" joinstyle="miter"/>
                    <v:imagedata o:title=""/>
                    <o:lock v:ext="edit" aspectratio="f"/>
                    <v:textbox>
                      <w:txbxContent>
                        <w:p w14:paraId="73A46149">
                          <w:pPr>
                            <w:jc w:val="center"/>
                          </w:pPr>
                          <w:r>
                            <w:t>新鲜水</w:t>
                          </w:r>
                        </w:p>
                      </w:txbxContent>
                    </v:textbox>
                  </v:rect>
                  <v:shape id="_x0000_s2052" o:spid="_x0000_s2052" o:spt="32" type="#_x0000_t32" style="position:absolute;left:3178;top:4397;height:2;width:614;" filled="f" stroked="t" coordsize="21600,21600">
                    <v:path arrowok="t"/>
                    <v:fill on="f" focussize="0,0"/>
                    <v:stroke color="#000000" endarrow="block"/>
                    <v:imagedata o:title=""/>
                    <o:lock v:ext="edit" aspectratio="f"/>
                  </v:shape>
                  <v:shape id="_x0000_s2053" o:spid="_x0000_s2053" o:spt="32" type="#_x0000_t32" style="position:absolute;left:3802;top:4312;flip:y;height:684;width:39;" filled="f" stroked="t" coordsize="21600,21600">
                    <v:path arrowok="t"/>
                    <v:fill on="f" focussize="0,0"/>
                    <v:stroke color="#000000"/>
                    <v:imagedata o:title=""/>
                    <o:lock v:ext="edit" aspectratio="f"/>
                  </v:shape>
                  <v:shape id="_x0000_s2054" o:spid="_x0000_s2054" o:spt="32" type="#_x0000_t32" style="position:absolute;left:3826;top:4985;height:3;width:614;" filled="f" stroked="t" coordsize="21600,21600">
                    <v:path arrowok="t"/>
                    <v:fill on="f" focussize="0,0"/>
                    <v:stroke color="#000000" endarrow="block"/>
                    <v:imagedata o:title=""/>
                    <o:lock v:ext="edit" aspectratio="f"/>
                  </v:shape>
                  <v:rect id="_x0000_s2055" o:spid="_x0000_s2055" o:spt="1" style="position:absolute;left:4908;top:3539;height:467;width:1395;" fillcolor="#FFFFFF" filled="t" stroked="t" coordsize="21600,21600">
                    <v:path/>
                    <v:fill on="t" color2="#FFFFFF" focussize="0,0"/>
                    <v:stroke color="#000000" joinstyle="miter"/>
                    <v:imagedata o:title=""/>
                    <o:lock v:ext="edit" aspectratio="f"/>
                    <v:textbox>
                      <w:txbxContent>
                        <w:p w14:paraId="27480BBC">
                          <w:pPr>
                            <w:jc w:val="center"/>
                          </w:pPr>
                          <w:r>
                            <w:rPr>
                              <w:rFonts w:hint="eastAsia"/>
                            </w:rPr>
                            <w:t>喷淋用水</w:t>
                          </w:r>
                        </w:p>
                      </w:txbxContent>
                    </v:textbox>
                  </v:rect>
                  <v:rect id="_x0000_s2056" o:spid="_x0000_s2056" o:spt="1" style="position:absolute;left:4457;top:4763;height:466;width:1395;" fillcolor="#FFFFFF" filled="t" stroked="t" coordsize="21600,21600">
                    <v:path/>
                    <v:fill on="t" color2="#FFFFFF" focussize="0,0"/>
                    <v:stroke color="#000000" joinstyle="miter"/>
                    <v:imagedata o:title=""/>
                    <o:lock v:ext="edit" aspectratio="f"/>
                    <v:textbox>
                      <w:txbxContent>
                        <w:p w14:paraId="0BBE439B">
                          <w:pPr>
                            <w:jc w:val="center"/>
                          </w:pPr>
                          <w:r>
                            <w:rPr>
                              <w:rFonts w:hint="eastAsia"/>
                            </w:rPr>
                            <w:t>生活用水</w:t>
                          </w:r>
                        </w:p>
                      </w:txbxContent>
                    </v:textbox>
                  </v:rect>
                  <v:shape id="_x0000_s2057" o:spid="_x0000_s2057" o:spt="37" type="#_x0000_t37" style="position:absolute;left:5703;top:3147;height:466;width:319;rotation:-5898240f;" filled="f" stroked="t" coordsize="21600,21600">
                    <v:path arrowok="t"/>
                    <v:fill on="f" focussize="0,0"/>
                    <v:stroke color="#000000" dashstyle="dash" endarrow="block"/>
                    <v:imagedata o:title=""/>
                    <o:lock v:ext="edit" aspectratio="f"/>
                  </v:shape>
                  <v:rect id="_x0000_s2058" o:spid="_x0000_s2058" o:spt="1" style="position:absolute;left:5970;top:3031;height:464;width:1288;" filled="f" stroked="f" coordsize="21600,21600">
                    <v:path/>
                    <v:fill on="f" focussize="0,0"/>
                    <v:stroke on="f"/>
                    <v:imagedata o:title=""/>
                    <o:lock v:ext="edit" aspectratio="f"/>
                    <v:textbox>
                      <w:txbxContent>
                        <w:p w14:paraId="35CCBBE2">
                          <w:pPr>
                            <w:jc w:val="center"/>
                            <w:rPr>
                              <w:rFonts w:hint="default" w:eastAsia="宋体"/>
                              <w:lang w:val="en-US" w:eastAsia="zh-CN"/>
                            </w:rPr>
                          </w:pPr>
                          <w:r>
                            <w:rPr>
                              <w:rFonts w:hint="eastAsia"/>
                            </w:rPr>
                            <w:t>损失：</w:t>
                          </w:r>
                          <w:r>
                            <w:rPr>
                              <w:rFonts w:hint="eastAsia"/>
                              <w:lang w:val="en-US" w:eastAsia="zh-CN"/>
                            </w:rPr>
                            <w:t>1.46</w:t>
                          </w:r>
                        </w:p>
                      </w:txbxContent>
                    </v:textbox>
                  </v:rect>
                  <v:shape id="_x0000_s2059" o:spid="_x0000_s2059" o:spt="32" type="#_x0000_t32" style="position:absolute;left:5864;top:4985;height:11;width:875;" filled="f" stroked="t" coordsize="21600,21600">
                    <v:path arrowok="t"/>
                    <v:fill on="f" focussize="0,0"/>
                    <v:stroke color="#000000" endarrow="block"/>
                    <v:imagedata o:title=""/>
                    <o:lock v:ext="edit" aspectratio="f"/>
                  </v:shape>
                  <v:shape id="_x0000_s2060" o:spid="_x0000_s2060" o:spt="37" type="#_x0000_t37" style="position:absolute;left:5216;top:4354;height:466;width:319;rotation:-5898240f;" filled="f" stroked="t" coordsize="21600,21600">
                    <v:path arrowok="t"/>
                    <v:fill on="f" focussize="0,0"/>
                    <v:stroke color="#000000" dashstyle="dash" endarrow="block"/>
                    <v:imagedata o:title=""/>
                    <o:lock v:ext="edit" aspectratio="f"/>
                  </v:shape>
                  <v:rect id="_x0000_s2061" o:spid="_x0000_s2061" o:spt="1" style="position:absolute;left:5470;top:4247;height:394;width:1288;" filled="f" stroked="f" coordsize="21600,21600">
                    <v:path/>
                    <v:fill on="f" focussize="0,0"/>
                    <v:stroke on="f"/>
                    <v:imagedata o:title=""/>
                    <o:lock v:ext="edit" aspectratio="f"/>
                    <v:textbox>
                      <w:txbxContent>
                        <w:p w14:paraId="4A8AEB1D">
                          <w:pPr>
                            <w:jc w:val="center"/>
                            <w:rPr>
                              <w:rFonts w:hint="default" w:eastAsia="宋体"/>
                              <w:lang w:val="en-US" w:eastAsia="zh-CN"/>
                            </w:rPr>
                          </w:pPr>
                          <w:r>
                            <w:rPr>
                              <w:rFonts w:hint="eastAsia"/>
                            </w:rPr>
                            <w:t>损失：0.</w:t>
                          </w:r>
                          <w:r>
                            <w:rPr>
                              <w:rFonts w:hint="eastAsia"/>
                              <w:lang w:val="en-US" w:eastAsia="zh-CN"/>
                            </w:rPr>
                            <w:t>096</w:t>
                          </w:r>
                        </w:p>
                      </w:txbxContent>
                    </v:textbox>
                  </v:rect>
                  <v:rect id="_x0000_s2062" o:spid="_x0000_s2062" o:spt="1" style="position:absolute;left:6722;top:4593;height:793;width:3104;" fillcolor="#FFFFFF" filled="t" stroked="t" coordsize="21600,21600">
                    <v:path/>
                    <v:fill on="t" color2="#FFFFFF" focussize="0,0"/>
                    <v:stroke color="#000000" joinstyle="miter"/>
                    <v:imagedata o:title=""/>
                    <o:lock v:ext="edit" aspectratio="f"/>
                    <v:textbox>
                      <w:txbxContent>
                        <w:p w14:paraId="78442DEE">
                          <w:pPr>
                            <w:rPr>
                              <w:color w:val="000000" w:themeColor="text1"/>
                              <w:szCs w:val="21"/>
                            </w:rPr>
                          </w:pPr>
                          <w:r>
                            <w:rPr>
                              <w:rFonts w:hint="eastAsia"/>
                              <w:color w:val="000000" w:themeColor="text1"/>
                              <w:szCs w:val="21"/>
                            </w:rPr>
                            <w:t>生活污水</w:t>
                          </w:r>
                          <w:r>
                            <w:rPr>
                              <w:rFonts w:hAnsiTheme="minorEastAsia" w:eastAsiaTheme="minorEastAsia"/>
                              <w:color w:val="000000" w:themeColor="text1"/>
                              <w:szCs w:val="21"/>
                            </w:rPr>
                            <w:t>排入防渗</w:t>
                          </w:r>
                          <w:r>
                            <w:rPr>
                              <w:rFonts w:hint="eastAsia" w:hAnsiTheme="minorEastAsia" w:eastAsiaTheme="minorEastAsia"/>
                              <w:color w:val="000000" w:themeColor="text1"/>
                              <w:szCs w:val="21"/>
                            </w:rPr>
                            <w:t>旱厕</w:t>
                          </w:r>
                          <w:r>
                            <w:rPr>
                              <w:rFonts w:hAnsiTheme="minorEastAsia" w:eastAsiaTheme="minorEastAsia"/>
                              <w:color w:val="000000" w:themeColor="text1"/>
                              <w:szCs w:val="21"/>
                            </w:rPr>
                            <w:t>，</w:t>
                          </w:r>
                          <w:r>
                            <w:rPr>
                              <w:rFonts w:hint="eastAsia" w:hAnsiTheme="minorEastAsia" w:eastAsiaTheme="minorEastAsia"/>
                              <w:color w:val="000000" w:themeColor="text1"/>
                              <w:szCs w:val="21"/>
                            </w:rPr>
                            <w:t>定期清掏，</w:t>
                          </w:r>
                          <w:r>
                            <w:rPr>
                              <w:rFonts w:hAnsiTheme="minorEastAsia" w:eastAsiaTheme="minorEastAsia"/>
                              <w:color w:val="000000" w:themeColor="text1"/>
                              <w:szCs w:val="21"/>
                            </w:rPr>
                            <w:t>外运堆肥，不外排</w:t>
                          </w:r>
                        </w:p>
                      </w:txbxContent>
                    </v:textbox>
                  </v:rect>
                  <v:rect id="_x0000_s2063" o:spid="_x0000_s2063" o:spt="1" style="position:absolute;left:3420;top:4602;height:464;width:1288;" filled="f" stroked="f" coordsize="21600,21600">
                    <v:path/>
                    <v:fill on="f" focussize="0,0"/>
                    <v:stroke on="f"/>
                    <v:imagedata o:title=""/>
                    <o:lock v:ext="edit" aspectratio="f"/>
                    <v:textbox>
                      <w:txbxContent>
                        <w:p w14:paraId="175947BC">
                          <w:pPr>
                            <w:jc w:val="center"/>
                            <w:rPr>
                              <w:rFonts w:hint="default" w:eastAsia="宋体"/>
                              <w:lang w:val="en-US" w:eastAsia="zh-CN"/>
                            </w:rPr>
                          </w:pPr>
                          <w:r>
                            <w:rPr>
                              <w:rFonts w:hint="eastAsia"/>
                              <w:lang w:val="en-US" w:eastAsia="zh-CN"/>
                            </w:rPr>
                            <w:t>0.48</w:t>
                          </w:r>
                        </w:p>
                      </w:txbxContent>
                    </v:textbox>
                  </v:rect>
                  <v:rect id="_x0000_s2064" o:spid="_x0000_s2064" o:spt="1" style="position:absolute;left:5630;top:4662;height:464;width:1288;" filled="f" stroked="f" coordsize="21600,21600">
                    <v:path/>
                    <v:fill on="f" focussize="0,0"/>
                    <v:stroke on="f"/>
                    <v:imagedata o:title=""/>
                    <o:lock v:ext="edit" aspectratio="f"/>
                    <v:textbox>
                      <w:txbxContent>
                        <w:p w14:paraId="126A6D1D">
                          <w:pPr>
                            <w:jc w:val="center"/>
                            <w:rPr>
                              <w:rFonts w:hint="default" w:eastAsia="宋体"/>
                              <w:lang w:val="en-US" w:eastAsia="zh-CN"/>
                            </w:rPr>
                          </w:pPr>
                          <w:r>
                            <w:rPr>
                              <w:rFonts w:hint="eastAsia"/>
                            </w:rPr>
                            <w:t>0.</w:t>
                          </w:r>
                          <w:r>
                            <w:rPr>
                              <w:rFonts w:hint="eastAsia"/>
                              <w:lang w:val="en-US" w:eastAsia="zh-CN"/>
                            </w:rPr>
                            <w:t>384</w:t>
                          </w:r>
                        </w:p>
                      </w:txbxContent>
                    </v:textbox>
                  </v:rect>
                  <v:rect id="_x0000_s2065" o:spid="_x0000_s2065" o:spt="1" style="position:absolute;left:3064;top:4080;height:463;width:777;" filled="f" stroked="f" coordsize="21600,21600">
                    <v:path/>
                    <v:fill on="f" focussize="0,0"/>
                    <v:stroke on="f"/>
                    <v:imagedata o:title=""/>
                    <o:lock v:ext="edit" aspectratio="f"/>
                    <v:textbox>
                      <w:txbxContent>
                        <w:p w14:paraId="78CD64E7">
                          <w:pPr>
                            <w:jc w:val="center"/>
                            <w:rPr>
                              <w:rFonts w:hint="default" w:eastAsia="宋体"/>
                              <w:lang w:val="en-US" w:eastAsia="zh-CN"/>
                            </w:rPr>
                          </w:pPr>
                          <w:r>
                            <w:rPr>
                              <w:rFonts w:hint="eastAsia"/>
                              <w:lang w:val="en-US" w:eastAsia="zh-CN"/>
                            </w:rPr>
                            <w:t>0.48</w:t>
                          </w:r>
                        </w:p>
                      </w:txbxContent>
                    </v:textbox>
                  </v:rect>
                  <v:rect id="_x0000_s2066" o:spid="_x0000_s2066" o:spt="1" style="position:absolute;left:1989;top:3373;height:467;width:1170;" fillcolor="#FFFFFF" filled="t" stroked="t" coordsize="21600,21600">
                    <v:path/>
                    <v:fill on="t" color2="#FFFFFF" focussize="0,0"/>
                    <v:stroke color="#000000" joinstyle="miter"/>
                    <v:imagedata o:title=""/>
                    <o:lock v:ext="edit" aspectratio="f"/>
                    <v:textbox>
                      <w:txbxContent>
                        <w:p w14:paraId="688522DF">
                          <w:pPr>
                            <w:jc w:val="center"/>
                          </w:pPr>
                          <w:r>
                            <w:rPr>
                              <w:rFonts w:hint="eastAsia"/>
                            </w:rPr>
                            <w:t>初期</w:t>
                          </w:r>
                          <w:r>
                            <w:t>雨水</w:t>
                          </w:r>
                        </w:p>
                      </w:txbxContent>
                    </v:textbox>
                  </v:rect>
                  <v:shape id="_x0000_s2067" o:spid="_x0000_s2067" o:spt="32" type="#_x0000_t32" style="position:absolute;left:3149;top:3600;height:1;width:1767;" filled="f" stroked="t" coordsize="21600,21600">
                    <v:path arrowok="t"/>
                    <v:fill on="f" focussize="0,0"/>
                    <v:stroke color="#000000" endarrow="block"/>
                    <v:imagedata o:title=""/>
                    <o:lock v:ext="edit" aspectratio="f"/>
                  </v:shape>
                  <v:rect id="_x0000_s2068" o:spid="_x0000_s2068" o:spt="1" style="position:absolute;left:3643;top:3239;height:464;width:656;" filled="f" stroked="f" coordsize="21600,21600">
                    <v:path/>
                    <v:fill on="f" focussize="0,0"/>
                    <v:stroke on="f"/>
                    <v:imagedata o:title=""/>
                    <o:lock v:ext="edit" aspectratio="f"/>
                    <v:textbox>
                      <w:txbxContent>
                        <w:p w14:paraId="45069105">
                          <w:pPr>
                            <w:jc w:val="center"/>
                            <w:rPr>
                              <w:rFonts w:hint="default" w:eastAsia="宋体"/>
                              <w:lang w:val="en-US" w:eastAsia="zh-CN"/>
                            </w:rPr>
                          </w:pPr>
                          <w:r>
                            <w:rPr>
                              <w:rFonts w:hint="eastAsia"/>
                            </w:rPr>
                            <w:t>1.</w:t>
                          </w:r>
                          <w:r>
                            <w:rPr>
                              <w:rFonts w:hint="eastAsia"/>
                              <w:lang w:val="en-US" w:eastAsia="zh-CN"/>
                            </w:rPr>
                            <w:t>46</w:t>
                          </w:r>
                        </w:p>
                      </w:txbxContent>
                    </v:textbox>
                  </v:rect>
                  <w10:wrap type="none"/>
                  <w10:anchorlock/>
                </v:group>
              </w:pict>
            </w:r>
          </w:p>
          <w:p w14:paraId="437FFD8A">
            <w:pPr>
              <w:spacing w:line="360" w:lineRule="auto"/>
              <w:contextualSpacing/>
              <w:jc w:val="center"/>
              <w:rPr>
                <w:rFonts w:eastAsiaTheme="minorEastAsia"/>
                <w:b/>
                <w:color w:val="auto"/>
                <w:sz w:val="24"/>
              </w:rPr>
            </w:pPr>
            <w:r>
              <w:rPr>
                <w:rFonts w:hAnsiTheme="minorEastAsia" w:eastAsiaTheme="minorEastAsia"/>
                <w:b/>
                <w:color w:val="auto"/>
                <w:sz w:val="24"/>
              </w:rPr>
              <w:t>图</w:t>
            </w:r>
            <w:r>
              <w:rPr>
                <w:rFonts w:eastAsiaTheme="minorEastAsia"/>
                <w:b/>
                <w:color w:val="auto"/>
                <w:sz w:val="24"/>
              </w:rPr>
              <w:t>2-</w:t>
            </w:r>
            <w:r>
              <w:rPr>
                <w:rFonts w:hint="eastAsia" w:eastAsiaTheme="minorEastAsia"/>
                <w:b/>
                <w:color w:val="auto"/>
                <w:sz w:val="24"/>
                <w:lang w:val="en-US" w:eastAsia="zh-CN"/>
              </w:rPr>
              <w:t>1</w:t>
            </w:r>
            <w:r>
              <w:rPr>
                <w:rFonts w:hAnsiTheme="minorEastAsia" w:eastAsiaTheme="minorEastAsia"/>
                <w:b/>
                <w:color w:val="auto"/>
                <w:sz w:val="24"/>
              </w:rPr>
              <w:t>项目水量平衡图</w:t>
            </w:r>
            <w:r>
              <w:rPr>
                <w:rFonts w:eastAsiaTheme="minorEastAsia"/>
                <w:b/>
                <w:color w:val="auto"/>
                <w:sz w:val="24"/>
              </w:rPr>
              <w:t xml:space="preserve">  </w:t>
            </w:r>
            <w:r>
              <w:rPr>
                <w:rFonts w:hAnsiTheme="minorEastAsia" w:eastAsiaTheme="minorEastAsia"/>
                <w:b/>
                <w:color w:val="auto"/>
                <w:sz w:val="24"/>
              </w:rPr>
              <w:t>单位：</w:t>
            </w:r>
            <w:r>
              <w:rPr>
                <w:rFonts w:eastAsiaTheme="minorEastAsia"/>
                <w:b/>
                <w:color w:val="auto"/>
                <w:sz w:val="24"/>
              </w:rPr>
              <w:t>t/d</w:t>
            </w:r>
          </w:p>
          <w:p w14:paraId="668D3139">
            <w:pPr>
              <w:spacing w:line="360" w:lineRule="auto"/>
              <w:ind w:firstLine="480" w:firstLineChars="200"/>
              <w:contextualSpacing/>
              <w:jc w:val="left"/>
              <w:rPr>
                <w:color w:val="auto"/>
                <w:kern w:val="0"/>
                <w:sz w:val="24"/>
              </w:rPr>
            </w:pPr>
            <w:r>
              <w:rPr>
                <w:bCs/>
                <w:color w:val="auto"/>
                <w:kern w:val="0"/>
                <w:sz w:val="24"/>
              </w:rPr>
              <w:t>（3）供热：本项目</w:t>
            </w:r>
            <w:r>
              <w:rPr>
                <w:rFonts w:hint="eastAsia"/>
                <w:bCs/>
                <w:color w:val="auto"/>
                <w:kern w:val="0"/>
                <w:sz w:val="24"/>
              </w:rPr>
              <w:t>冬季采用电取暖，</w:t>
            </w:r>
            <w:r>
              <w:rPr>
                <w:bCs/>
                <w:color w:val="auto"/>
                <w:kern w:val="0"/>
                <w:sz w:val="24"/>
              </w:rPr>
              <w:t>1台</w:t>
            </w:r>
            <w:r>
              <w:rPr>
                <w:rFonts w:hint="eastAsia"/>
                <w:bCs/>
                <w:color w:val="auto"/>
                <w:kern w:val="0"/>
                <w:sz w:val="24"/>
                <w:highlight w:val="none"/>
              </w:rPr>
              <w:t>28MW</w:t>
            </w:r>
            <w:r>
              <w:rPr>
                <w:bCs/>
                <w:color w:val="auto"/>
                <w:kern w:val="0"/>
                <w:sz w:val="24"/>
                <w:highlight w:val="none"/>
              </w:rPr>
              <w:t>燃</w:t>
            </w:r>
            <w:r>
              <w:rPr>
                <w:rFonts w:hint="eastAsia"/>
                <w:bCs/>
                <w:color w:val="auto"/>
                <w:kern w:val="0"/>
                <w:sz w:val="24"/>
                <w:highlight w:val="none"/>
              </w:rPr>
              <w:t>天然气</w:t>
            </w:r>
            <w:r>
              <w:rPr>
                <w:bCs/>
                <w:color w:val="auto"/>
                <w:kern w:val="0"/>
                <w:sz w:val="24"/>
                <w:highlight w:val="none"/>
              </w:rPr>
              <w:t>燃烧器</w:t>
            </w:r>
            <w:r>
              <w:rPr>
                <w:bCs/>
                <w:color w:val="auto"/>
                <w:kern w:val="0"/>
                <w:sz w:val="24"/>
              </w:rPr>
              <w:t>提供</w:t>
            </w:r>
            <w:r>
              <w:rPr>
                <w:rFonts w:hint="eastAsia"/>
                <w:bCs/>
                <w:color w:val="auto"/>
                <w:kern w:val="0"/>
                <w:sz w:val="24"/>
              </w:rPr>
              <w:t>热量</w:t>
            </w:r>
            <w:r>
              <w:rPr>
                <w:bCs/>
                <w:color w:val="auto"/>
                <w:kern w:val="0"/>
                <w:sz w:val="24"/>
              </w:rPr>
              <w:t>用于加热碎石。沥青罐内的沥青通过1台</w:t>
            </w:r>
            <w:r>
              <w:rPr>
                <w:rFonts w:hint="eastAsia"/>
                <w:bCs/>
                <w:color w:val="auto"/>
                <w:kern w:val="0"/>
                <w:sz w:val="24"/>
                <w:lang w:val="en-US" w:eastAsia="zh-CN"/>
              </w:rPr>
              <w:t>1.5t/h燃气</w:t>
            </w:r>
            <w:r>
              <w:rPr>
                <w:bCs/>
                <w:color w:val="auto"/>
                <w:kern w:val="0"/>
                <w:sz w:val="24"/>
              </w:rPr>
              <w:t>导热油炉间接加热，使其维持在150℃</w:t>
            </w:r>
            <w:r>
              <w:rPr>
                <w:rFonts w:hint="eastAsia"/>
                <w:bCs/>
                <w:color w:val="auto"/>
                <w:kern w:val="0"/>
                <w:sz w:val="24"/>
              </w:rPr>
              <w:t>-160</w:t>
            </w:r>
            <w:r>
              <w:rPr>
                <w:bCs/>
                <w:color w:val="auto"/>
                <w:kern w:val="0"/>
                <w:sz w:val="24"/>
              </w:rPr>
              <w:t>℃。</w:t>
            </w:r>
          </w:p>
          <w:p w14:paraId="78E33C05">
            <w:pPr>
              <w:spacing w:line="360" w:lineRule="auto"/>
              <w:ind w:firstLine="480" w:firstLineChars="200"/>
              <w:contextualSpacing/>
              <w:jc w:val="left"/>
              <w:rPr>
                <w:color w:val="auto"/>
                <w:kern w:val="0"/>
                <w:sz w:val="24"/>
              </w:rPr>
            </w:pPr>
            <w:r>
              <w:rPr>
                <w:color w:val="auto"/>
                <w:kern w:val="0"/>
                <w:sz w:val="24"/>
              </w:rPr>
              <w:t>（4）供电：由当地供电系统提供。</w:t>
            </w:r>
          </w:p>
          <w:p w14:paraId="5A4AA1EC">
            <w:pPr>
              <w:spacing w:line="360" w:lineRule="auto"/>
              <w:ind w:firstLine="482" w:firstLineChars="200"/>
              <w:contextualSpacing/>
              <w:jc w:val="left"/>
              <w:rPr>
                <w:b/>
                <w:color w:val="auto"/>
                <w:kern w:val="0"/>
                <w:sz w:val="24"/>
              </w:rPr>
            </w:pPr>
            <w:r>
              <w:rPr>
                <w:b/>
                <w:color w:val="auto"/>
                <w:kern w:val="0"/>
                <w:sz w:val="24"/>
              </w:rPr>
              <w:t>5、劳动定员及工作制度</w:t>
            </w:r>
          </w:p>
          <w:p w14:paraId="1B88BD1D">
            <w:pPr>
              <w:spacing w:line="360" w:lineRule="auto"/>
              <w:ind w:firstLine="480" w:firstLineChars="200"/>
              <w:contextualSpacing/>
              <w:jc w:val="left"/>
              <w:rPr>
                <w:color w:val="auto"/>
                <w:kern w:val="0"/>
                <w:sz w:val="24"/>
              </w:rPr>
            </w:pPr>
            <w:r>
              <w:rPr>
                <w:color w:val="auto"/>
                <w:sz w:val="24"/>
              </w:rPr>
              <w:t>本项目员工人数为</w:t>
            </w:r>
            <w:r>
              <w:rPr>
                <w:rFonts w:hint="eastAsia"/>
                <w:color w:val="auto"/>
                <w:sz w:val="24"/>
                <w:lang w:val="en-US" w:eastAsia="zh-CN"/>
              </w:rPr>
              <w:t>6</w:t>
            </w:r>
            <w:r>
              <w:rPr>
                <w:color w:val="auto"/>
                <w:sz w:val="24"/>
              </w:rPr>
              <w:t>人，</w:t>
            </w:r>
            <w:r>
              <w:rPr>
                <w:rFonts w:hint="eastAsia"/>
                <w:color w:val="auto"/>
                <w:sz w:val="24"/>
                <w:lang w:val="en-US" w:eastAsia="zh-CN"/>
              </w:rPr>
              <w:t>4</w:t>
            </w:r>
            <w:r>
              <w:rPr>
                <w:color w:val="auto"/>
                <w:sz w:val="24"/>
              </w:rPr>
              <w:t>月到11月年工作2</w:t>
            </w:r>
            <w:r>
              <w:rPr>
                <w:rFonts w:hint="eastAsia"/>
                <w:color w:val="auto"/>
                <w:sz w:val="24"/>
                <w:lang w:val="en-US" w:eastAsia="zh-CN"/>
              </w:rPr>
              <w:t>4</w:t>
            </w:r>
            <w:r>
              <w:rPr>
                <w:color w:val="auto"/>
                <w:sz w:val="24"/>
              </w:rPr>
              <w:t>0天，</w:t>
            </w:r>
            <w:r>
              <w:rPr>
                <w:rFonts w:hint="eastAsia"/>
                <w:color w:val="auto"/>
                <w:sz w:val="24"/>
              </w:rPr>
              <w:t>1</w:t>
            </w:r>
            <w:r>
              <w:rPr>
                <w:rFonts w:hint="eastAsia" w:ascii="宋体" w:hAnsi="宋体"/>
                <w:color w:val="auto"/>
                <w:sz w:val="24"/>
              </w:rPr>
              <w:t>班制，每班</w:t>
            </w:r>
            <w:r>
              <w:rPr>
                <w:rFonts w:hint="eastAsia"/>
                <w:color w:val="auto"/>
                <w:sz w:val="24"/>
              </w:rPr>
              <w:t>10</w:t>
            </w:r>
            <w:r>
              <w:rPr>
                <w:rFonts w:hint="eastAsia" w:ascii="宋体" w:hAnsi="宋体"/>
                <w:color w:val="auto"/>
                <w:sz w:val="24"/>
              </w:rPr>
              <w:t>小时</w:t>
            </w:r>
            <w:r>
              <w:rPr>
                <w:color w:val="auto"/>
                <w:sz w:val="24"/>
              </w:rPr>
              <w:t>。</w:t>
            </w:r>
          </w:p>
          <w:p w14:paraId="43503C18">
            <w:pPr>
              <w:spacing w:line="360" w:lineRule="auto"/>
              <w:ind w:firstLine="482" w:firstLineChars="200"/>
              <w:contextualSpacing/>
              <w:jc w:val="left"/>
              <w:rPr>
                <w:b/>
                <w:color w:val="auto"/>
                <w:kern w:val="0"/>
                <w:sz w:val="24"/>
              </w:rPr>
            </w:pPr>
            <w:r>
              <w:rPr>
                <w:b/>
                <w:color w:val="auto"/>
                <w:kern w:val="0"/>
                <w:sz w:val="24"/>
              </w:rPr>
              <w:t>6、厂区平面布置</w:t>
            </w:r>
          </w:p>
          <w:p w14:paraId="2B5B9F18">
            <w:pPr>
              <w:spacing w:line="360" w:lineRule="auto"/>
              <w:ind w:firstLine="480" w:firstLineChars="200"/>
              <w:contextualSpacing/>
              <w:jc w:val="left"/>
              <w:rPr>
                <w:color w:val="auto"/>
                <w:kern w:val="0"/>
                <w:sz w:val="24"/>
              </w:rPr>
            </w:pPr>
            <w:r>
              <w:rPr>
                <w:color w:val="auto"/>
                <w:kern w:val="0"/>
                <w:sz w:val="24"/>
              </w:rPr>
              <w:t>本项目</w:t>
            </w:r>
            <w:r>
              <w:rPr>
                <w:rFonts w:hint="eastAsia"/>
                <w:color w:val="auto"/>
                <w:kern w:val="0"/>
                <w:sz w:val="24"/>
              </w:rPr>
              <w:t>碎石堆场位于厂区</w:t>
            </w:r>
            <w:r>
              <w:rPr>
                <w:rFonts w:hint="eastAsia"/>
                <w:color w:val="auto"/>
                <w:kern w:val="0"/>
                <w:sz w:val="24"/>
                <w:lang w:val="en-US" w:eastAsia="zh-CN"/>
              </w:rPr>
              <w:t>北</w:t>
            </w:r>
            <w:r>
              <w:rPr>
                <w:rFonts w:hint="eastAsia"/>
                <w:color w:val="auto"/>
                <w:kern w:val="0"/>
                <w:sz w:val="24"/>
              </w:rPr>
              <w:t>侧，</w:t>
            </w:r>
            <w:r>
              <w:rPr>
                <w:color w:val="auto"/>
                <w:kern w:val="0"/>
                <w:sz w:val="24"/>
              </w:rPr>
              <w:t>搅拌站位于</w:t>
            </w:r>
            <w:r>
              <w:rPr>
                <w:rFonts w:hint="eastAsia"/>
                <w:color w:val="auto"/>
                <w:kern w:val="0"/>
                <w:sz w:val="24"/>
              </w:rPr>
              <w:t>厂区中部，沥青罐位于</w:t>
            </w:r>
            <w:r>
              <w:rPr>
                <w:color w:val="auto"/>
                <w:kern w:val="0"/>
                <w:sz w:val="24"/>
              </w:rPr>
              <w:t>搅拌站</w:t>
            </w:r>
            <w:r>
              <w:rPr>
                <w:rFonts w:hint="eastAsia"/>
                <w:color w:val="auto"/>
                <w:kern w:val="0"/>
                <w:sz w:val="24"/>
                <w:lang w:val="en-US" w:eastAsia="zh-CN"/>
              </w:rPr>
              <w:t>东</w:t>
            </w:r>
            <w:r>
              <w:rPr>
                <w:color w:val="auto"/>
                <w:kern w:val="0"/>
                <w:sz w:val="24"/>
              </w:rPr>
              <w:t>侧，</w:t>
            </w:r>
            <w:r>
              <w:rPr>
                <w:rFonts w:hint="eastAsia"/>
                <w:color w:val="auto"/>
                <w:kern w:val="0"/>
                <w:sz w:val="24"/>
                <w:lang w:val="en-US" w:eastAsia="zh-CN"/>
              </w:rPr>
              <w:t>上料仓</w:t>
            </w:r>
            <w:r>
              <w:rPr>
                <w:rFonts w:hint="eastAsia"/>
                <w:color w:val="auto"/>
                <w:kern w:val="0"/>
                <w:sz w:val="24"/>
              </w:rPr>
              <w:t>位于</w:t>
            </w:r>
            <w:r>
              <w:rPr>
                <w:color w:val="auto"/>
                <w:kern w:val="0"/>
                <w:sz w:val="24"/>
              </w:rPr>
              <w:t>搅拌站</w:t>
            </w:r>
            <w:r>
              <w:rPr>
                <w:rFonts w:hint="eastAsia"/>
                <w:color w:val="auto"/>
                <w:kern w:val="0"/>
                <w:sz w:val="24"/>
                <w:lang w:val="en-US" w:eastAsia="zh-CN"/>
              </w:rPr>
              <w:t>西</w:t>
            </w:r>
            <w:r>
              <w:rPr>
                <w:color w:val="auto"/>
                <w:kern w:val="0"/>
                <w:sz w:val="24"/>
              </w:rPr>
              <w:t>侧，距离</w:t>
            </w:r>
            <w:r>
              <w:rPr>
                <w:rFonts w:hint="eastAsia"/>
                <w:color w:val="auto"/>
                <w:kern w:val="0"/>
                <w:sz w:val="24"/>
              </w:rPr>
              <w:t>搅拌站</w:t>
            </w:r>
            <w:r>
              <w:rPr>
                <w:color w:val="auto"/>
                <w:kern w:val="0"/>
                <w:sz w:val="24"/>
              </w:rPr>
              <w:t>较近，便于运输</w:t>
            </w:r>
            <w:r>
              <w:rPr>
                <w:rFonts w:hint="eastAsia"/>
                <w:color w:val="auto"/>
                <w:kern w:val="0"/>
                <w:sz w:val="24"/>
              </w:rPr>
              <w:t>，</w:t>
            </w:r>
            <w:r>
              <w:rPr>
                <w:color w:val="auto"/>
                <w:kern w:val="0"/>
                <w:sz w:val="24"/>
              </w:rPr>
              <w:t>地秤位于厂区</w:t>
            </w:r>
            <w:r>
              <w:rPr>
                <w:rFonts w:hint="eastAsia"/>
                <w:color w:val="auto"/>
                <w:kern w:val="0"/>
                <w:sz w:val="24"/>
                <w:lang w:val="en-US" w:eastAsia="zh-CN"/>
              </w:rPr>
              <w:t>东南</w:t>
            </w:r>
            <w:r>
              <w:rPr>
                <w:color w:val="auto"/>
                <w:kern w:val="0"/>
                <w:sz w:val="24"/>
              </w:rPr>
              <w:t>侧，正对大门，</w:t>
            </w:r>
            <w:r>
              <w:rPr>
                <w:rFonts w:hint="eastAsia"/>
                <w:color w:val="auto"/>
                <w:kern w:val="0"/>
                <w:sz w:val="24"/>
                <w:lang w:val="en-US" w:eastAsia="zh-CN"/>
              </w:rPr>
              <w:t>办公</w:t>
            </w:r>
            <w:r>
              <w:rPr>
                <w:color w:val="auto"/>
                <w:kern w:val="0"/>
                <w:sz w:val="24"/>
              </w:rPr>
              <w:t>室位于</w:t>
            </w:r>
            <w:r>
              <w:rPr>
                <w:rFonts w:hint="eastAsia"/>
                <w:color w:val="auto"/>
                <w:kern w:val="0"/>
                <w:sz w:val="24"/>
              </w:rPr>
              <w:t>厂区西</w:t>
            </w:r>
            <w:r>
              <w:rPr>
                <w:rFonts w:hint="eastAsia"/>
                <w:color w:val="auto"/>
                <w:kern w:val="0"/>
                <w:sz w:val="24"/>
                <w:lang w:val="en-US" w:eastAsia="zh-CN"/>
              </w:rPr>
              <w:t>南</w:t>
            </w:r>
            <w:r>
              <w:rPr>
                <w:color w:val="auto"/>
                <w:kern w:val="0"/>
                <w:sz w:val="24"/>
              </w:rPr>
              <w:t>侧，</w:t>
            </w:r>
            <w:r>
              <w:rPr>
                <w:rFonts w:hint="eastAsia"/>
                <w:color w:val="auto"/>
                <w:kern w:val="0"/>
                <w:sz w:val="24"/>
              </w:rPr>
              <w:t>危废贮存</w:t>
            </w:r>
            <w:r>
              <w:rPr>
                <w:color w:val="auto"/>
                <w:kern w:val="0"/>
                <w:sz w:val="24"/>
              </w:rPr>
              <w:t>位于</w:t>
            </w:r>
            <w:r>
              <w:rPr>
                <w:rFonts w:hint="eastAsia"/>
                <w:color w:val="auto"/>
                <w:kern w:val="0"/>
                <w:sz w:val="24"/>
              </w:rPr>
              <w:t>厂区</w:t>
            </w:r>
            <w:r>
              <w:rPr>
                <w:rFonts w:hint="eastAsia"/>
                <w:color w:val="auto"/>
                <w:kern w:val="0"/>
                <w:sz w:val="24"/>
                <w:lang w:val="en-US" w:eastAsia="zh-CN"/>
              </w:rPr>
              <w:t>东</w:t>
            </w:r>
            <w:r>
              <w:rPr>
                <w:color w:val="auto"/>
                <w:kern w:val="0"/>
                <w:sz w:val="24"/>
              </w:rPr>
              <w:t>侧</w:t>
            </w:r>
            <w:r>
              <w:rPr>
                <w:rFonts w:hint="eastAsia"/>
                <w:color w:val="auto"/>
                <w:kern w:val="0"/>
                <w:sz w:val="24"/>
              </w:rPr>
              <w:t>，</w:t>
            </w:r>
            <w:r>
              <w:rPr>
                <w:color w:val="auto"/>
                <w:kern w:val="0"/>
                <w:sz w:val="24"/>
              </w:rPr>
              <w:t>位于常年主导风向的</w:t>
            </w:r>
            <w:r>
              <w:rPr>
                <w:rFonts w:hint="eastAsia"/>
                <w:color w:val="auto"/>
                <w:kern w:val="0"/>
                <w:sz w:val="24"/>
                <w:lang w:val="en-US" w:eastAsia="zh-CN"/>
              </w:rPr>
              <w:t>上</w:t>
            </w:r>
            <w:r>
              <w:rPr>
                <w:color w:val="auto"/>
                <w:kern w:val="0"/>
                <w:sz w:val="24"/>
              </w:rPr>
              <w:t>风向，总体布局合理</w:t>
            </w:r>
            <w:r>
              <w:rPr>
                <w:color w:val="auto"/>
                <w:kern w:val="0"/>
                <w:sz w:val="24"/>
              </w:rPr>
              <w:t>。厂区平面布置图见附图</w:t>
            </w:r>
            <w:r>
              <w:rPr>
                <w:rFonts w:hint="eastAsia"/>
                <w:color w:val="auto"/>
                <w:kern w:val="0"/>
                <w:sz w:val="24"/>
              </w:rPr>
              <w:t>2</w:t>
            </w:r>
            <w:r>
              <w:rPr>
                <w:color w:val="auto"/>
                <w:kern w:val="0"/>
                <w:sz w:val="24"/>
              </w:rPr>
              <w:t>。</w:t>
            </w:r>
          </w:p>
          <w:p w14:paraId="21EE15AC">
            <w:pPr>
              <w:spacing w:line="360" w:lineRule="auto"/>
              <w:ind w:firstLine="482" w:firstLineChars="200"/>
              <w:contextualSpacing/>
              <w:jc w:val="left"/>
              <w:rPr>
                <w:color w:val="auto"/>
                <w:kern w:val="0"/>
                <w:sz w:val="24"/>
              </w:rPr>
            </w:pPr>
            <w:r>
              <w:rPr>
                <w:rFonts w:hint="eastAsia"/>
                <w:b/>
                <w:color w:val="auto"/>
                <w:kern w:val="0"/>
                <w:sz w:val="24"/>
              </w:rPr>
              <w:t>8</w:t>
            </w:r>
            <w:r>
              <w:rPr>
                <w:b/>
                <w:color w:val="auto"/>
                <w:kern w:val="0"/>
                <w:sz w:val="24"/>
              </w:rPr>
              <w:t>、</w:t>
            </w:r>
            <w:r>
              <w:rPr>
                <w:rFonts w:hint="eastAsia"/>
                <w:b/>
                <w:color w:val="auto"/>
                <w:kern w:val="0"/>
                <w:sz w:val="24"/>
              </w:rPr>
              <w:t>环保</w:t>
            </w:r>
            <w:r>
              <w:rPr>
                <w:b/>
                <w:color w:val="auto"/>
                <w:kern w:val="0"/>
                <w:sz w:val="24"/>
              </w:rPr>
              <w:t>投资</w:t>
            </w:r>
          </w:p>
          <w:p w14:paraId="6463844F">
            <w:pPr>
              <w:spacing w:line="360" w:lineRule="auto"/>
              <w:ind w:firstLine="480" w:firstLineChars="200"/>
              <w:contextualSpacing/>
              <w:jc w:val="left"/>
              <w:rPr>
                <w:rFonts w:ascii="宋体" w:hAnsi="宋体"/>
                <w:color w:val="auto"/>
                <w:sz w:val="24"/>
              </w:rPr>
            </w:pPr>
            <w:r>
              <w:rPr>
                <w:rFonts w:hint="eastAsia" w:ascii="宋体" w:hAnsi="宋体"/>
                <w:color w:val="auto"/>
                <w:sz w:val="24"/>
              </w:rPr>
              <w:t>本项目总投资</w:t>
            </w:r>
            <w:r>
              <w:rPr>
                <w:rFonts w:hint="eastAsia"/>
                <w:color w:val="auto"/>
                <w:sz w:val="24"/>
              </w:rPr>
              <w:t>4</w:t>
            </w:r>
            <w:r>
              <w:rPr>
                <w:rFonts w:hint="eastAsia"/>
                <w:color w:val="auto"/>
                <w:sz w:val="24"/>
                <w:lang w:val="en-US" w:eastAsia="zh-CN"/>
              </w:rPr>
              <w:t>6</w:t>
            </w:r>
            <w:r>
              <w:rPr>
                <w:rFonts w:hint="eastAsia"/>
                <w:color w:val="auto"/>
                <w:sz w:val="24"/>
              </w:rPr>
              <w:t>0</w:t>
            </w:r>
            <w:r>
              <w:rPr>
                <w:rFonts w:hint="eastAsia" w:ascii="宋体" w:hAnsi="宋体"/>
                <w:color w:val="auto"/>
                <w:sz w:val="24"/>
              </w:rPr>
              <w:t>万元，其中环保投资</w:t>
            </w:r>
            <w:r>
              <w:rPr>
                <w:rFonts w:hint="eastAsia"/>
                <w:color w:val="auto"/>
                <w:sz w:val="24"/>
              </w:rPr>
              <w:t>120</w:t>
            </w:r>
            <w:r>
              <w:rPr>
                <w:rFonts w:hint="eastAsia" w:ascii="宋体" w:hAnsi="宋体"/>
                <w:color w:val="auto"/>
                <w:sz w:val="24"/>
              </w:rPr>
              <w:t>万元，占工程总投资的</w:t>
            </w:r>
            <w:r>
              <w:rPr>
                <w:rFonts w:hint="eastAsia"/>
                <w:color w:val="auto"/>
                <w:sz w:val="24"/>
              </w:rPr>
              <w:t>26.</w:t>
            </w:r>
            <w:r>
              <w:rPr>
                <w:rFonts w:hint="eastAsia"/>
                <w:color w:val="auto"/>
                <w:sz w:val="24"/>
                <w:lang w:val="en-US" w:eastAsia="zh-CN"/>
              </w:rPr>
              <w:t>1</w:t>
            </w:r>
            <w:r>
              <w:rPr>
                <w:rFonts w:hint="eastAsia"/>
                <w:color w:val="auto"/>
                <w:sz w:val="24"/>
              </w:rPr>
              <w:t>%</w:t>
            </w:r>
            <w:r>
              <w:rPr>
                <w:rFonts w:hint="eastAsia" w:ascii="宋体" w:hAnsi="宋体"/>
                <w:color w:val="auto"/>
                <w:sz w:val="24"/>
              </w:rPr>
              <w:t>。项目环保投资见下表。</w:t>
            </w:r>
          </w:p>
          <w:p w14:paraId="212AB4B8">
            <w:pPr>
              <w:ind w:firstLine="482" w:firstLineChars="200"/>
              <w:contextualSpacing/>
              <w:jc w:val="center"/>
              <w:rPr>
                <w:color w:val="auto"/>
                <w:kern w:val="0"/>
                <w:sz w:val="24"/>
              </w:rPr>
            </w:pPr>
            <w:r>
              <w:rPr>
                <w:rFonts w:hint="eastAsia"/>
                <w:b/>
                <w:color w:val="auto"/>
                <w:sz w:val="24"/>
              </w:rPr>
              <w:t>表2</w:t>
            </w:r>
            <w:r>
              <w:rPr>
                <w:b/>
                <w:color w:val="auto"/>
                <w:sz w:val="24"/>
              </w:rPr>
              <w:t>-</w:t>
            </w:r>
            <w:r>
              <w:rPr>
                <w:rFonts w:hint="eastAsia"/>
                <w:b/>
                <w:color w:val="auto"/>
                <w:sz w:val="24"/>
                <w:lang w:val="en-US" w:eastAsia="zh-CN"/>
              </w:rPr>
              <w:t>6</w:t>
            </w:r>
            <w:r>
              <w:rPr>
                <w:rFonts w:hint="eastAsia"/>
                <w:b/>
                <w:color w:val="auto"/>
                <w:sz w:val="24"/>
              </w:rPr>
              <w:t>环保投资一览表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4"/>
              <w:gridCol w:w="1219"/>
              <w:gridCol w:w="4484"/>
              <w:gridCol w:w="1717"/>
            </w:tblGrid>
            <w:tr w14:paraId="779FA8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1306" w:type="pct"/>
                  <w:gridSpan w:val="2"/>
                  <w:vMerge w:val="restart"/>
                  <w:tcBorders>
                    <w:top w:val="single" w:color="000000" w:sz="12" w:space="0"/>
                    <w:left w:val="nil"/>
                    <w:bottom w:val="single" w:color="000000" w:sz="4" w:space="0"/>
                    <w:right w:val="single" w:color="000000" w:sz="4" w:space="0"/>
                  </w:tcBorders>
                  <w:vAlign w:val="center"/>
                </w:tcPr>
                <w:p w14:paraId="4AA90382">
                  <w:pPr>
                    <w:contextualSpacing/>
                    <w:jc w:val="center"/>
                    <w:rPr>
                      <w:rFonts w:eastAsiaTheme="minorEastAsia"/>
                      <w:color w:val="auto"/>
                      <w:szCs w:val="21"/>
                    </w:rPr>
                  </w:pPr>
                  <w:r>
                    <w:rPr>
                      <w:rFonts w:eastAsiaTheme="minorEastAsia"/>
                      <w:color w:val="auto"/>
                    </w:rPr>
                    <w:t>项目</w:t>
                  </w:r>
                </w:p>
              </w:tc>
              <w:tc>
                <w:tcPr>
                  <w:tcW w:w="3694" w:type="pct"/>
                  <w:gridSpan w:val="2"/>
                  <w:tcBorders>
                    <w:top w:val="single" w:color="000000" w:sz="12" w:space="0"/>
                    <w:left w:val="single" w:color="000000" w:sz="4" w:space="0"/>
                    <w:bottom w:val="single" w:color="000000" w:sz="4" w:space="0"/>
                    <w:right w:val="nil"/>
                  </w:tcBorders>
                  <w:vAlign w:val="center"/>
                </w:tcPr>
                <w:p w14:paraId="666D3617">
                  <w:pPr>
                    <w:contextualSpacing/>
                    <w:jc w:val="center"/>
                    <w:rPr>
                      <w:rFonts w:eastAsiaTheme="minorEastAsia"/>
                      <w:color w:val="auto"/>
                      <w:szCs w:val="21"/>
                    </w:rPr>
                  </w:pPr>
                  <w:r>
                    <w:rPr>
                      <w:rFonts w:eastAsiaTheme="minorEastAsia"/>
                      <w:color w:val="auto"/>
                    </w:rPr>
                    <w:t>设计</w:t>
                  </w:r>
                </w:p>
              </w:tc>
            </w:tr>
            <w:tr w14:paraId="0BDD55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306" w:type="pct"/>
                  <w:gridSpan w:val="2"/>
                  <w:vMerge w:val="continue"/>
                  <w:tcBorders>
                    <w:top w:val="single" w:color="000000" w:sz="12" w:space="0"/>
                    <w:left w:val="nil"/>
                    <w:bottom w:val="single" w:color="000000" w:sz="4" w:space="0"/>
                    <w:right w:val="single" w:color="000000" w:sz="4" w:space="0"/>
                  </w:tcBorders>
                  <w:vAlign w:val="center"/>
                </w:tcPr>
                <w:p w14:paraId="7A74C957">
                  <w:pPr>
                    <w:widowControl/>
                    <w:jc w:val="left"/>
                    <w:rPr>
                      <w:rFonts w:eastAsiaTheme="minorEastAsia"/>
                      <w:color w:val="auto"/>
                      <w:szCs w:val="21"/>
                    </w:rPr>
                  </w:pPr>
                </w:p>
              </w:tc>
              <w:tc>
                <w:tcPr>
                  <w:tcW w:w="2671" w:type="pct"/>
                  <w:tcBorders>
                    <w:top w:val="single" w:color="000000" w:sz="4" w:space="0"/>
                    <w:left w:val="single" w:color="000000" w:sz="4" w:space="0"/>
                    <w:bottom w:val="single" w:color="000000" w:sz="4" w:space="0"/>
                    <w:right w:val="single" w:color="auto" w:sz="4" w:space="0"/>
                  </w:tcBorders>
                  <w:vAlign w:val="center"/>
                </w:tcPr>
                <w:p w14:paraId="72348AF0">
                  <w:pPr>
                    <w:contextualSpacing/>
                    <w:jc w:val="center"/>
                    <w:rPr>
                      <w:rFonts w:eastAsiaTheme="minorEastAsia"/>
                      <w:color w:val="auto"/>
                      <w:szCs w:val="21"/>
                    </w:rPr>
                  </w:pPr>
                  <w:r>
                    <w:rPr>
                      <w:rFonts w:eastAsiaTheme="minorEastAsia"/>
                      <w:color w:val="auto"/>
                    </w:rPr>
                    <w:t>环保投资措施</w:t>
                  </w:r>
                </w:p>
              </w:tc>
              <w:tc>
                <w:tcPr>
                  <w:tcW w:w="1023" w:type="pct"/>
                  <w:tcBorders>
                    <w:top w:val="single" w:color="000000" w:sz="4" w:space="0"/>
                    <w:left w:val="nil"/>
                    <w:bottom w:val="single" w:color="000000" w:sz="4" w:space="0"/>
                    <w:right w:val="nil"/>
                  </w:tcBorders>
                  <w:vAlign w:val="center"/>
                </w:tcPr>
                <w:p w14:paraId="0E6B221D">
                  <w:pPr>
                    <w:contextualSpacing/>
                    <w:jc w:val="center"/>
                    <w:rPr>
                      <w:rFonts w:eastAsiaTheme="minorEastAsia"/>
                      <w:color w:val="auto"/>
                      <w:szCs w:val="21"/>
                    </w:rPr>
                  </w:pPr>
                  <w:r>
                    <w:rPr>
                      <w:rFonts w:eastAsiaTheme="minorEastAsia"/>
                      <w:color w:val="auto"/>
                    </w:rPr>
                    <w:t>投资（万元）</w:t>
                  </w:r>
                </w:p>
              </w:tc>
            </w:tr>
            <w:tr w14:paraId="2DB9A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80" w:type="pct"/>
                  <w:vMerge w:val="restart"/>
                  <w:tcBorders>
                    <w:top w:val="single" w:color="000000" w:sz="4" w:space="0"/>
                    <w:left w:val="nil"/>
                    <w:right w:val="single" w:color="000000" w:sz="4" w:space="0"/>
                  </w:tcBorders>
                  <w:vAlign w:val="center"/>
                </w:tcPr>
                <w:p w14:paraId="633F2A68">
                  <w:pPr>
                    <w:contextualSpacing/>
                    <w:jc w:val="center"/>
                    <w:rPr>
                      <w:rFonts w:eastAsiaTheme="minorEastAsia"/>
                      <w:color w:val="auto"/>
                      <w:szCs w:val="21"/>
                    </w:rPr>
                  </w:pPr>
                  <w:r>
                    <w:rPr>
                      <w:rFonts w:eastAsiaTheme="minorEastAsia"/>
                      <w:color w:val="auto"/>
                    </w:rPr>
                    <w:t>运营期</w:t>
                  </w:r>
                </w:p>
              </w:tc>
              <w:tc>
                <w:tcPr>
                  <w:tcW w:w="726" w:type="pct"/>
                  <w:vMerge w:val="restart"/>
                  <w:tcBorders>
                    <w:top w:val="single" w:color="000000" w:sz="4" w:space="0"/>
                    <w:left w:val="single" w:color="000000" w:sz="4" w:space="0"/>
                    <w:right w:val="single" w:color="000000" w:sz="4" w:space="0"/>
                  </w:tcBorders>
                  <w:vAlign w:val="center"/>
                </w:tcPr>
                <w:p w14:paraId="4CFAD8D4">
                  <w:pPr>
                    <w:contextualSpacing/>
                    <w:jc w:val="center"/>
                    <w:rPr>
                      <w:rFonts w:eastAsiaTheme="minorEastAsia"/>
                      <w:color w:val="auto"/>
                      <w:szCs w:val="21"/>
                    </w:rPr>
                  </w:pPr>
                  <w:r>
                    <w:rPr>
                      <w:rFonts w:eastAsiaTheme="minorEastAsia"/>
                      <w:color w:val="auto"/>
                    </w:rPr>
                    <w:t>废气</w:t>
                  </w:r>
                </w:p>
              </w:tc>
              <w:tc>
                <w:tcPr>
                  <w:tcW w:w="2671" w:type="pct"/>
                  <w:tcBorders>
                    <w:top w:val="single" w:color="000000" w:sz="4" w:space="0"/>
                    <w:left w:val="single" w:color="000000" w:sz="4" w:space="0"/>
                    <w:right w:val="single" w:color="auto" w:sz="4" w:space="0"/>
                  </w:tcBorders>
                  <w:vAlign w:val="center"/>
                </w:tcPr>
                <w:p w14:paraId="558F76F5">
                  <w:pPr>
                    <w:contextualSpacing/>
                    <w:jc w:val="center"/>
                    <w:rPr>
                      <w:rFonts w:eastAsiaTheme="minorEastAsia"/>
                      <w:color w:val="auto"/>
                      <w:szCs w:val="21"/>
                    </w:rPr>
                  </w:pPr>
                  <w:r>
                    <w:rPr>
                      <w:rFonts w:hint="eastAsia" w:eastAsiaTheme="minorEastAsia"/>
                      <w:color w:val="auto"/>
                      <w:szCs w:val="21"/>
                    </w:rPr>
                    <w:t>1套除尘系统+连接管道+</w:t>
                  </w:r>
                  <w:r>
                    <w:rPr>
                      <w:rFonts w:eastAsiaTheme="minorEastAsia"/>
                      <w:color w:val="auto"/>
                      <w:szCs w:val="21"/>
                    </w:rPr>
                    <w:t>15m高排气筒、低氮燃烧器</w:t>
                  </w:r>
                  <w:r>
                    <w:rPr>
                      <w:rFonts w:hint="eastAsia" w:eastAsiaTheme="minorEastAsia"/>
                      <w:color w:val="auto"/>
                      <w:szCs w:val="21"/>
                    </w:rPr>
                    <w:t>+</w:t>
                  </w:r>
                  <w:r>
                    <w:rPr>
                      <w:rFonts w:eastAsiaTheme="minorEastAsia"/>
                      <w:color w:val="auto"/>
                      <w:szCs w:val="21"/>
                    </w:rPr>
                    <w:t>1</w:t>
                  </w:r>
                  <w:r>
                    <w:rPr>
                      <w:rFonts w:hint="eastAsia" w:eastAsiaTheme="minorEastAsia"/>
                      <w:color w:val="auto"/>
                      <w:szCs w:val="21"/>
                    </w:rPr>
                    <w:t>2</w:t>
                  </w:r>
                  <w:r>
                    <w:rPr>
                      <w:rFonts w:eastAsiaTheme="minorEastAsia"/>
                      <w:color w:val="auto"/>
                      <w:szCs w:val="21"/>
                    </w:rPr>
                    <w:t>m高排气筒、</w:t>
                  </w:r>
                  <w:r>
                    <w:rPr>
                      <w:rFonts w:hint="eastAsia" w:eastAsiaTheme="minorEastAsia"/>
                      <w:bCs/>
                      <w:color w:val="auto"/>
                      <w:szCs w:val="21"/>
                    </w:rPr>
                    <w:t>气浮旋流塔+三维一体化废气处理设备+</w:t>
                  </w:r>
                  <w:r>
                    <w:rPr>
                      <w:rFonts w:eastAsiaTheme="minorEastAsia"/>
                      <w:color w:val="auto"/>
                      <w:szCs w:val="21"/>
                    </w:rPr>
                    <w:t>15m高排气筒</w:t>
                  </w:r>
                </w:p>
              </w:tc>
              <w:tc>
                <w:tcPr>
                  <w:tcW w:w="1023" w:type="pct"/>
                  <w:tcBorders>
                    <w:top w:val="single" w:color="000000" w:sz="4" w:space="0"/>
                    <w:left w:val="nil"/>
                    <w:right w:val="nil"/>
                  </w:tcBorders>
                  <w:vAlign w:val="center"/>
                </w:tcPr>
                <w:p w14:paraId="0F9C3FF7">
                  <w:pPr>
                    <w:contextualSpacing/>
                    <w:jc w:val="center"/>
                    <w:rPr>
                      <w:rFonts w:eastAsiaTheme="minorEastAsia"/>
                      <w:color w:val="auto"/>
                      <w:szCs w:val="21"/>
                    </w:rPr>
                  </w:pPr>
                  <w:r>
                    <w:rPr>
                      <w:rFonts w:hint="eastAsia" w:eastAsiaTheme="minorEastAsia"/>
                      <w:color w:val="auto"/>
                    </w:rPr>
                    <w:t>85</w:t>
                  </w:r>
                </w:p>
              </w:tc>
            </w:tr>
            <w:tr w14:paraId="3EFA0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580" w:type="pct"/>
                  <w:vMerge w:val="continue"/>
                  <w:tcBorders>
                    <w:left w:val="nil"/>
                    <w:right w:val="single" w:color="000000" w:sz="4" w:space="0"/>
                  </w:tcBorders>
                  <w:vAlign w:val="center"/>
                </w:tcPr>
                <w:p w14:paraId="1653A413">
                  <w:pPr>
                    <w:contextualSpacing/>
                    <w:jc w:val="center"/>
                    <w:rPr>
                      <w:rFonts w:eastAsiaTheme="minorEastAsia"/>
                      <w:color w:val="auto"/>
                    </w:rPr>
                  </w:pPr>
                </w:p>
              </w:tc>
              <w:tc>
                <w:tcPr>
                  <w:tcW w:w="726" w:type="pct"/>
                  <w:vMerge w:val="continue"/>
                  <w:tcBorders>
                    <w:left w:val="single" w:color="000000" w:sz="4" w:space="0"/>
                    <w:right w:val="single" w:color="000000" w:sz="4" w:space="0"/>
                  </w:tcBorders>
                  <w:vAlign w:val="center"/>
                </w:tcPr>
                <w:p w14:paraId="2D8A22BC">
                  <w:pPr>
                    <w:contextualSpacing/>
                    <w:jc w:val="center"/>
                    <w:rPr>
                      <w:rFonts w:eastAsiaTheme="minorEastAsia"/>
                      <w:color w:val="auto"/>
                    </w:rPr>
                  </w:pPr>
                </w:p>
              </w:tc>
              <w:tc>
                <w:tcPr>
                  <w:tcW w:w="2671" w:type="pct"/>
                  <w:tcBorders>
                    <w:top w:val="single" w:color="000000" w:sz="4" w:space="0"/>
                    <w:left w:val="single" w:color="000000" w:sz="4" w:space="0"/>
                    <w:bottom w:val="single" w:color="000000" w:sz="4" w:space="0"/>
                    <w:right w:val="single" w:color="auto" w:sz="4" w:space="0"/>
                  </w:tcBorders>
                  <w:vAlign w:val="center"/>
                </w:tcPr>
                <w:p w14:paraId="2D93D41D">
                  <w:pPr>
                    <w:contextualSpacing/>
                    <w:jc w:val="center"/>
                    <w:rPr>
                      <w:rFonts w:eastAsiaTheme="minorEastAsia"/>
                      <w:color w:val="auto"/>
                      <w:szCs w:val="21"/>
                    </w:rPr>
                  </w:pPr>
                  <w:r>
                    <w:rPr>
                      <w:rFonts w:eastAsiaTheme="minorEastAsia"/>
                      <w:color w:val="auto"/>
                      <w:szCs w:val="21"/>
                    </w:rPr>
                    <w:t>水管、洒水装置</w:t>
                  </w:r>
                  <w:r>
                    <w:rPr>
                      <w:rFonts w:hint="eastAsia" w:eastAsiaTheme="minorEastAsia"/>
                      <w:color w:val="auto"/>
                      <w:szCs w:val="21"/>
                    </w:rPr>
                    <w:t>、防风抑尘网、苫布</w:t>
                  </w:r>
                </w:p>
              </w:tc>
              <w:tc>
                <w:tcPr>
                  <w:tcW w:w="1023" w:type="pct"/>
                  <w:tcBorders>
                    <w:left w:val="nil"/>
                    <w:right w:val="nil"/>
                  </w:tcBorders>
                  <w:vAlign w:val="center"/>
                </w:tcPr>
                <w:p w14:paraId="039E6560">
                  <w:pPr>
                    <w:contextualSpacing/>
                    <w:jc w:val="center"/>
                    <w:rPr>
                      <w:rFonts w:eastAsiaTheme="minorEastAsia"/>
                      <w:color w:val="auto"/>
                    </w:rPr>
                  </w:pPr>
                  <w:r>
                    <w:rPr>
                      <w:rFonts w:hint="eastAsia" w:eastAsiaTheme="minorEastAsia"/>
                      <w:color w:val="auto"/>
                    </w:rPr>
                    <w:t>5</w:t>
                  </w:r>
                </w:p>
              </w:tc>
            </w:tr>
            <w:tr w14:paraId="41736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580" w:type="pct"/>
                  <w:vMerge w:val="continue"/>
                  <w:tcBorders>
                    <w:left w:val="nil"/>
                    <w:right w:val="single" w:color="000000" w:sz="4" w:space="0"/>
                  </w:tcBorders>
                  <w:vAlign w:val="center"/>
                </w:tcPr>
                <w:p w14:paraId="1AA6879E">
                  <w:pPr>
                    <w:widowControl/>
                    <w:jc w:val="left"/>
                    <w:rPr>
                      <w:rFonts w:eastAsiaTheme="minorEastAsia"/>
                      <w:color w:val="auto"/>
                      <w:szCs w:val="21"/>
                    </w:rPr>
                  </w:pPr>
                </w:p>
              </w:tc>
              <w:tc>
                <w:tcPr>
                  <w:tcW w:w="726" w:type="pct"/>
                  <w:tcBorders>
                    <w:top w:val="single" w:color="000000" w:sz="4" w:space="0"/>
                    <w:left w:val="single" w:color="000000" w:sz="4" w:space="0"/>
                    <w:bottom w:val="single" w:color="000000" w:sz="4" w:space="0"/>
                    <w:right w:val="single" w:color="000000" w:sz="4" w:space="0"/>
                  </w:tcBorders>
                  <w:vAlign w:val="center"/>
                </w:tcPr>
                <w:p w14:paraId="7E48A3D4">
                  <w:pPr>
                    <w:contextualSpacing/>
                    <w:jc w:val="center"/>
                    <w:rPr>
                      <w:rFonts w:eastAsiaTheme="minorEastAsia"/>
                      <w:color w:val="auto"/>
                      <w:szCs w:val="21"/>
                    </w:rPr>
                  </w:pPr>
                  <w:r>
                    <w:rPr>
                      <w:rFonts w:eastAsiaTheme="minorEastAsia"/>
                      <w:color w:val="auto"/>
                    </w:rPr>
                    <w:t>废水</w:t>
                  </w:r>
                </w:p>
              </w:tc>
              <w:tc>
                <w:tcPr>
                  <w:tcW w:w="2671" w:type="pct"/>
                  <w:tcBorders>
                    <w:top w:val="single" w:color="000000" w:sz="4" w:space="0"/>
                    <w:left w:val="single" w:color="000000" w:sz="4" w:space="0"/>
                    <w:bottom w:val="single" w:color="000000" w:sz="4" w:space="0"/>
                    <w:right w:val="single" w:color="auto" w:sz="4" w:space="0"/>
                  </w:tcBorders>
                  <w:vAlign w:val="center"/>
                </w:tcPr>
                <w:p w14:paraId="2A1F5628">
                  <w:pPr>
                    <w:contextualSpacing/>
                    <w:jc w:val="center"/>
                    <w:rPr>
                      <w:rFonts w:eastAsiaTheme="minorEastAsia"/>
                      <w:color w:val="auto"/>
                      <w:szCs w:val="21"/>
                    </w:rPr>
                  </w:pPr>
                  <w:r>
                    <w:rPr>
                      <w:rFonts w:hint="eastAsia" w:eastAsiaTheme="minorEastAsia"/>
                      <w:color w:val="auto"/>
                    </w:rPr>
                    <w:t>初期雨水池、旱厕清掏</w:t>
                  </w:r>
                </w:p>
              </w:tc>
              <w:tc>
                <w:tcPr>
                  <w:tcW w:w="1023" w:type="pct"/>
                  <w:tcBorders>
                    <w:top w:val="single" w:color="000000" w:sz="4" w:space="0"/>
                    <w:left w:val="nil"/>
                    <w:bottom w:val="single" w:color="000000" w:sz="4" w:space="0"/>
                    <w:right w:val="nil"/>
                  </w:tcBorders>
                  <w:vAlign w:val="center"/>
                </w:tcPr>
                <w:p w14:paraId="4B780520">
                  <w:pPr>
                    <w:contextualSpacing/>
                    <w:jc w:val="center"/>
                    <w:rPr>
                      <w:rFonts w:eastAsiaTheme="minorEastAsia"/>
                      <w:color w:val="auto"/>
                      <w:szCs w:val="21"/>
                    </w:rPr>
                  </w:pPr>
                  <w:r>
                    <w:rPr>
                      <w:rFonts w:hint="eastAsia" w:eastAsiaTheme="minorEastAsia"/>
                      <w:color w:val="auto"/>
                    </w:rPr>
                    <w:t>4</w:t>
                  </w:r>
                </w:p>
              </w:tc>
            </w:tr>
            <w:tr w14:paraId="016D8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580" w:type="pct"/>
                  <w:vMerge w:val="continue"/>
                  <w:tcBorders>
                    <w:left w:val="nil"/>
                    <w:right w:val="single" w:color="000000" w:sz="4" w:space="0"/>
                  </w:tcBorders>
                  <w:vAlign w:val="center"/>
                </w:tcPr>
                <w:p w14:paraId="2790C28B">
                  <w:pPr>
                    <w:widowControl/>
                    <w:jc w:val="left"/>
                    <w:rPr>
                      <w:rFonts w:eastAsiaTheme="minorEastAsia"/>
                      <w:color w:val="auto"/>
                      <w:szCs w:val="21"/>
                    </w:rPr>
                  </w:pPr>
                </w:p>
              </w:tc>
              <w:tc>
                <w:tcPr>
                  <w:tcW w:w="726" w:type="pct"/>
                  <w:tcBorders>
                    <w:top w:val="single" w:color="000000" w:sz="4" w:space="0"/>
                    <w:left w:val="single" w:color="000000" w:sz="4" w:space="0"/>
                    <w:bottom w:val="single" w:color="000000" w:sz="4" w:space="0"/>
                    <w:right w:val="single" w:color="000000" w:sz="4" w:space="0"/>
                  </w:tcBorders>
                  <w:vAlign w:val="center"/>
                </w:tcPr>
                <w:p w14:paraId="1F5E56D2">
                  <w:pPr>
                    <w:contextualSpacing/>
                    <w:jc w:val="center"/>
                    <w:rPr>
                      <w:rFonts w:eastAsiaTheme="minorEastAsia"/>
                      <w:color w:val="auto"/>
                      <w:szCs w:val="21"/>
                    </w:rPr>
                  </w:pPr>
                  <w:r>
                    <w:rPr>
                      <w:rFonts w:eastAsiaTheme="minorEastAsia"/>
                      <w:color w:val="auto"/>
                    </w:rPr>
                    <w:t>噪声</w:t>
                  </w:r>
                </w:p>
              </w:tc>
              <w:tc>
                <w:tcPr>
                  <w:tcW w:w="2671" w:type="pct"/>
                  <w:tcBorders>
                    <w:top w:val="single" w:color="000000" w:sz="4" w:space="0"/>
                    <w:left w:val="single" w:color="000000" w:sz="4" w:space="0"/>
                    <w:bottom w:val="single" w:color="000000" w:sz="4" w:space="0"/>
                    <w:right w:val="single" w:color="auto" w:sz="4" w:space="0"/>
                  </w:tcBorders>
                  <w:vAlign w:val="center"/>
                </w:tcPr>
                <w:p w14:paraId="1E3C35F7">
                  <w:pPr>
                    <w:contextualSpacing/>
                    <w:jc w:val="center"/>
                    <w:rPr>
                      <w:rFonts w:eastAsiaTheme="minorEastAsia"/>
                      <w:color w:val="auto"/>
                      <w:szCs w:val="21"/>
                    </w:rPr>
                  </w:pPr>
                  <w:r>
                    <w:rPr>
                      <w:rFonts w:eastAsiaTheme="minorEastAsia"/>
                      <w:color w:val="auto"/>
                    </w:rPr>
                    <w:t>低噪声设备、基础减振、车辆限速行驶措施</w:t>
                  </w:r>
                </w:p>
              </w:tc>
              <w:tc>
                <w:tcPr>
                  <w:tcW w:w="1023" w:type="pct"/>
                  <w:tcBorders>
                    <w:top w:val="single" w:color="000000" w:sz="4" w:space="0"/>
                    <w:left w:val="nil"/>
                    <w:bottom w:val="single" w:color="000000" w:sz="4" w:space="0"/>
                    <w:right w:val="nil"/>
                  </w:tcBorders>
                  <w:vAlign w:val="center"/>
                </w:tcPr>
                <w:p w14:paraId="4D15FE18">
                  <w:pPr>
                    <w:contextualSpacing/>
                    <w:jc w:val="center"/>
                    <w:rPr>
                      <w:rFonts w:eastAsiaTheme="minorEastAsia"/>
                      <w:color w:val="auto"/>
                      <w:szCs w:val="21"/>
                    </w:rPr>
                  </w:pPr>
                  <w:r>
                    <w:rPr>
                      <w:rFonts w:hint="eastAsia" w:eastAsiaTheme="minorEastAsia"/>
                      <w:color w:val="auto"/>
                    </w:rPr>
                    <w:t>2</w:t>
                  </w:r>
                </w:p>
              </w:tc>
            </w:tr>
            <w:tr w14:paraId="21D1C2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580" w:type="pct"/>
                  <w:vMerge w:val="continue"/>
                  <w:tcBorders>
                    <w:left w:val="nil"/>
                    <w:right w:val="single" w:color="000000" w:sz="4" w:space="0"/>
                  </w:tcBorders>
                  <w:vAlign w:val="center"/>
                </w:tcPr>
                <w:p w14:paraId="41F2264F">
                  <w:pPr>
                    <w:widowControl/>
                    <w:jc w:val="left"/>
                    <w:rPr>
                      <w:rFonts w:eastAsiaTheme="minorEastAsia"/>
                      <w:color w:val="auto"/>
                      <w:szCs w:val="21"/>
                    </w:rPr>
                  </w:pPr>
                </w:p>
              </w:tc>
              <w:tc>
                <w:tcPr>
                  <w:tcW w:w="726" w:type="pct"/>
                  <w:tcBorders>
                    <w:top w:val="single" w:color="000000" w:sz="4" w:space="0"/>
                    <w:left w:val="single" w:color="000000" w:sz="4" w:space="0"/>
                    <w:bottom w:val="single" w:color="000000" w:sz="4" w:space="0"/>
                    <w:right w:val="single" w:color="000000" w:sz="4" w:space="0"/>
                  </w:tcBorders>
                  <w:vAlign w:val="center"/>
                </w:tcPr>
                <w:p w14:paraId="1BC14E5D">
                  <w:pPr>
                    <w:contextualSpacing/>
                    <w:jc w:val="center"/>
                    <w:rPr>
                      <w:rFonts w:eastAsiaTheme="minorEastAsia"/>
                      <w:color w:val="auto"/>
                      <w:szCs w:val="21"/>
                    </w:rPr>
                  </w:pPr>
                  <w:r>
                    <w:rPr>
                      <w:rFonts w:eastAsiaTheme="minorEastAsia"/>
                      <w:color w:val="auto"/>
                    </w:rPr>
                    <w:t>固废</w:t>
                  </w:r>
                </w:p>
              </w:tc>
              <w:tc>
                <w:tcPr>
                  <w:tcW w:w="2671" w:type="pct"/>
                  <w:tcBorders>
                    <w:top w:val="single" w:color="000000" w:sz="4" w:space="0"/>
                    <w:left w:val="single" w:color="000000" w:sz="4" w:space="0"/>
                    <w:bottom w:val="single" w:color="000000" w:sz="4" w:space="0"/>
                    <w:right w:val="single" w:color="auto" w:sz="4" w:space="0"/>
                  </w:tcBorders>
                  <w:vAlign w:val="center"/>
                </w:tcPr>
                <w:p w14:paraId="06361773">
                  <w:pPr>
                    <w:contextualSpacing/>
                    <w:jc w:val="center"/>
                    <w:rPr>
                      <w:rFonts w:hint="eastAsia" w:eastAsiaTheme="minorEastAsia"/>
                      <w:color w:val="auto"/>
                      <w:szCs w:val="21"/>
                      <w:lang w:val="en-US" w:eastAsia="zh-CN"/>
                    </w:rPr>
                  </w:pPr>
                  <w:r>
                    <w:rPr>
                      <w:rFonts w:eastAsiaTheme="minorEastAsia"/>
                      <w:color w:val="auto"/>
                    </w:rPr>
                    <w:t>垃圾桶、</w:t>
                  </w:r>
                  <w:r>
                    <w:rPr>
                      <w:rFonts w:hint="eastAsia" w:eastAsiaTheme="minorEastAsia"/>
                      <w:color w:val="auto"/>
                    </w:rPr>
                    <w:t>危废</w:t>
                  </w:r>
                  <w:r>
                    <w:rPr>
                      <w:rFonts w:eastAsiaTheme="minorEastAsia"/>
                      <w:color w:val="auto"/>
                    </w:rPr>
                    <w:t>贮存</w:t>
                  </w:r>
                  <w:r>
                    <w:rPr>
                      <w:rFonts w:hint="eastAsia" w:eastAsiaTheme="minorEastAsia"/>
                      <w:color w:val="auto"/>
                      <w:lang w:val="en-US" w:eastAsia="zh-CN"/>
                    </w:rPr>
                    <w:t>点</w:t>
                  </w:r>
                </w:p>
              </w:tc>
              <w:tc>
                <w:tcPr>
                  <w:tcW w:w="1023" w:type="pct"/>
                  <w:tcBorders>
                    <w:top w:val="single" w:color="000000" w:sz="4" w:space="0"/>
                    <w:left w:val="nil"/>
                    <w:bottom w:val="single" w:color="000000" w:sz="4" w:space="0"/>
                    <w:right w:val="nil"/>
                  </w:tcBorders>
                  <w:vAlign w:val="center"/>
                </w:tcPr>
                <w:p w14:paraId="678D1AE8">
                  <w:pPr>
                    <w:contextualSpacing/>
                    <w:jc w:val="center"/>
                    <w:rPr>
                      <w:rFonts w:eastAsiaTheme="minorEastAsia"/>
                      <w:color w:val="auto"/>
                      <w:szCs w:val="21"/>
                    </w:rPr>
                  </w:pPr>
                  <w:r>
                    <w:rPr>
                      <w:rFonts w:hint="eastAsia" w:eastAsiaTheme="minorEastAsia"/>
                      <w:color w:val="auto"/>
                    </w:rPr>
                    <w:t>4</w:t>
                  </w:r>
                </w:p>
              </w:tc>
            </w:tr>
            <w:tr w14:paraId="70B33C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 w:hRule="atLeast"/>
                <w:jc w:val="center"/>
              </w:trPr>
              <w:tc>
                <w:tcPr>
                  <w:tcW w:w="580" w:type="pct"/>
                  <w:vMerge w:val="continue"/>
                  <w:tcBorders>
                    <w:left w:val="nil"/>
                    <w:bottom w:val="single" w:color="000000" w:sz="4" w:space="0"/>
                    <w:right w:val="single" w:color="000000" w:sz="4" w:space="0"/>
                  </w:tcBorders>
                  <w:vAlign w:val="center"/>
                </w:tcPr>
                <w:p w14:paraId="70941106">
                  <w:pPr>
                    <w:widowControl/>
                    <w:jc w:val="left"/>
                    <w:rPr>
                      <w:rFonts w:eastAsiaTheme="minorEastAsia"/>
                      <w:color w:val="auto"/>
                      <w:szCs w:val="21"/>
                    </w:rPr>
                  </w:pPr>
                </w:p>
              </w:tc>
              <w:tc>
                <w:tcPr>
                  <w:tcW w:w="726" w:type="pct"/>
                  <w:tcBorders>
                    <w:top w:val="single" w:color="000000" w:sz="4" w:space="0"/>
                    <w:left w:val="single" w:color="000000" w:sz="4" w:space="0"/>
                    <w:bottom w:val="single" w:color="000000" w:sz="4" w:space="0"/>
                    <w:right w:val="single" w:color="000000" w:sz="4" w:space="0"/>
                  </w:tcBorders>
                  <w:vAlign w:val="center"/>
                </w:tcPr>
                <w:p w14:paraId="21B804F0">
                  <w:pPr>
                    <w:contextualSpacing/>
                    <w:jc w:val="center"/>
                    <w:rPr>
                      <w:rFonts w:eastAsiaTheme="minorEastAsia"/>
                      <w:color w:val="auto"/>
                      <w:szCs w:val="21"/>
                    </w:rPr>
                  </w:pPr>
                  <w:r>
                    <w:rPr>
                      <w:rFonts w:eastAsiaTheme="minorEastAsia"/>
                      <w:color w:val="auto"/>
                    </w:rPr>
                    <w:t>环保设备</w:t>
                  </w:r>
                </w:p>
              </w:tc>
              <w:tc>
                <w:tcPr>
                  <w:tcW w:w="2671" w:type="pct"/>
                  <w:tcBorders>
                    <w:top w:val="single" w:color="000000" w:sz="4" w:space="0"/>
                    <w:left w:val="single" w:color="000000" w:sz="4" w:space="0"/>
                    <w:bottom w:val="single" w:color="000000" w:sz="4" w:space="0"/>
                    <w:right w:val="single" w:color="auto" w:sz="4" w:space="0"/>
                  </w:tcBorders>
                  <w:vAlign w:val="center"/>
                </w:tcPr>
                <w:p w14:paraId="6022AC0E">
                  <w:pPr>
                    <w:contextualSpacing/>
                    <w:jc w:val="center"/>
                    <w:rPr>
                      <w:rFonts w:eastAsiaTheme="minorEastAsia"/>
                      <w:color w:val="auto"/>
                      <w:szCs w:val="21"/>
                    </w:rPr>
                  </w:pPr>
                  <w:r>
                    <w:rPr>
                      <w:rFonts w:eastAsiaTheme="minorEastAsia"/>
                      <w:color w:val="auto"/>
                    </w:rPr>
                    <w:t>运行维护、验收、监测</w:t>
                  </w:r>
                </w:p>
              </w:tc>
              <w:tc>
                <w:tcPr>
                  <w:tcW w:w="1023" w:type="pct"/>
                  <w:tcBorders>
                    <w:top w:val="single" w:color="000000" w:sz="4" w:space="0"/>
                    <w:left w:val="nil"/>
                    <w:bottom w:val="single" w:color="000000" w:sz="4" w:space="0"/>
                    <w:right w:val="nil"/>
                  </w:tcBorders>
                  <w:vAlign w:val="center"/>
                </w:tcPr>
                <w:p w14:paraId="3C614959">
                  <w:pPr>
                    <w:contextualSpacing/>
                    <w:jc w:val="center"/>
                    <w:rPr>
                      <w:rFonts w:eastAsiaTheme="minorEastAsia"/>
                      <w:color w:val="auto"/>
                      <w:szCs w:val="21"/>
                    </w:rPr>
                  </w:pPr>
                  <w:r>
                    <w:rPr>
                      <w:rFonts w:hint="eastAsia" w:eastAsiaTheme="minorEastAsia"/>
                      <w:color w:val="auto"/>
                    </w:rPr>
                    <w:t>20</w:t>
                  </w:r>
                </w:p>
              </w:tc>
            </w:tr>
            <w:tr w14:paraId="6EE381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1306" w:type="pct"/>
                  <w:gridSpan w:val="2"/>
                  <w:tcBorders>
                    <w:top w:val="single" w:color="000000" w:sz="4" w:space="0"/>
                    <w:left w:val="nil"/>
                    <w:bottom w:val="single" w:color="000000" w:sz="12" w:space="0"/>
                    <w:right w:val="single" w:color="000000" w:sz="4" w:space="0"/>
                  </w:tcBorders>
                  <w:vAlign w:val="center"/>
                </w:tcPr>
                <w:p w14:paraId="036E0C29">
                  <w:pPr>
                    <w:contextualSpacing/>
                    <w:jc w:val="center"/>
                    <w:rPr>
                      <w:rFonts w:eastAsiaTheme="minorEastAsia"/>
                      <w:color w:val="auto"/>
                      <w:szCs w:val="21"/>
                    </w:rPr>
                  </w:pPr>
                  <w:r>
                    <w:rPr>
                      <w:rFonts w:eastAsiaTheme="minorEastAsia"/>
                      <w:color w:val="auto"/>
                    </w:rPr>
                    <w:t>合计</w:t>
                  </w:r>
                </w:p>
              </w:tc>
              <w:tc>
                <w:tcPr>
                  <w:tcW w:w="2671" w:type="pct"/>
                  <w:tcBorders>
                    <w:top w:val="single" w:color="000000" w:sz="4" w:space="0"/>
                    <w:left w:val="single" w:color="000000" w:sz="4" w:space="0"/>
                    <w:bottom w:val="single" w:color="000000" w:sz="12" w:space="0"/>
                    <w:right w:val="single" w:color="auto" w:sz="4" w:space="0"/>
                  </w:tcBorders>
                  <w:vAlign w:val="center"/>
                </w:tcPr>
                <w:p w14:paraId="1FAD324C">
                  <w:pPr>
                    <w:contextualSpacing/>
                    <w:jc w:val="center"/>
                    <w:rPr>
                      <w:rFonts w:eastAsiaTheme="minorEastAsia"/>
                      <w:color w:val="auto"/>
                      <w:szCs w:val="21"/>
                    </w:rPr>
                  </w:pPr>
                  <w:r>
                    <w:rPr>
                      <w:rFonts w:eastAsiaTheme="minorEastAsia"/>
                      <w:color w:val="auto"/>
                    </w:rPr>
                    <w:t>/</w:t>
                  </w:r>
                </w:p>
              </w:tc>
              <w:tc>
                <w:tcPr>
                  <w:tcW w:w="1023" w:type="pct"/>
                  <w:tcBorders>
                    <w:top w:val="single" w:color="000000" w:sz="4" w:space="0"/>
                    <w:left w:val="nil"/>
                    <w:bottom w:val="single" w:color="000000" w:sz="12" w:space="0"/>
                    <w:right w:val="nil"/>
                  </w:tcBorders>
                  <w:vAlign w:val="center"/>
                </w:tcPr>
                <w:p w14:paraId="5C1D99DB">
                  <w:pPr>
                    <w:contextualSpacing/>
                    <w:jc w:val="center"/>
                    <w:rPr>
                      <w:rFonts w:eastAsiaTheme="minorEastAsia"/>
                      <w:color w:val="auto"/>
                      <w:szCs w:val="21"/>
                    </w:rPr>
                  </w:pPr>
                  <w:r>
                    <w:rPr>
                      <w:rFonts w:hint="eastAsia" w:eastAsiaTheme="minorEastAsia"/>
                      <w:color w:val="auto"/>
                    </w:rPr>
                    <w:t>120</w:t>
                  </w:r>
                </w:p>
              </w:tc>
            </w:tr>
          </w:tbl>
          <w:p w14:paraId="38AA5B4E">
            <w:pPr>
              <w:spacing w:line="360" w:lineRule="auto"/>
              <w:ind w:firstLine="480" w:firstLineChars="200"/>
              <w:contextualSpacing/>
              <w:jc w:val="left"/>
              <w:rPr>
                <w:color w:val="auto"/>
                <w:kern w:val="0"/>
                <w:sz w:val="24"/>
                <w:highlight w:val="yellow"/>
              </w:rPr>
            </w:pPr>
          </w:p>
        </w:tc>
      </w:tr>
      <w:tr w14:paraId="0A34F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0" w:type="dxa"/>
            <w:vAlign w:val="center"/>
          </w:tcPr>
          <w:p w14:paraId="711DE4ED">
            <w:pPr>
              <w:pStyle w:val="2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610" w:type="dxa"/>
          </w:tcPr>
          <w:p w14:paraId="36323495">
            <w:pPr>
              <w:spacing w:line="360" w:lineRule="auto"/>
              <w:contextualSpacing/>
              <w:rPr>
                <w:rFonts w:eastAsiaTheme="minorEastAsia"/>
                <w:b/>
                <w:bCs/>
                <w:color w:val="auto"/>
                <w:sz w:val="28"/>
              </w:rPr>
            </w:pPr>
            <w:r>
              <w:rPr>
                <w:rFonts w:hint="eastAsia" w:eastAsiaTheme="minorEastAsia"/>
                <w:b/>
                <w:bCs/>
                <w:color w:val="auto"/>
                <w:sz w:val="28"/>
              </w:rPr>
              <w:t>施工期工程分析</w:t>
            </w:r>
          </w:p>
          <w:p w14:paraId="589704A3">
            <w:pPr>
              <w:spacing w:line="360" w:lineRule="auto"/>
              <w:contextualSpacing/>
              <w:jc w:val="center"/>
              <w:rPr>
                <w:rFonts w:eastAsiaTheme="minorEastAsia"/>
                <w:b/>
                <w:bCs/>
                <w:color w:val="auto"/>
                <w:sz w:val="24"/>
              </w:rPr>
            </w:pPr>
            <w:r>
              <w:rPr>
                <w:rFonts w:eastAsiaTheme="minorEastAsia"/>
                <w:b/>
                <w:bCs/>
                <w:color w:val="auto"/>
                <w:sz w:val="24"/>
              </w:rPr>
              <w:pict>
                <v:shape id="_x0000_s2069" o:spid="_x0000_s2069" o:spt="32" type="#_x0000_t32" style="position:absolute;left:0pt;margin-left:425.05pt;margin-top:45.65pt;height:20.85pt;width:0pt;z-index:251660288;mso-width-relative:page;mso-height-relative:page;" o:connectortype="straight" filled="f" coordsize="21600,21600">
                  <v:path arrowok="t"/>
                  <v:fill on="f" focussize="0,0"/>
                  <v:stroke/>
                  <v:imagedata o:title=""/>
                  <o:lock v:ext="edit"/>
                </v:shape>
              </w:pict>
            </w:r>
            <w:r>
              <w:rPr>
                <w:rFonts w:eastAsiaTheme="minorEastAsia"/>
                <w:b/>
                <w:bCs/>
                <w:color w:val="auto"/>
                <w:sz w:val="24"/>
              </w:rPr>
              <w:drawing>
                <wp:inline distT="0" distB="0" distL="0" distR="0">
                  <wp:extent cx="5200650" cy="1400175"/>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2" cstate="print"/>
                          <a:srcRect/>
                          <a:stretch>
                            <a:fillRect/>
                          </a:stretch>
                        </pic:blipFill>
                        <pic:spPr>
                          <a:xfrm>
                            <a:off x="0" y="0"/>
                            <a:ext cx="5200650" cy="1400175"/>
                          </a:xfrm>
                          <a:prstGeom prst="rect">
                            <a:avLst/>
                          </a:prstGeom>
                          <a:noFill/>
                          <a:ln w="9525">
                            <a:noFill/>
                            <a:miter lim="800000"/>
                            <a:headEnd/>
                            <a:tailEnd/>
                          </a:ln>
                        </pic:spPr>
                      </pic:pic>
                    </a:graphicData>
                  </a:graphic>
                </wp:inline>
              </w:drawing>
            </w:r>
          </w:p>
          <w:p w14:paraId="055F98F8">
            <w:pPr>
              <w:spacing w:line="360" w:lineRule="auto"/>
              <w:contextualSpacing/>
              <w:jc w:val="center"/>
              <w:rPr>
                <w:rFonts w:eastAsiaTheme="minorEastAsia"/>
                <w:b/>
                <w:bCs/>
                <w:color w:val="auto"/>
                <w:sz w:val="24"/>
              </w:rPr>
            </w:pPr>
            <w:r>
              <w:rPr>
                <w:rFonts w:hint="eastAsia" w:eastAsiaTheme="minorEastAsia"/>
                <w:b/>
                <w:bCs/>
                <w:color w:val="auto"/>
                <w:sz w:val="24"/>
              </w:rPr>
              <w:t>图</w:t>
            </w:r>
            <w:r>
              <w:rPr>
                <w:rFonts w:eastAsiaTheme="minorEastAsia"/>
                <w:b/>
                <w:bCs/>
                <w:color w:val="auto"/>
                <w:sz w:val="24"/>
              </w:rPr>
              <w:t>2-</w:t>
            </w:r>
            <w:r>
              <w:rPr>
                <w:rFonts w:hint="eastAsia" w:eastAsiaTheme="minorEastAsia"/>
                <w:b/>
                <w:bCs/>
                <w:color w:val="auto"/>
                <w:sz w:val="24"/>
                <w:lang w:val="en-US" w:eastAsia="zh-CN"/>
              </w:rPr>
              <w:t>2</w:t>
            </w:r>
            <w:r>
              <w:rPr>
                <w:rFonts w:eastAsiaTheme="minorEastAsia"/>
                <w:b/>
                <w:bCs/>
                <w:color w:val="auto"/>
                <w:sz w:val="24"/>
              </w:rPr>
              <w:t xml:space="preserve"> </w:t>
            </w:r>
            <w:r>
              <w:rPr>
                <w:rFonts w:hint="eastAsia" w:eastAsiaTheme="minorEastAsia"/>
                <w:b/>
                <w:bCs/>
                <w:color w:val="auto"/>
                <w:sz w:val="24"/>
              </w:rPr>
              <w:t>施工期</w:t>
            </w:r>
            <w:r>
              <w:rPr>
                <w:rFonts w:hint="eastAsia" w:eastAsiaTheme="minorEastAsia"/>
                <w:b/>
                <w:color w:val="auto"/>
                <w:sz w:val="24"/>
              </w:rPr>
              <w:t>工艺流程及产污节点</w:t>
            </w:r>
          </w:p>
          <w:p w14:paraId="3254CCFF">
            <w:pPr>
              <w:spacing w:line="360" w:lineRule="auto"/>
              <w:ind w:firstLine="482" w:firstLineChars="200"/>
              <w:contextualSpacing/>
              <w:rPr>
                <w:rFonts w:eastAsiaTheme="minorEastAsia"/>
                <w:b/>
                <w:color w:val="auto"/>
                <w:sz w:val="24"/>
              </w:rPr>
            </w:pPr>
            <w:r>
              <w:rPr>
                <w:rFonts w:eastAsiaTheme="minorEastAsia"/>
                <w:b/>
                <w:color w:val="auto"/>
                <w:sz w:val="24"/>
              </w:rPr>
              <w:t>1</w:t>
            </w:r>
            <w:r>
              <w:rPr>
                <w:rFonts w:hint="eastAsia" w:eastAsiaTheme="minorEastAsia"/>
                <w:b/>
                <w:color w:val="auto"/>
                <w:sz w:val="24"/>
              </w:rPr>
              <w:t>、环境空气</w:t>
            </w:r>
          </w:p>
          <w:p w14:paraId="5C696348">
            <w:pPr>
              <w:spacing w:line="360" w:lineRule="auto"/>
              <w:ind w:firstLine="480" w:firstLineChars="200"/>
              <w:contextualSpacing/>
              <w:rPr>
                <w:rFonts w:eastAsiaTheme="minorEastAsia"/>
                <w:color w:val="auto"/>
                <w:sz w:val="24"/>
              </w:rPr>
            </w:pPr>
            <w:r>
              <w:rPr>
                <w:rFonts w:hint="eastAsia" w:eastAsiaTheme="minorEastAsia"/>
                <w:color w:val="auto"/>
                <w:sz w:val="24"/>
              </w:rPr>
              <w:t>本项目建设施工过程中，各种燃油动力机械和运输车辆排放的废气；挖土、运土、填土、夯实和汽车运输过程的扬尘，都将会造成周围环境的大气污染。污染大气的主要因素是</w:t>
            </w:r>
            <w:r>
              <w:rPr>
                <w:rFonts w:eastAsiaTheme="minorEastAsia"/>
                <w:color w:val="auto"/>
                <w:sz w:val="24"/>
              </w:rPr>
              <w:t>NO</w:t>
            </w:r>
            <w:r>
              <w:rPr>
                <w:rFonts w:eastAsiaTheme="minorEastAsia"/>
                <w:color w:val="auto"/>
                <w:sz w:val="24"/>
                <w:vertAlign w:val="subscript"/>
              </w:rPr>
              <w:t>2</w:t>
            </w:r>
            <w:r>
              <w:rPr>
                <w:rFonts w:hint="eastAsia" w:eastAsiaTheme="minorEastAsia"/>
                <w:color w:val="auto"/>
                <w:sz w:val="24"/>
              </w:rPr>
              <w:t>、</w:t>
            </w:r>
            <w:r>
              <w:rPr>
                <w:rFonts w:eastAsiaTheme="minorEastAsia"/>
                <w:color w:val="auto"/>
                <w:sz w:val="24"/>
              </w:rPr>
              <w:t>CO</w:t>
            </w:r>
            <w:r>
              <w:rPr>
                <w:rFonts w:hint="eastAsia" w:eastAsiaTheme="minorEastAsia"/>
                <w:color w:val="auto"/>
                <w:sz w:val="24"/>
              </w:rPr>
              <w:t>、</w:t>
            </w:r>
            <w:r>
              <w:rPr>
                <w:rFonts w:eastAsiaTheme="minorEastAsia"/>
                <w:color w:val="auto"/>
                <w:sz w:val="24"/>
              </w:rPr>
              <w:t>SO</w:t>
            </w:r>
            <w:r>
              <w:rPr>
                <w:rFonts w:eastAsiaTheme="minorEastAsia"/>
                <w:color w:val="auto"/>
                <w:sz w:val="24"/>
                <w:vertAlign w:val="subscript"/>
              </w:rPr>
              <w:t>2</w:t>
            </w:r>
            <w:r>
              <w:rPr>
                <w:rFonts w:hint="eastAsia" w:eastAsiaTheme="minorEastAsia"/>
                <w:color w:val="auto"/>
                <w:sz w:val="24"/>
              </w:rPr>
              <w:t>和粉尘。</w:t>
            </w:r>
          </w:p>
          <w:p w14:paraId="3FCDE297">
            <w:pPr>
              <w:spacing w:line="360" w:lineRule="auto"/>
              <w:ind w:firstLine="482" w:firstLineChars="200"/>
              <w:contextualSpacing/>
              <w:rPr>
                <w:rFonts w:eastAsiaTheme="minorEastAsia"/>
                <w:b/>
                <w:color w:val="auto"/>
                <w:sz w:val="24"/>
              </w:rPr>
            </w:pPr>
            <w:r>
              <w:rPr>
                <w:rFonts w:eastAsiaTheme="minorEastAsia"/>
                <w:b/>
                <w:color w:val="auto"/>
                <w:sz w:val="24"/>
              </w:rPr>
              <w:t>2</w:t>
            </w:r>
            <w:r>
              <w:rPr>
                <w:rFonts w:hint="eastAsia" w:eastAsiaTheme="minorEastAsia"/>
                <w:b/>
                <w:color w:val="auto"/>
                <w:sz w:val="24"/>
              </w:rPr>
              <w:t>、水环境</w:t>
            </w:r>
          </w:p>
          <w:p w14:paraId="1ABD3BC8">
            <w:pPr>
              <w:spacing w:line="360" w:lineRule="auto"/>
              <w:ind w:firstLine="480" w:firstLineChars="200"/>
              <w:contextualSpacing/>
              <w:rPr>
                <w:rFonts w:eastAsiaTheme="minorEastAsia"/>
                <w:color w:val="auto"/>
                <w:sz w:val="24"/>
              </w:rPr>
            </w:pPr>
            <w:r>
              <w:rPr>
                <w:rFonts w:hint="eastAsia" w:eastAsiaTheme="minorEastAsia"/>
                <w:color w:val="auto"/>
                <w:sz w:val="24"/>
              </w:rPr>
              <w:t>施工期的废水主要为施工人员的生活污水和施工废水。施工人员</w:t>
            </w:r>
            <w:r>
              <w:rPr>
                <w:rFonts w:eastAsiaTheme="minorEastAsia"/>
                <w:color w:val="auto"/>
                <w:sz w:val="24"/>
              </w:rPr>
              <w:t>1</w:t>
            </w:r>
            <w:r>
              <w:rPr>
                <w:rFonts w:hint="eastAsia" w:eastAsiaTheme="minorEastAsia"/>
                <w:color w:val="auto"/>
                <w:sz w:val="24"/>
              </w:rPr>
              <w:t>5人，产生生活污水约为</w:t>
            </w:r>
            <w:r>
              <w:rPr>
                <w:rFonts w:eastAsiaTheme="minorEastAsia"/>
                <w:color w:val="auto"/>
                <w:sz w:val="24"/>
              </w:rPr>
              <w:t>0.</w:t>
            </w:r>
            <w:r>
              <w:rPr>
                <w:rFonts w:hint="eastAsia" w:eastAsiaTheme="minorEastAsia"/>
                <w:color w:val="auto"/>
                <w:sz w:val="24"/>
              </w:rPr>
              <w:t>96</w:t>
            </w:r>
            <w:r>
              <w:rPr>
                <w:rFonts w:eastAsiaTheme="minorEastAsia"/>
                <w:color w:val="auto"/>
                <w:sz w:val="24"/>
              </w:rPr>
              <w:t>t/d</w:t>
            </w:r>
            <w:r>
              <w:rPr>
                <w:rFonts w:hint="eastAsia" w:eastAsiaTheme="minorEastAsia"/>
                <w:color w:val="auto"/>
                <w:sz w:val="24"/>
              </w:rPr>
              <w:t>，生活污水排入防渗旱厕，定期清掏，外运堆肥，不外排。施工废水产生量约为</w:t>
            </w:r>
            <w:r>
              <w:rPr>
                <w:rFonts w:eastAsiaTheme="minorEastAsia"/>
                <w:color w:val="auto"/>
                <w:sz w:val="24"/>
              </w:rPr>
              <w:t>0.</w:t>
            </w:r>
            <w:r>
              <w:rPr>
                <w:rFonts w:hint="eastAsia" w:eastAsiaTheme="minorEastAsia"/>
                <w:color w:val="auto"/>
                <w:sz w:val="24"/>
              </w:rPr>
              <w:t>5</w:t>
            </w:r>
            <w:r>
              <w:rPr>
                <w:rFonts w:eastAsiaTheme="minorEastAsia"/>
                <w:color w:val="auto"/>
                <w:sz w:val="24"/>
              </w:rPr>
              <w:t>t/d</w:t>
            </w:r>
            <w:r>
              <w:rPr>
                <w:rFonts w:hint="eastAsia" w:eastAsiaTheme="minorEastAsia"/>
                <w:color w:val="auto"/>
                <w:sz w:val="24"/>
              </w:rPr>
              <w:t>，经沉淀池沉淀后用于厂区降尘，不外排。</w:t>
            </w:r>
          </w:p>
          <w:p w14:paraId="6B7B6CDE">
            <w:pPr>
              <w:spacing w:line="360" w:lineRule="auto"/>
              <w:ind w:firstLine="482" w:firstLineChars="200"/>
              <w:contextualSpacing/>
              <w:rPr>
                <w:rFonts w:eastAsiaTheme="minorEastAsia"/>
                <w:b/>
                <w:color w:val="auto"/>
                <w:sz w:val="24"/>
              </w:rPr>
            </w:pPr>
            <w:r>
              <w:rPr>
                <w:rFonts w:eastAsiaTheme="minorEastAsia"/>
                <w:b/>
                <w:color w:val="auto"/>
                <w:sz w:val="24"/>
              </w:rPr>
              <w:t>3</w:t>
            </w:r>
            <w:r>
              <w:rPr>
                <w:rFonts w:hint="eastAsia" w:eastAsiaTheme="minorEastAsia"/>
                <w:b/>
                <w:color w:val="auto"/>
                <w:sz w:val="24"/>
              </w:rPr>
              <w:t>、噪声</w:t>
            </w:r>
          </w:p>
          <w:p w14:paraId="0B536F65">
            <w:pPr>
              <w:spacing w:line="360" w:lineRule="auto"/>
              <w:ind w:firstLine="480" w:firstLineChars="200"/>
              <w:contextualSpacing/>
              <w:rPr>
                <w:rFonts w:eastAsiaTheme="minorEastAsia"/>
                <w:color w:val="auto"/>
                <w:sz w:val="24"/>
              </w:rPr>
            </w:pPr>
            <w:r>
              <w:rPr>
                <w:rFonts w:hint="eastAsia" w:eastAsiaTheme="minorEastAsia"/>
                <w:color w:val="auto"/>
                <w:sz w:val="24"/>
              </w:rPr>
              <w:t>施工期噪声主要来自各类施工机械及运输车辆，在</w:t>
            </w:r>
            <w:r>
              <w:rPr>
                <w:rFonts w:eastAsiaTheme="minorEastAsia"/>
                <w:color w:val="auto"/>
                <w:sz w:val="24"/>
              </w:rPr>
              <w:t>5</w:t>
            </w:r>
            <w:r>
              <w:rPr>
                <w:rFonts w:hint="eastAsia" w:eastAsiaTheme="minorEastAsia"/>
                <w:color w:val="auto"/>
                <w:sz w:val="24"/>
              </w:rPr>
              <w:t>米范围内一般为</w:t>
            </w:r>
            <w:r>
              <w:rPr>
                <w:rFonts w:eastAsiaTheme="minorEastAsia"/>
                <w:color w:val="auto"/>
                <w:sz w:val="24"/>
              </w:rPr>
              <w:t>70—90dB(A)</w:t>
            </w:r>
            <w:r>
              <w:rPr>
                <w:rFonts w:hint="eastAsia" w:eastAsiaTheme="minorEastAsia"/>
                <w:color w:val="auto"/>
                <w:sz w:val="24"/>
              </w:rPr>
              <w:t>，施工期间会对周围环境产生一定的影响。</w:t>
            </w:r>
          </w:p>
          <w:p w14:paraId="7A449CED">
            <w:pPr>
              <w:spacing w:line="360" w:lineRule="auto"/>
              <w:ind w:firstLine="482" w:firstLineChars="200"/>
              <w:contextualSpacing/>
              <w:rPr>
                <w:rFonts w:eastAsiaTheme="minorEastAsia"/>
                <w:b/>
                <w:color w:val="auto"/>
                <w:sz w:val="24"/>
              </w:rPr>
            </w:pPr>
            <w:r>
              <w:rPr>
                <w:rFonts w:eastAsiaTheme="minorEastAsia"/>
                <w:b/>
                <w:color w:val="auto"/>
                <w:sz w:val="24"/>
              </w:rPr>
              <w:t>4</w:t>
            </w:r>
            <w:r>
              <w:rPr>
                <w:rFonts w:hint="eastAsia" w:eastAsiaTheme="minorEastAsia"/>
                <w:b/>
                <w:color w:val="auto"/>
                <w:sz w:val="24"/>
              </w:rPr>
              <w:t>、固体废物</w:t>
            </w:r>
          </w:p>
          <w:p w14:paraId="3146AE4A">
            <w:pPr>
              <w:spacing w:line="360" w:lineRule="auto"/>
              <w:ind w:firstLine="480" w:firstLineChars="200"/>
              <w:contextualSpacing/>
              <w:rPr>
                <w:b/>
                <w:bCs/>
                <w:color w:val="auto"/>
                <w:sz w:val="28"/>
              </w:rPr>
            </w:pPr>
            <w:r>
              <w:rPr>
                <w:rFonts w:hint="eastAsia" w:eastAsiaTheme="minorEastAsia"/>
                <w:color w:val="auto"/>
                <w:sz w:val="24"/>
              </w:rPr>
              <w:t>施工残土、建筑垃圾为主要固体废物，及时清运，并按市政部门指定地点堆放。运输车辆加盖遮挡，防止产生二次扬尘。生活垃圾统一收集后由市政统一处理。</w:t>
            </w:r>
          </w:p>
          <w:p w14:paraId="403EB76B">
            <w:pPr>
              <w:spacing w:line="360" w:lineRule="auto"/>
              <w:contextualSpacing/>
              <w:rPr>
                <w:b/>
                <w:bCs/>
                <w:color w:val="auto"/>
                <w:sz w:val="28"/>
              </w:rPr>
            </w:pPr>
            <w:r>
              <w:rPr>
                <w:b/>
                <w:bCs/>
                <w:color w:val="auto"/>
                <w:sz w:val="28"/>
              </w:rPr>
              <w:t>营运期工程分析</w:t>
            </w:r>
          </w:p>
          <w:p w14:paraId="182003F3">
            <w:pPr>
              <w:spacing w:line="360" w:lineRule="auto"/>
              <w:ind w:firstLine="482" w:firstLineChars="200"/>
              <w:contextualSpacing/>
              <w:rPr>
                <w:b/>
                <w:bCs/>
                <w:color w:val="auto"/>
                <w:sz w:val="24"/>
              </w:rPr>
            </w:pPr>
            <w:r>
              <w:rPr>
                <w:b/>
                <w:bCs/>
                <w:color w:val="auto"/>
                <w:sz w:val="24"/>
              </w:rPr>
              <w:t>1、运营期生产工艺流程</w:t>
            </w:r>
          </w:p>
          <w:p w14:paraId="052FC425">
            <w:pPr>
              <w:spacing w:line="360" w:lineRule="auto"/>
              <w:contextualSpacing/>
              <w:jc w:val="center"/>
              <w:rPr>
                <w:b/>
                <w:bCs/>
                <w:color w:val="auto"/>
                <w:sz w:val="24"/>
              </w:rPr>
            </w:pPr>
            <w:r>
              <w:rPr>
                <w:rFonts w:eastAsiaTheme="minorEastAsia"/>
                <w:b/>
                <w:color w:val="auto"/>
                <w:sz w:val="24"/>
              </w:rPr>
              <w:pict>
                <v:rect id="_x0000_s2070" o:spid="_x0000_s2070" o:spt="1" style="position:absolute;left:0pt;margin-left:-13.55pt;margin-top:245.05pt;height:54.65pt;width:64.75pt;z-index:251661312;mso-width-relative:page;mso-height-relative:page;" stroked="f" coordsize="21600,21600">
                  <v:path/>
                  <v:fill opacity="0f" focussize="0,0"/>
                  <v:stroke on="f"/>
                  <v:imagedata o:title=""/>
                  <o:lock v:ext="edit"/>
                  <v:textbox>
                    <w:txbxContent>
                      <w:p w14:paraId="3C0B82FD">
                        <w:pPr>
                          <w:rPr>
                            <w:color w:val="FF0000"/>
                            <w:szCs w:val="21"/>
                          </w:rPr>
                        </w:pPr>
                        <w:r>
                          <w:rPr>
                            <w:rFonts w:hint="eastAsia"/>
                            <w:color w:val="FF0000"/>
                            <w:szCs w:val="21"/>
                          </w:rPr>
                          <w:t>沥青烟、</w:t>
                        </w:r>
                        <w:r>
                          <w:rPr>
                            <w:rFonts w:hint="eastAsia" w:eastAsiaTheme="minorEastAsia"/>
                            <w:color w:val="FF0000"/>
                            <w:szCs w:val="21"/>
                          </w:rPr>
                          <w:t>苯并[a]芘、非甲烷总烃</w:t>
                        </w:r>
                      </w:p>
                    </w:txbxContent>
                  </v:textbox>
                </v:rect>
              </w:pict>
            </w:r>
            <w:r>
              <w:rPr>
                <w:rFonts w:eastAsiaTheme="minorEastAsia"/>
                <w:b/>
                <w:color w:val="auto"/>
                <w:sz w:val="24"/>
              </w:rPr>
              <w:pict>
                <v:group id="_x0000_s2071" o:spid="_x0000_s2071" o:spt="203" style="height:417.1pt;width:455.9pt;" coordorigin="1500,3596" coordsize="9118,8342" editas="canvas">
                  <o:lock v:ext="edit"/>
                  <v:shape id="_x0000_s1551" o:spid="_x0000_s1551" o:spt="75" type="#_x0000_t75" style="position:absolute;left:1500;top:3596;height:8342;width:9118;" o:preferrelative="f" coordsize="21600,21600">
                    <v:fill focussize="0,0"/>
                    <v:stroke/>
                    <v:imagedata o:title=""/>
                    <o:lock v:ext="edit" text="t" aspectratio="t"/>
                  </v:shape>
                  <v:rect id="_x0000_s2072" o:spid="_x0000_s2072" o:spt="1" style="position:absolute;left:5120;top:5551;height:475;width:1738;" coordsize="21600,21600">
                    <v:path/>
                    <v:fill focussize="0,0"/>
                    <v:stroke/>
                    <v:imagedata o:title=""/>
                    <o:lock v:ext="edit"/>
                    <v:textbox>
                      <w:txbxContent>
                        <w:p w14:paraId="66AA69D7">
                          <w:r>
                            <w:rPr>
                              <w:rFonts w:hint="eastAsia"/>
                            </w:rPr>
                            <w:t>冷料密闭输送</w:t>
                          </w:r>
                        </w:p>
                      </w:txbxContent>
                    </v:textbox>
                  </v:rect>
                  <v:rect id="_x0000_s2073" o:spid="_x0000_s2073" o:spt="1" style="position:absolute;left:5324;top:6449;height:475;width:1318;" coordsize="21600,21600">
                    <v:path/>
                    <v:fill focussize="0,0"/>
                    <v:stroke/>
                    <v:imagedata o:title=""/>
                    <o:lock v:ext="edit"/>
                    <v:textbox>
                      <w:txbxContent>
                        <w:p w14:paraId="54B284E5">
                          <w:pPr>
                            <w:jc w:val="center"/>
                          </w:pPr>
                          <w:r>
                            <w:rPr>
                              <w:rFonts w:hint="eastAsia"/>
                            </w:rPr>
                            <w:t>烘干</w:t>
                          </w:r>
                        </w:p>
                      </w:txbxContent>
                    </v:textbox>
                  </v:rect>
                  <v:rect id="_x0000_s2074" o:spid="_x0000_s2074" o:spt="1" style="position:absolute;left:5364;top:9177;height:476;width:1228;" coordsize="21600,21600">
                    <v:path/>
                    <v:fill focussize="0,0"/>
                    <v:stroke/>
                    <v:imagedata o:title=""/>
                    <o:lock v:ext="edit"/>
                    <v:textbox>
                      <w:txbxContent>
                        <w:p w14:paraId="281A501C">
                          <w:pPr>
                            <w:jc w:val="center"/>
                          </w:pPr>
                          <w:r>
                            <w:rPr>
                              <w:rFonts w:hint="eastAsia"/>
                            </w:rPr>
                            <w:t>密闭计量</w:t>
                          </w:r>
                        </w:p>
                        <w:p w14:paraId="555337A3"/>
                      </w:txbxContent>
                    </v:textbox>
                  </v:rect>
                  <v:shape id="_x0000_s2075" o:spid="_x0000_s2075" o:spt="32" type="#_x0000_t32" style="position:absolute;left:6961;top:6322;height:1;width:922;" o:connectortype="straight" filled="f" coordsize="21600,21600">
                    <v:path arrowok="t"/>
                    <v:fill on="f" focussize="0,0"/>
                    <v:stroke dashstyle="dash" endarrow="block"/>
                    <v:imagedata o:title=""/>
                    <o:lock v:ext="edit"/>
                  </v:shape>
                  <v:rect id="_x0000_s2076" o:spid="_x0000_s2076" o:spt="1" style="position:absolute;left:5312;top:10064;height:476;width:1336;" coordsize="21600,21600">
                    <v:path/>
                    <v:fill focussize="0,0"/>
                    <v:stroke/>
                    <v:imagedata o:title=""/>
                    <o:lock v:ext="edit"/>
                    <v:textbox>
                      <w:txbxContent>
                        <w:p w14:paraId="5A277EA3">
                          <w:pPr>
                            <w:jc w:val="center"/>
                          </w:pPr>
                          <w:r>
                            <w:rPr>
                              <w:rFonts w:hint="eastAsia"/>
                            </w:rPr>
                            <w:t>密闭搅拌</w:t>
                          </w:r>
                        </w:p>
                        <w:p w14:paraId="6DC28344"/>
                      </w:txbxContent>
                    </v:textbox>
                  </v:rect>
                  <v:shape id="_x0000_s2077" o:spid="_x0000_s2077" o:spt="32" type="#_x0000_t32" style="position:absolute;left:5983;top:6026;flip:x;height:423;width:6;" o:connectortype="straight" filled="f" stroked="t" coordsize="21600,21600">
                    <v:path arrowok="t"/>
                    <v:fill on="f" focussize="0,0"/>
                    <v:stroke color="#000000" endarrow="block"/>
                    <v:imagedata o:title=""/>
                    <o:lock v:ext="edit"/>
                  </v:shape>
                  <v:rect id="_x0000_s2078" o:spid="_x0000_s2078" o:spt="1" style="position:absolute;left:4964;top:4515;height:3614;width:1997;" filled="f" stroked="t" coordsize="21600,21600">
                    <v:path/>
                    <v:fill on="f" focussize="0,0"/>
                    <v:stroke color="#000000" dashstyle="dash"/>
                    <v:imagedata o:title=""/>
                    <o:lock v:ext="edit"/>
                  </v:rect>
                  <v:rect id="_x0000_s2079" o:spid="_x0000_s2079" o:spt="1" style="position:absolute;left:5324;top:8301;height:475;width:1318;" coordsize="21600,21600">
                    <v:path/>
                    <v:fill focussize="0,0"/>
                    <v:stroke/>
                    <v:imagedata o:title=""/>
                    <o:lock v:ext="edit"/>
                    <v:textbox>
                      <w:txbxContent>
                        <w:p w14:paraId="690E1B55">
                          <w:pPr>
                            <w:ind w:firstLine="210" w:firstLineChars="100"/>
                          </w:pPr>
                          <w:r>
                            <w:rPr>
                              <w:rFonts w:hint="eastAsia"/>
                            </w:rPr>
                            <w:t>热料仓</w:t>
                          </w:r>
                        </w:p>
                        <w:p w14:paraId="2A94B6AF"/>
                      </w:txbxContent>
                    </v:textbox>
                  </v:rect>
                  <v:rect id="_x0000_s2080" o:spid="_x0000_s2080" o:spt="1" style="position:absolute;left:5324;top:7396;height:475;width:1318;" coordsize="21600,21600">
                    <v:path/>
                    <v:fill focussize="0,0"/>
                    <v:stroke/>
                    <v:imagedata o:title=""/>
                    <o:lock v:ext="edit"/>
                    <v:textbox>
                      <w:txbxContent>
                        <w:p w14:paraId="1B123F00">
                          <w:pPr>
                            <w:jc w:val="center"/>
                          </w:pPr>
                          <w:r>
                            <w:rPr>
                              <w:rFonts w:hint="eastAsia"/>
                            </w:rPr>
                            <w:t>热料筛分</w:t>
                          </w:r>
                        </w:p>
                        <w:p w14:paraId="03DA876A"/>
                      </w:txbxContent>
                    </v:textbox>
                  </v:rect>
                  <v:shape id="_x0000_s2081" o:spid="_x0000_s2081" o:spt="32" type="#_x0000_t32" style="position:absolute;left:5982;top:6924;height:472;width:1;" o:connectortype="straight" filled="f" stroked="t" coordsize="21600,21600">
                    <v:path arrowok="t"/>
                    <v:fill on="f" focussize="0,0"/>
                    <v:stroke color="#000000" endarrow="block"/>
                    <v:imagedata o:title=""/>
                    <o:lock v:ext="edit"/>
                  </v:shape>
                  <v:shape id="_x0000_s2082" o:spid="_x0000_s2082" o:spt="32" type="#_x0000_t32" style="position:absolute;left:5983;top:7871;height:430;width:1;" o:connectortype="straight" filled="f" stroked="t" coordsize="21600,21600">
                    <v:path arrowok="t"/>
                    <v:fill on="f" focussize="0,0"/>
                    <v:stroke color="#000000" endarrow="block"/>
                    <v:imagedata o:title=""/>
                    <o:lock v:ext="edit"/>
                  </v:shape>
                  <v:shape id="_x0000_s2083" o:spid="_x0000_s2083" o:spt="32" type="#_x0000_t32" style="position:absolute;left:5978;top:8776;flip:x;height:401;width:12;" o:connectortype="straight" filled="f" stroked="t" coordsize="21600,21600">
                    <v:path arrowok="t"/>
                    <v:fill on="f" focussize="0,0"/>
                    <v:stroke color="#000000" endarrow="block"/>
                    <v:imagedata o:title=""/>
                    <o:lock v:ext="edit"/>
                  </v:shape>
                  <v:shape id="_x0000_s2084" o:spid="_x0000_s2084" o:spt="32" type="#_x0000_t32" style="position:absolute;left:3594;top:9521;height:543;width:1;" o:connectortype="straight" filled="f" stroked="t" coordsize="21600,21600">
                    <v:path arrowok="t"/>
                    <v:fill on="f" focussize="0,0"/>
                    <v:stroke color="#000000" endarrow="block"/>
                    <v:imagedata o:title=""/>
                    <o:lock v:ext="edit"/>
                  </v:shape>
                  <v:rect id="_x0000_s2085" o:spid="_x0000_s2085" o:spt="1" style="position:absolute;left:9278;top:9116;height:475;width:829;" stroked="f" coordsize="21600,21600">
                    <v:path/>
                    <v:fill focussize="0,0"/>
                    <v:stroke on="f"/>
                    <v:imagedata o:title=""/>
                    <o:lock v:ext="edit"/>
                    <v:textbox>
                      <w:txbxContent>
                        <w:p w14:paraId="7167E669">
                          <w:r>
                            <w:rPr>
                              <w:rFonts w:hint="eastAsia"/>
                            </w:rPr>
                            <w:t>噪声</w:t>
                          </w:r>
                        </w:p>
                      </w:txbxContent>
                    </v:textbox>
                  </v:rect>
                  <v:shape id="_x0000_s2086" o:spid="_x0000_s2086" o:spt="32" type="#_x0000_t32" style="position:absolute;left:5978;top:9653;height:411;width:2;" o:connectortype="straight" filled="f" stroked="t" coordsize="21600,21600">
                    <v:path arrowok="t"/>
                    <v:fill on="f" focussize="0,0"/>
                    <v:stroke color="#000000" endarrow="block"/>
                    <v:imagedata o:title=""/>
                    <o:lock v:ext="edit"/>
                  </v:shape>
                  <v:rect id="_x0000_s2087" o:spid="_x0000_s2087" o:spt="1" style="position:absolute;left:5364;top:4684;height:475;width:1228;" coordsize="21600,21600">
                    <v:path/>
                    <v:fill focussize="0,0"/>
                    <v:stroke/>
                    <v:imagedata o:title=""/>
                    <o:lock v:ext="edit"/>
                    <v:textbox>
                      <w:txbxContent>
                        <w:p w14:paraId="455563C7">
                          <w:pPr>
                            <w:jc w:val="center"/>
                          </w:pPr>
                          <w:r>
                            <w:rPr>
                              <w:rFonts w:hint="eastAsia"/>
                            </w:rPr>
                            <w:t>投料</w:t>
                          </w:r>
                        </w:p>
                      </w:txbxContent>
                    </v:textbox>
                  </v:rect>
                  <v:shape id="_x0000_s2088" o:spid="_x0000_s2088" o:spt="32" type="#_x0000_t32" style="position:absolute;left:5976;top:5160;flip:x;height:423;width:6;" o:connectortype="straight" filled="f" stroked="t" coordsize="21600,21600">
                    <v:path arrowok="t"/>
                    <v:fill on="f" focussize="0,0"/>
                    <v:stroke color="#000000" endarrow="block"/>
                    <v:imagedata o:title=""/>
                    <o:lock v:ext="edit"/>
                  </v:shape>
                  <v:shape id="_x0000_s2089" o:spid="_x0000_s2089" o:spt="32" type="#_x0000_t32" style="position:absolute;left:5970;top:4261;flip:x;height:423;width:6;" o:connectortype="straight" filled="f" stroked="t" coordsize="21600,21600">
                    <v:path arrowok="t"/>
                    <v:fill on="f" focussize="0,0"/>
                    <v:stroke color="#000000" endarrow="block"/>
                    <v:imagedata o:title=""/>
                    <o:lock v:ext="edit"/>
                  </v:shape>
                  <v:rect id="_x0000_s2090" o:spid="_x0000_s2090" o:spt="1" style="position:absolute;left:5364;top:3786;height:475;width:1228;" coordsize="21600,21600">
                    <v:path/>
                    <v:fill focussize="0,0"/>
                    <v:stroke/>
                    <v:imagedata o:title=""/>
                    <o:lock v:ext="edit"/>
                    <v:textbox>
                      <w:txbxContent>
                        <w:p w14:paraId="6138595C">
                          <w:pPr>
                            <w:ind w:firstLine="210" w:firstLineChars="100"/>
                          </w:pPr>
                          <w:r>
                            <w:rPr>
                              <w:rFonts w:hint="eastAsia"/>
                            </w:rPr>
                            <w:t>骨料</w:t>
                          </w:r>
                        </w:p>
                      </w:txbxContent>
                    </v:textbox>
                  </v:rect>
                  <v:shape id="_x0000_s2091" o:spid="_x0000_s2091" o:spt="32" type="#_x0000_t32" style="position:absolute;left:5970;top:10540;height:411;width:6;" o:connectortype="straight" filled="f" stroked="t" coordsize="21600,21600">
                    <v:path arrowok="t"/>
                    <v:fill on="f" focussize="0,0"/>
                    <v:stroke color="#000000" endarrow="block"/>
                    <v:imagedata o:title=""/>
                    <o:lock v:ext="edit"/>
                  </v:shape>
                  <v:rect id="_x0000_s2092" o:spid="_x0000_s2092" o:spt="1" style="position:absolute;left:2864;top:10079;height:476;width:1502;" coordsize="21600,21600">
                    <v:path/>
                    <v:fill focussize="0,0"/>
                    <v:stroke/>
                    <v:imagedata o:title=""/>
                    <o:lock v:ext="edit"/>
                    <v:textbox>
                      <w:txbxContent>
                        <w:p w14:paraId="05321E5E">
                          <w:pPr>
                            <w:jc w:val="center"/>
                          </w:pPr>
                          <w:r>
                            <w:rPr>
                              <w:rFonts w:hint="eastAsia"/>
                            </w:rPr>
                            <w:t>密闭计量</w:t>
                          </w:r>
                        </w:p>
                        <w:p w14:paraId="1F56334A"/>
                      </w:txbxContent>
                    </v:textbox>
                  </v:rect>
                  <v:rect id="_x0000_s2093" o:spid="_x0000_s2093" o:spt="1" style="position:absolute;left:2804;top:9045;height:476;width:1502;" coordsize="21600,21600">
                    <v:path/>
                    <v:fill focussize="0,0"/>
                    <v:stroke/>
                    <v:imagedata o:title=""/>
                    <o:lock v:ext="edit"/>
                    <v:textbox>
                      <w:txbxContent>
                        <w:p w14:paraId="0B20A3E0">
                          <w:pPr>
                            <w:ind w:firstLine="210" w:firstLineChars="100"/>
                          </w:pPr>
                          <w:r>
                            <w:rPr>
                              <w:rFonts w:hint="eastAsia"/>
                            </w:rPr>
                            <w:t>沥青储罐</w:t>
                          </w:r>
                        </w:p>
                      </w:txbxContent>
                    </v:textbox>
                  </v:rect>
                  <v:shape id="_x0000_s2094" o:spid="_x0000_s2094" o:spt="32" type="#_x0000_t32" style="position:absolute;left:8344;top:8497;height:543;width:1;" o:connectortype="straight" filled="f" stroked="t" coordsize="21600,21600">
                    <v:path arrowok="t"/>
                    <v:fill on="f" focussize="0,0"/>
                    <v:stroke color="#000000" endarrow="block"/>
                    <v:imagedata o:title=""/>
                    <o:lock v:ext="edit"/>
                  </v:shape>
                  <v:rect id="_x0000_s2095" o:spid="_x0000_s2095" o:spt="1" style="position:absolute;left:7584;top:8051;height:476;width:1502;" coordsize="21600,21600">
                    <v:path/>
                    <v:fill focussize="0,0"/>
                    <v:stroke/>
                    <v:imagedata o:title=""/>
                    <o:lock v:ext="edit"/>
                    <v:textbox>
                      <w:txbxContent>
                        <w:p w14:paraId="0248C13E">
                          <w:pPr>
                            <w:ind w:firstLine="210" w:firstLineChars="100"/>
                          </w:pPr>
                          <w:r>
                            <w:rPr>
                              <w:rFonts w:hint="eastAsia"/>
                            </w:rPr>
                            <w:t>矿粉筒仓</w:t>
                          </w:r>
                        </w:p>
                      </w:txbxContent>
                    </v:textbox>
                  </v:rect>
                  <v:rect id="_x0000_s2096" o:spid="_x0000_s2096" o:spt="1" style="position:absolute;left:7568;top:10064;height:476;width:1502;" coordsize="21600,21600">
                    <v:path/>
                    <v:fill focussize="0,0"/>
                    <v:stroke/>
                    <v:imagedata o:title=""/>
                    <o:lock v:ext="edit"/>
                    <v:textbox>
                      <w:txbxContent>
                        <w:p w14:paraId="355A98C2">
                          <w:pPr>
                            <w:jc w:val="center"/>
                          </w:pPr>
                          <w:r>
                            <w:rPr>
                              <w:rFonts w:hint="eastAsia"/>
                            </w:rPr>
                            <w:t>密闭计量</w:t>
                          </w:r>
                        </w:p>
                        <w:p w14:paraId="0BD055F7"/>
                      </w:txbxContent>
                    </v:textbox>
                  </v:rect>
                  <v:shape id="_x0000_s2097" o:spid="_x0000_s2097" o:spt="32" type="#_x0000_t32" style="position:absolute;left:8360;top:9521;height:543;width:1;" o:connectortype="straight" filled="f" stroked="t" coordsize="21600,21600">
                    <v:path arrowok="t"/>
                    <v:fill on="f" focussize="0,0"/>
                    <v:stroke color="#000000" endarrow="block"/>
                    <v:imagedata o:title=""/>
                    <o:lock v:ext="edit"/>
                  </v:shape>
                  <v:rect id="_x0000_s2098" o:spid="_x0000_s2098" o:spt="1" style="position:absolute;left:7584;top:9045;height:476;width:1501;" coordsize="21600,21600">
                    <v:path/>
                    <v:fill focussize="0,0"/>
                    <v:stroke/>
                    <v:imagedata o:title=""/>
                    <o:lock v:ext="edit"/>
                    <v:textbox>
                      <w:txbxContent>
                        <w:p w14:paraId="5C4028E4">
                          <w:pPr>
                            <w:ind w:firstLine="210" w:firstLineChars="100"/>
                          </w:pPr>
                          <w:r>
                            <w:rPr>
                              <w:rFonts w:hint="eastAsia"/>
                            </w:rPr>
                            <w:t>密闭输送</w:t>
                          </w:r>
                        </w:p>
                        <w:p w14:paraId="240FE485"/>
                      </w:txbxContent>
                    </v:textbox>
                  </v:rect>
                  <v:shape id="_x0000_s2099" o:spid="_x0000_s2099" o:spt="32" type="#_x0000_t32" style="position:absolute;left:3327;top:8525;flip:y;height:501;width:1;" o:connectortype="straight" filled="f" coordsize="21600,21600">
                    <v:path arrowok="t"/>
                    <v:fill on="f" focussize="0,0"/>
                    <v:stroke dashstyle="dash" endarrow="block"/>
                    <v:imagedata o:title=""/>
                    <o:lock v:ext="edit"/>
                  </v:shape>
                  <v:shape id="_x0000_s2100" o:spid="_x0000_s2100" o:spt="32" type="#_x0000_t32" style="position:absolute;left:3709;top:8551;height:520;width:1;" o:connectortype="straight" filled="f" coordsize="21600,21600">
                    <v:path arrowok="t"/>
                    <v:fill on="f" focussize="0,0"/>
                    <v:stroke dashstyle="dash" endarrow="block"/>
                    <v:imagedata o:title=""/>
                    <o:lock v:ext="edit"/>
                  </v:shape>
                  <v:rect id="_x0000_s2101" o:spid="_x0000_s2101" o:spt="1" style="position:absolute;left:2840;top:7712;height:790;width:1502;" coordsize="21600,21600">
                    <v:path/>
                    <v:fill focussize="0,0"/>
                    <v:stroke/>
                    <v:imagedata o:title=""/>
                    <o:lock v:ext="edit"/>
                    <v:textbox>
                      <w:txbxContent>
                        <w:p w14:paraId="1A45CFA7">
                          <w:pPr>
                            <w:jc w:val="center"/>
                          </w:pPr>
                          <w:r>
                            <w:rPr>
                              <w:rFonts w:hint="eastAsia"/>
                            </w:rPr>
                            <w:t>燃天然气导热油炉</w:t>
                          </w:r>
                        </w:p>
                        <w:p w14:paraId="143D1EA4">
                          <w:pPr>
                            <w:jc w:val="center"/>
                          </w:pPr>
                        </w:p>
                        <w:p w14:paraId="4B83D08C"/>
                      </w:txbxContent>
                    </v:textbox>
                  </v:rect>
                  <v:rect id="_x0000_s2102" o:spid="_x0000_s2102" o:spt="1" style="position:absolute;left:7747;top:6116;height:475;width:2607;" filled="f" stroked="f" coordsize="21600,21600">
                    <v:path/>
                    <v:fill on="f" focussize="0,0"/>
                    <v:stroke on="f"/>
                    <v:imagedata o:title=""/>
                    <o:lock v:ext="edit"/>
                    <v:textbox>
                      <w:txbxContent>
                        <w:p w14:paraId="1B904577">
                          <w:r>
                            <w:rPr>
                              <w:rFonts w:hint="eastAsia"/>
                            </w:rPr>
                            <w:t>噪声、粉尘、烟气、固废</w:t>
                          </w:r>
                        </w:p>
                        <w:p w14:paraId="459AFC04"/>
                      </w:txbxContent>
                    </v:textbox>
                  </v:rect>
                  <v:rect id="_x0000_s2103" o:spid="_x0000_s2103" o:spt="1" style="position:absolute;left:3704;top:8551;height:475;width:1110;" filled="f" stroked="f" coordsize="21600,21600">
                    <v:path/>
                    <v:fill on="f" focussize="0,0"/>
                    <v:stroke on="f"/>
                    <v:imagedata o:title=""/>
                    <o:lock v:ext="edit"/>
                    <v:textbox>
                      <w:txbxContent>
                        <w:p w14:paraId="38562875">
                          <w:r>
                            <w:t>导热油</w:t>
                          </w:r>
                          <w:r>
                            <w:rPr>
                              <w:rFonts w:hint="eastAsia"/>
                            </w:rPr>
                            <w:t xml:space="preserve"> </w:t>
                          </w:r>
                        </w:p>
                      </w:txbxContent>
                    </v:textbox>
                  </v:rect>
                  <v:rect id="_x0000_s2104" o:spid="_x0000_s2104" o:spt="1" style="position:absolute;left:3296;top:10712;height:1226;width:1272;" filled="f" stroked="f" coordsize="21600,21600">
                    <v:path/>
                    <v:fill on="f" focussize="0,0"/>
                    <v:stroke on="f"/>
                    <v:imagedata o:title=""/>
                    <o:lock v:ext="edit"/>
                    <v:textbox>
                      <w:txbxContent>
                        <w:p w14:paraId="1E7E70BB">
                          <w:pPr>
                            <w:rPr>
                              <w:color w:val="FF0000"/>
                              <w:szCs w:val="21"/>
                            </w:rPr>
                          </w:pPr>
                          <w:r>
                            <w:rPr>
                              <w:color w:val="FF0000"/>
                            </w:rPr>
                            <w:t>沥青烟</w:t>
                          </w:r>
                          <w:r>
                            <w:rPr>
                              <w:rFonts w:hint="eastAsia"/>
                              <w:color w:val="FF0000"/>
                              <w:szCs w:val="21"/>
                            </w:rPr>
                            <w:t>、</w:t>
                          </w:r>
                          <w:r>
                            <w:rPr>
                              <w:rFonts w:hint="eastAsia" w:eastAsiaTheme="minorEastAsia"/>
                              <w:color w:val="FF0000"/>
                              <w:szCs w:val="21"/>
                            </w:rPr>
                            <w:t>苯并[a]芘、非甲烷总烃、</w:t>
                          </w:r>
                          <w:r>
                            <w:rPr>
                              <w:color w:val="FF0000"/>
                            </w:rPr>
                            <w:t>噪声</w:t>
                          </w:r>
                        </w:p>
                      </w:txbxContent>
                    </v:textbox>
                  </v:rect>
                  <v:shape id="_x0000_s2105" o:spid="_x0000_s2105" o:spt="32" type="#_x0000_t32" style="position:absolute;left:4464;top:11194;height:1;width:474;" o:connectortype="straight" filled="f" coordsize="21600,21600">
                    <v:path arrowok="t"/>
                    <v:fill on="f" focussize="0,0"/>
                    <v:stroke dashstyle="dash" startarrow="block"/>
                    <v:imagedata o:title=""/>
                    <o:lock v:ext="edit"/>
                  </v:shape>
                  <v:shape id="_x0000_s2106" o:spid="_x0000_s2106" o:spt="32" type="#_x0000_t32" style="position:absolute;left:3919;top:7120;height:1;width:1000;" o:connectortype="straight" filled="f" coordsize="21600,21600">
                    <v:path arrowok="t"/>
                    <v:fill on="f" focussize="0,0"/>
                    <v:stroke endarrow="block"/>
                    <v:imagedata o:title=""/>
                    <o:lock v:ext="edit"/>
                  </v:shape>
                  <v:rect id="_x0000_s2107" o:spid="_x0000_s2107" o:spt="1" style="position:absolute;left:1784;top:6891;height:476;width:2117;" coordsize="21600,21600">
                    <v:path/>
                    <v:fill focussize="0,0"/>
                    <v:stroke/>
                    <v:imagedata o:title=""/>
                    <o:lock v:ext="edit"/>
                    <v:textbox>
                      <w:txbxContent>
                        <w:p w14:paraId="0CBFB2F0">
                          <w:pPr>
                            <w:ind w:firstLine="105" w:firstLineChars="50"/>
                          </w:pPr>
                          <w:r>
                            <w:rPr>
                              <w:rFonts w:hint="eastAsia"/>
                            </w:rPr>
                            <w:t>燃天然气</w:t>
                          </w:r>
                          <w:r>
                            <w:rPr>
                              <w:rFonts w:hint="eastAsia" w:hAnsiTheme="minorEastAsia" w:eastAsiaTheme="minorEastAsia"/>
                              <w:bCs/>
                              <w:szCs w:val="21"/>
                            </w:rPr>
                            <w:t>燃烧器</w:t>
                          </w:r>
                        </w:p>
                      </w:txbxContent>
                    </v:textbox>
                  </v:rect>
                  <v:rect id="_x0000_s2108" o:spid="_x0000_s2108" o:spt="1" style="position:absolute;left:4031;top:6765;height:476;width:896;" filled="f" stroked="f" coordsize="21600,21600">
                    <v:path/>
                    <v:fill on="f" focussize="0,0"/>
                    <v:stroke on="f"/>
                    <v:imagedata o:title=""/>
                    <o:lock v:ext="edit"/>
                    <v:textbox>
                      <w:txbxContent>
                        <w:p w14:paraId="66F118B2">
                          <w:r>
                            <w:rPr>
                              <w:rFonts w:hint="eastAsia"/>
                            </w:rPr>
                            <w:t>明火</w:t>
                          </w:r>
                        </w:p>
                      </w:txbxContent>
                    </v:textbox>
                  </v:rect>
                  <v:rect id="_x0000_s2109" o:spid="_x0000_s2109" o:spt="1" style="position:absolute;left:4964;top:8129;height:1741;width:1997;" filled="f" stroked="t" coordsize="21600,21600">
                    <v:path/>
                    <v:fill on="f" focussize="0,0"/>
                    <v:stroke color="#000000" dashstyle="dash"/>
                    <v:imagedata o:title=""/>
                    <o:lock v:ext="edit"/>
                  </v:rect>
                  <v:rect id="_x0000_s2110" o:spid="_x0000_s2110" o:spt="1" style="position:absolute;left:5320;top:10951;height:476;width:1336;" coordsize="21600,21600">
                    <v:path/>
                    <v:fill focussize="0,0"/>
                    <v:stroke/>
                    <v:imagedata o:title=""/>
                    <o:lock v:ext="edit"/>
                    <v:textbox>
                      <w:txbxContent>
                        <w:p w14:paraId="27B00F71">
                          <w:pPr>
                            <w:jc w:val="center"/>
                          </w:pPr>
                          <w:r>
                            <w:rPr>
                              <w:rFonts w:hint="eastAsia"/>
                            </w:rPr>
                            <w:t>成品外运</w:t>
                          </w:r>
                        </w:p>
                      </w:txbxContent>
                    </v:textbox>
                  </v:rect>
                  <v:shape id="_x0000_s2111" o:spid="_x0000_s2111" o:spt="32" type="#_x0000_t32" style="position:absolute;left:4366;top:10326;height:1;width:922;" o:connectortype="straight" filled="f" coordsize="21600,21600">
                    <v:path arrowok="t"/>
                    <v:fill on="f" focussize="0,0"/>
                    <v:stroke endarrow="block"/>
                    <v:imagedata o:title=""/>
                    <o:lock v:ext="edit"/>
                  </v:shape>
                  <v:shape id="_x0000_s2112" o:spid="_x0000_s2112" o:spt="32" type="#_x0000_t32" style="position:absolute;left:6637;top:10325;height:1;width:922;" o:connectortype="straight" filled="f" coordsize="21600,21600">
                    <v:path arrowok="t"/>
                    <v:fill on="f" focussize="0,0"/>
                    <v:stroke startarrow="block"/>
                    <v:imagedata o:title=""/>
                    <o:lock v:ext="edit"/>
                  </v:shape>
                  <v:shape id="_x0000_s2113" o:spid="_x0000_s2113" o:spt="32" type="#_x0000_t32" style="position:absolute;left:2329;top:8129;height:1;width:511;" o:connectortype="straight" filled="f" coordsize="21600,21600">
                    <v:path arrowok="t"/>
                    <v:fill on="f" focussize="0,0"/>
                    <v:stroke dashstyle="dash" startarrow="block"/>
                    <v:imagedata o:title=""/>
                    <o:lock v:ext="edit"/>
                  </v:shape>
                  <v:rect id="_x0000_s2114" o:spid="_x0000_s2114" o:spt="1" style="position:absolute;left:1783;top:7916;height:475;width:801;" filled="f" stroked="f" coordsize="21600,21600">
                    <v:path/>
                    <v:fill on="f" focussize="0,0"/>
                    <v:stroke on="f"/>
                    <v:imagedata o:title=""/>
                    <o:lock v:ext="edit"/>
                    <v:textbox>
                      <w:txbxContent>
                        <w:p w14:paraId="1ABC71E8">
                          <w:r>
                            <w:rPr>
                              <w:rFonts w:hint="eastAsia"/>
                            </w:rPr>
                            <w:t>烟气</w:t>
                          </w:r>
                        </w:p>
                        <w:p w14:paraId="187F802F"/>
                      </w:txbxContent>
                    </v:textbox>
                  </v:rect>
                  <v:shape id="_x0000_s2115" o:spid="_x0000_s2115" o:spt="32" type="#_x0000_t32" style="position:absolute;left:2133;top:7716;flip:y;height:275;width:1;" o:connectortype="straight" filled="f" stroked="t" coordsize="21600,21600">
                    <v:path arrowok="t"/>
                    <v:fill on="f" focussize="0,0"/>
                    <v:stroke color="#FF0000" endarrow="block"/>
                    <v:imagedata o:title=""/>
                    <o:lock v:ext="edit"/>
                  </v:shape>
                  <v:shape id="_x0000_s2116" o:spid="_x0000_s2116" o:spt="202" type="#_x0000_t202" style="position:absolute;left:1564;top:7407;height:347;width:1074;" filled="f" stroked="t" coordsize="21600,21600">
                    <v:path/>
                    <v:fill on="f" focussize="0,0"/>
                    <v:stroke color="#FF0000" joinstyle="miter"/>
                    <v:imagedata o:title=""/>
                    <o:lock v:ext="edit"/>
                    <v:textbox>
                      <w:txbxContent>
                        <w:p w14:paraId="1166B93B">
                          <w:pPr>
                            <w:rPr>
                              <w:sz w:val="15"/>
                              <w:szCs w:val="15"/>
                            </w:rPr>
                          </w:pPr>
                          <w:r>
                            <w:rPr>
                              <w:sz w:val="15"/>
                              <w:szCs w:val="15"/>
                            </w:rPr>
                            <w:t>低氮燃烧器</w:t>
                          </w:r>
                        </w:p>
                      </w:txbxContent>
                    </v:textbox>
                  </v:shape>
                  <v:shape id="_x0000_s2117" o:spid="_x0000_s2117" o:spt="32" type="#_x0000_t32" style="position:absolute;left:9086;top:8300;height:1;width:315;" o:connectortype="straight" filled="f" coordsize="21600,21600">
                    <v:path arrowok="t"/>
                    <v:fill on="f" focussize="0,0"/>
                    <v:stroke dashstyle="dash" endarrow="block"/>
                    <v:imagedata o:title=""/>
                    <o:lock v:ext="edit"/>
                  </v:shape>
                  <v:rect id="_x0000_s2118" o:spid="_x0000_s2118" o:spt="1" style="position:absolute;left:9293;top:8096;height:475;width:986;" filled="f" stroked="f" coordsize="21600,21600">
                    <v:path/>
                    <v:fill on="f" focussize="0,0"/>
                    <v:stroke on="f"/>
                    <v:imagedata o:title=""/>
                    <o:lock v:ext="edit"/>
                    <v:textbox>
                      <w:txbxContent>
                        <w:p w14:paraId="3D5AD208">
                          <w:r>
                            <w:rPr>
                              <w:rFonts w:hint="eastAsia"/>
                            </w:rPr>
                            <w:t>粉尘</w:t>
                          </w:r>
                        </w:p>
                      </w:txbxContent>
                    </v:textbox>
                  </v:rect>
                  <v:shape id="_x0000_s2119" o:spid="_x0000_s2119" o:spt="32" type="#_x0000_t32" style="position:absolute;left:9101;top:9319;height:1;width:315;" o:connectortype="straight" filled="f" coordsize="21600,21600">
                    <v:path arrowok="t"/>
                    <v:fill on="f" focussize="0,0"/>
                    <v:stroke dashstyle="dash" endarrow="block"/>
                    <v:imagedata o:title=""/>
                    <o:lock v:ext="edit"/>
                  </v:shape>
                  <v:shape id="_x0000_s2120" o:spid="_x0000_s2120" o:spt="32" type="#_x0000_t32" style="position:absolute;left:9101;top:10324;height:1;width:315;" o:connectortype="straight" filled="f" coordsize="21600,21600">
                    <v:path arrowok="t"/>
                    <v:fill on="f" focussize="0,0"/>
                    <v:stroke dashstyle="dash" endarrow="block"/>
                    <v:imagedata o:title=""/>
                    <o:lock v:ext="edit"/>
                  </v:shape>
                  <v:rect id="_x0000_s2121" o:spid="_x0000_s2121" o:spt="1" style="position:absolute;left:9386;top:10125;height:475;width:829;" stroked="f" coordsize="21600,21600">
                    <v:path/>
                    <v:fill focussize="0,0"/>
                    <v:stroke on="f"/>
                    <v:imagedata o:title=""/>
                    <o:lock v:ext="edit"/>
                    <v:textbox>
                      <w:txbxContent>
                        <w:p w14:paraId="093EE688">
                          <w:r>
                            <w:rPr>
                              <w:rFonts w:hint="eastAsia"/>
                            </w:rPr>
                            <w:t>噪声</w:t>
                          </w:r>
                        </w:p>
                      </w:txbxContent>
                    </v:textbox>
                  </v:rect>
                  <v:shape id="_x0000_s2122" o:spid="_x0000_s2122" o:spt="32" type="#_x0000_t32" style="position:absolute;left:2284;top:9320;height:1;width:511;" o:connectortype="straight" filled="f" coordsize="21600,21600">
                    <v:path arrowok="t"/>
                    <v:fill on="f" focussize="0,0"/>
                    <v:stroke dashstyle="dash" startarrow="block"/>
                    <v:imagedata o:title=""/>
                    <o:lock v:ext="edit"/>
                  </v:shape>
                  <v:shape id="_x0000_s2123" o:spid="_x0000_s2123" o:spt="32" type="#_x0000_t32" style="position:absolute;left:2353;top:10323;height:1;width:511;" o:connectortype="straight" filled="f" coordsize="21600,21600">
                    <v:path arrowok="t"/>
                    <v:fill on="f" focussize="0,0"/>
                    <v:stroke dashstyle="dash" startarrow="block"/>
                    <v:imagedata o:title=""/>
                    <o:lock v:ext="edit"/>
                  </v:shape>
                  <v:rect id="_x0000_s2124" o:spid="_x0000_s2124" o:spt="1" style="position:absolute;left:1759;top:10110;height:475;width:765;" stroked="f" coordsize="21600,21600">
                    <v:path/>
                    <v:fill opacity="0f" focussize="0,0"/>
                    <v:stroke on="f"/>
                    <v:imagedata o:title=""/>
                    <o:lock v:ext="edit"/>
                    <v:textbox>
                      <w:txbxContent>
                        <w:p w14:paraId="16DD2785">
                          <w:r>
                            <w:rPr>
                              <w:rFonts w:hint="eastAsia"/>
                            </w:rPr>
                            <w:t>噪声</w:t>
                          </w:r>
                        </w:p>
                      </w:txbxContent>
                    </v:textbox>
                  </v:rect>
                  <v:shape id="_x0000_s2125" o:spid="_x0000_s2125" o:spt="32" type="#_x0000_t32" style="position:absolute;left:1783;top:9334;height:1430;width:1;" o:connectortype="straight" filled="f" stroked="t" coordsize="21600,21600">
                    <v:path arrowok="t"/>
                    <v:fill on="f" focussize="0,0"/>
                    <v:stroke color="#FF0000" endarrow="block"/>
                    <v:imagedata o:title=""/>
                    <o:lock v:ext="edit"/>
                  </v:shape>
                  <v:shape id="_x0000_s2126" o:spid="_x0000_s2126" o:spt="32" type="#_x0000_t32" style="position:absolute;left:3049;top:11065;height:1;width:457;" o:connectortype="straight" filled="f" stroked="t" coordsize="21600,21600">
                    <v:path arrowok="t"/>
                    <v:fill on="f" focussize="0,0"/>
                    <v:stroke color="#FF0000" startarrow="block"/>
                    <v:imagedata o:title=""/>
                    <o:lock v:ext="edit"/>
                  </v:shape>
                  <v:shape id="_x0000_s2127" o:spid="_x0000_s2127" o:spt="202" type="#_x0000_t202" style="position:absolute;left:1669;top:10799;height:792;width:1380;" filled="f" stroked="t" coordsize="21600,21600">
                    <v:path/>
                    <v:fill on="f" focussize="0,0"/>
                    <v:stroke color="#FF0000" joinstyle="miter"/>
                    <v:imagedata o:title=""/>
                    <o:lock v:ext="edit"/>
                    <v:textbox>
                      <w:txbxContent>
                        <w:p w14:paraId="34F933A0">
                          <w:pPr>
                            <w:rPr>
                              <w:sz w:val="15"/>
                              <w:szCs w:val="15"/>
                            </w:rPr>
                          </w:pPr>
                          <w:r>
                            <w:rPr>
                              <w:rFonts w:hint="eastAsia"/>
                              <w:sz w:val="15"/>
                              <w:szCs w:val="15"/>
                            </w:rPr>
                            <w:t>气浮旋流塔+三维一体化废气处理设备</w:t>
                          </w:r>
                        </w:p>
                      </w:txbxContent>
                    </v:textbox>
                  </v:shape>
                  <v:shape id="_x0000_s2128" o:spid="_x0000_s2128" o:spt="32" type="#_x0000_t32" style="position:absolute;left:9416;top:6493;flip:y;height:398;width:1;" o:connectortype="straight" filled="f" stroked="t" coordsize="21600,21600">
                    <v:path arrowok="t"/>
                    <v:fill on="f" focussize="0,0"/>
                    <v:stroke color="#FF0000" startarrow="block"/>
                    <v:imagedata o:title=""/>
                    <o:lock v:ext="edit"/>
                  </v:shape>
                  <v:shape id="_x0000_s2129" o:spid="_x0000_s2129" o:spt="32" type="#_x0000_t32" style="position:absolute;left:8809;top:6493;flip:y;height:398;width:1;" o:connectortype="straight" filled="f" stroked="t" coordsize="21600,21600">
                    <v:path arrowok="t"/>
                    <v:fill on="f" focussize="0,0"/>
                    <v:stroke color="#FF0000" startarrow="block"/>
                    <v:imagedata o:title=""/>
                    <o:lock v:ext="edit"/>
                  </v:shape>
                  <v:shape id="_x0000_s2130" o:spid="_x0000_s2130" o:spt="202" type="#_x0000_t202" style="position:absolute;left:8661;top:6938;height:816;width:1554;" filled="f" stroked="t" coordsize="21600,21600">
                    <v:path/>
                    <v:fill on="f" focussize="0,0"/>
                    <v:stroke color="#FF0000" joinstyle="miter"/>
                    <v:imagedata o:title=""/>
                    <o:lock v:ext="edit"/>
                    <v:textbox>
                      <w:txbxContent>
                        <w:p w14:paraId="3DE34685">
                          <w:pPr>
                            <w:rPr>
                              <w:szCs w:val="21"/>
                            </w:rPr>
                          </w:pPr>
                          <w:r>
                            <w:rPr>
                              <w:rFonts w:hint="eastAsia"/>
                              <w:szCs w:val="21"/>
                            </w:rPr>
                            <w:t>除尘系统（重力+布袋）</w:t>
                          </w:r>
                        </w:p>
                      </w:txbxContent>
                    </v:textbox>
                  </v:shape>
                  <v:shape id="_x0000_s2131" o:spid="_x0000_s2131" o:spt="32" type="#_x0000_t32" style="position:absolute;left:9657;top:7754;flip:y;height:398;width:1;" o:connectortype="straight" filled="f" stroked="t" coordsize="21600,21600">
                    <v:path arrowok="t"/>
                    <v:fill on="f" focussize="0,0"/>
                    <v:stroke color="#FF0000" endarrow="block"/>
                    <v:imagedata o:title=""/>
                    <o:lock v:ext="edit"/>
                  </v:shape>
                  <v:shape id="_x0000_s2132" o:spid="_x0000_s2132" o:spt="32" type="#_x0000_t32" style="position:absolute;left:6961;top:8776;height:1;width:258;" o:connectortype="straight" filled="f" coordsize="21600,21600">
                    <v:path arrowok="t"/>
                    <v:fill on="f" focussize="0,0"/>
                    <v:stroke dashstyle="dash" endarrow="block"/>
                    <v:imagedata o:title=""/>
                    <o:lock v:ext="edit"/>
                  </v:shape>
                  <v:rect id="_x0000_s2133" o:spid="_x0000_s2133" o:spt="1" style="position:absolute;left:7159;top:8551;height:475;width:829;" stroked="f" coordsize="21600,21600">
                    <v:path/>
                    <v:fill opacity="0f" focussize="0,0"/>
                    <v:stroke on="f"/>
                    <v:imagedata o:title=""/>
                    <o:lock v:ext="edit"/>
                    <v:textbox>
                      <w:txbxContent>
                        <w:p w14:paraId="0BF6F5EA">
                          <w:r>
                            <w:rPr>
                              <w:rFonts w:hint="eastAsia"/>
                            </w:rPr>
                            <w:t>噪声</w:t>
                          </w:r>
                        </w:p>
                      </w:txbxContent>
                    </v:textbox>
                  </v:rect>
                  <v:rect id="_x0000_s2134" o:spid="_x0000_s2134" o:spt="1" style="position:absolute;left:4964;top:9977;height:1741;width:1997;" filled="f" stroked="t" coordsize="21600,21600">
                    <v:path/>
                    <v:fill on="f" focussize="0,0"/>
                    <v:stroke color="#000000" dashstyle="dash"/>
                    <v:imagedata o:title=""/>
                    <o:lock v:ext="edit"/>
                  </v:rect>
                  <w10:wrap type="none"/>
                  <w10:anchorlock/>
                </v:group>
              </w:pict>
            </w:r>
            <w:r>
              <w:rPr>
                <w:b/>
                <w:bCs/>
                <w:color w:val="auto"/>
                <w:sz w:val="24"/>
              </w:rPr>
              <w:t>图2-</w:t>
            </w:r>
            <w:r>
              <w:rPr>
                <w:rFonts w:hint="eastAsia"/>
                <w:b/>
                <w:bCs/>
                <w:color w:val="auto"/>
                <w:sz w:val="24"/>
                <w:lang w:val="en-US" w:eastAsia="zh-CN"/>
              </w:rPr>
              <w:t>3</w:t>
            </w:r>
            <w:r>
              <w:rPr>
                <w:b/>
                <w:bCs/>
                <w:color w:val="auto"/>
                <w:sz w:val="24"/>
              </w:rPr>
              <w:t xml:space="preserve"> 生产</w:t>
            </w:r>
            <w:r>
              <w:rPr>
                <w:b/>
                <w:color w:val="auto"/>
                <w:sz w:val="24"/>
              </w:rPr>
              <w:t>工艺</w:t>
            </w:r>
            <w:r>
              <w:rPr>
                <w:b/>
                <w:bCs/>
                <w:color w:val="auto"/>
                <w:sz w:val="24"/>
              </w:rPr>
              <w:t>流程及产排污节点图</w:t>
            </w:r>
          </w:p>
          <w:p w14:paraId="6BD06BCB">
            <w:pPr>
              <w:spacing w:line="360" w:lineRule="auto"/>
              <w:ind w:firstLine="480" w:firstLineChars="200"/>
              <w:rPr>
                <w:bCs/>
                <w:color w:val="auto"/>
                <w:sz w:val="24"/>
              </w:rPr>
            </w:pPr>
            <w:r>
              <w:rPr>
                <w:bCs/>
                <w:color w:val="auto"/>
                <w:sz w:val="24"/>
              </w:rPr>
              <w:t>生产工艺流程简述：</w:t>
            </w:r>
          </w:p>
          <w:p w14:paraId="19B4142F">
            <w:pPr>
              <w:spacing w:line="360" w:lineRule="auto"/>
              <w:ind w:firstLine="480" w:firstLineChars="200"/>
              <w:rPr>
                <w:rFonts w:eastAsiaTheme="minorEastAsia"/>
                <w:color w:val="auto"/>
                <w:sz w:val="24"/>
              </w:rPr>
            </w:pPr>
            <w:r>
              <w:rPr>
                <w:rFonts w:eastAsiaTheme="minorEastAsia"/>
                <w:color w:val="auto"/>
                <w:sz w:val="24"/>
              </w:rPr>
              <w:t>1、原料贮存：沥青混凝土的骨料主要包括各种粒径的碎石</w:t>
            </w:r>
            <w:r>
              <w:rPr>
                <w:rFonts w:hint="eastAsia" w:eastAsiaTheme="minorEastAsia"/>
                <w:color w:val="auto"/>
                <w:sz w:val="24"/>
                <w:lang w:eastAsia="zh-CN"/>
              </w:rPr>
              <w:t>、</w:t>
            </w:r>
            <w:r>
              <w:rPr>
                <w:rFonts w:hint="eastAsia" w:eastAsiaTheme="minorEastAsia"/>
                <w:color w:val="auto"/>
                <w:sz w:val="24"/>
                <w:lang w:val="en-US" w:eastAsia="zh-CN"/>
              </w:rPr>
              <w:t>机制砂</w:t>
            </w:r>
            <w:r>
              <w:rPr>
                <w:rFonts w:eastAsiaTheme="minorEastAsia"/>
                <w:color w:val="auto"/>
                <w:sz w:val="24"/>
              </w:rPr>
              <w:t>，采用汽运方式运输至指定堆场，矿粉由密闭矿粉运输车通过气力输送贮存在密闭矿粉筒仓内，</w:t>
            </w:r>
            <w:r>
              <w:rPr>
                <w:rFonts w:hint="eastAsia" w:hAnsiTheme="minorEastAsia" w:eastAsiaTheme="minorEastAsia"/>
                <w:bCs/>
                <w:color w:val="auto"/>
                <w:sz w:val="24"/>
              </w:rPr>
              <w:t>上料采用绞龙密闭输送，因此筒仓原料输送过程仅卸料时有含尘废气排放。</w:t>
            </w:r>
            <w:r>
              <w:rPr>
                <w:rFonts w:eastAsiaTheme="minorEastAsia"/>
                <w:color w:val="auto"/>
                <w:sz w:val="24"/>
              </w:rPr>
              <w:t>沥青进厂时为液体散装沥青，由专用沥青运输车将其通过密闭管道送至沥青罐内。</w:t>
            </w:r>
            <w:r>
              <w:rPr>
                <w:rFonts w:eastAsiaTheme="minorEastAsia"/>
                <w:bCs/>
                <w:color w:val="auto"/>
                <w:sz w:val="24"/>
              </w:rPr>
              <w:t>在矿粉筒仓顶部安装集气管道连接至</w:t>
            </w:r>
            <w:r>
              <w:rPr>
                <w:rFonts w:hint="eastAsia" w:eastAsiaTheme="minorEastAsia"/>
                <w:bCs/>
                <w:color w:val="auto"/>
                <w:sz w:val="24"/>
              </w:rPr>
              <w:t>除尘系统（重力+布袋）</w:t>
            </w:r>
            <w:r>
              <w:rPr>
                <w:rFonts w:eastAsiaTheme="minorEastAsia"/>
                <w:bCs/>
                <w:color w:val="auto"/>
                <w:sz w:val="24"/>
              </w:rPr>
              <w:t>，装卸粉尘经除尘</w:t>
            </w:r>
            <w:r>
              <w:rPr>
                <w:rFonts w:hint="eastAsia" w:eastAsiaTheme="minorEastAsia"/>
                <w:bCs/>
                <w:color w:val="auto"/>
                <w:sz w:val="24"/>
              </w:rPr>
              <w:t>系统</w:t>
            </w:r>
            <w:r>
              <w:rPr>
                <w:rFonts w:eastAsiaTheme="minorEastAsia"/>
                <w:bCs/>
                <w:color w:val="auto"/>
                <w:sz w:val="24"/>
              </w:rPr>
              <w:t>（处理效率为99%）处理后，</w:t>
            </w:r>
            <w:r>
              <w:rPr>
                <w:rFonts w:hint="eastAsia" w:eastAsiaTheme="minorEastAsia"/>
                <w:bCs/>
                <w:color w:val="auto"/>
                <w:sz w:val="24"/>
              </w:rPr>
              <w:t>由15m高除尘系统烟囱（DA001）排放</w:t>
            </w:r>
            <w:r>
              <w:rPr>
                <w:rFonts w:eastAsiaTheme="minorEastAsia"/>
                <w:bCs/>
                <w:color w:val="auto"/>
                <w:sz w:val="24"/>
              </w:rPr>
              <w:t>。</w:t>
            </w:r>
          </w:p>
          <w:p w14:paraId="5FFB47D1">
            <w:pPr>
              <w:spacing w:line="360" w:lineRule="auto"/>
              <w:ind w:firstLine="480" w:firstLineChars="200"/>
              <w:rPr>
                <w:rFonts w:eastAsiaTheme="minorEastAsia"/>
                <w:color w:val="auto"/>
                <w:sz w:val="24"/>
              </w:rPr>
            </w:pPr>
            <w:r>
              <w:rPr>
                <w:rFonts w:eastAsiaTheme="minorEastAsia"/>
                <w:color w:val="auto"/>
                <w:sz w:val="24"/>
              </w:rPr>
              <w:t>2、骨料预处理：生产时，碎石从储料场利用铲车铲至冷料仓，然后通过密闭的集料输送机和皮带输送机自动计量、进料。项目料斗上料区域均只留操作面，其余几面封闭。</w:t>
            </w:r>
            <w:r>
              <w:rPr>
                <w:rFonts w:eastAsiaTheme="minorEastAsia"/>
                <w:bCs/>
                <w:color w:val="auto"/>
                <w:sz w:val="24"/>
              </w:rPr>
              <w:t>冷料仓上</w:t>
            </w:r>
            <w:r>
              <w:rPr>
                <w:rFonts w:hint="eastAsia" w:eastAsiaTheme="minorEastAsia"/>
                <w:bCs/>
                <w:color w:val="auto"/>
                <w:sz w:val="24"/>
              </w:rPr>
              <w:t>方</w:t>
            </w:r>
            <w:r>
              <w:rPr>
                <w:rFonts w:eastAsiaTheme="minorEastAsia"/>
                <w:bCs/>
                <w:color w:val="auto"/>
                <w:sz w:val="24"/>
              </w:rPr>
              <w:t>安装</w:t>
            </w:r>
            <w:r>
              <w:rPr>
                <w:rFonts w:hint="eastAsia" w:eastAsiaTheme="minorEastAsia"/>
                <w:bCs/>
                <w:color w:val="auto"/>
                <w:sz w:val="24"/>
              </w:rPr>
              <w:t>集气</w:t>
            </w:r>
            <w:r>
              <w:rPr>
                <w:rFonts w:eastAsiaTheme="minorEastAsia"/>
                <w:bCs/>
                <w:color w:val="auto"/>
                <w:sz w:val="24"/>
              </w:rPr>
              <w:t>装置</w:t>
            </w:r>
            <w:r>
              <w:rPr>
                <w:rFonts w:hint="eastAsia" w:eastAsiaTheme="minorEastAsia"/>
                <w:bCs/>
                <w:color w:val="auto"/>
                <w:sz w:val="24"/>
              </w:rPr>
              <w:t>（收集效率90%）</w:t>
            </w:r>
            <w:r>
              <w:rPr>
                <w:rFonts w:eastAsiaTheme="minorEastAsia"/>
                <w:bCs/>
                <w:color w:val="auto"/>
                <w:sz w:val="24"/>
              </w:rPr>
              <w:t>，上料废气经收集后</w:t>
            </w:r>
            <w:r>
              <w:rPr>
                <w:rFonts w:hint="eastAsia" w:eastAsiaTheme="minorEastAsia"/>
                <w:bCs/>
                <w:color w:val="auto"/>
                <w:sz w:val="24"/>
              </w:rPr>
              <w:t>通过管道连接至除尘系统（重力+布袋），处理后由15m高除尘系统烟囱（DA001）排放，除尘效率为99%</w:t>
            </w:r>
            <w:r>
              <w:rPr>
                <w:rFonts w:eastAsiaTheme="minorEastAsia"/>
                <w:bCs/>
                <w:color w:val="auto"/>
                <w:sz w:val="24"/>
              </w:rPr>
              <w:t>。</w:t>
            </w:r>
            <w:r>
              <w:rPr>
                <w:rFonts w:eastAsiaTheme="minorEastAsia"/>
                <w:color w:val="auto"/>
                <w:sz w:val="24"/>
              </w:rPr>
              <w:t>为使沥青混凝土产品不至于因过快冷却而带来运输上的不便，骨料在与沥青混合前要经过热处理。骨料由皮带输送机在密闭输送通道内送入干燥筒，骨料在干燥筒内加热至</w:t>
            </w:r>
            <w:r>
              <w:rPr>
                <w:rFonts w:hint="eastAsia" w:eastAsiaTheme="minorEastAsia"/>
                <w:color w:val="auto"/>
                <w:sz w:val="24"/>
              </w:rPr>
              <w:t>180</w:t>
            </w:r>
            <w:r>
              <w:rPr>
                <w:rFonts w:eastAsiaTheme="minorEastAsia"/>
                <w:color w:val="auto"/>
                <w:sz w:val="24"/>
              </w:rPr>
              <w:t>℃。干燥筒的热源为</w:t>
            </w:r>
            <w:r>
              <w:rPr>
                <w:rFonts w:hint="eastAsia" w:eastAsiaTheme="minorEastAsia"/>
                <w:color w:val="auto"/>
                <w:sz w:val="24"/>
              </w:rPr>
              <w:t>天然气</w:t>
            </w:r>
            <w:r>
              <w:rPr>
                <w:rFonts w:eastAsiaTheme="minorEastAsia"/>
                <w:color w:val="auto"/>
                <w:sz w:val="24"/>
              </w:rPr>
              <w:t>燃烧产生的热量，干燥工艺采用直接接触干燥方式。干燥筒通过加热，并不停转动，以使骨料受热干燥，加热后的</w:t>
            </w:r>
            <w:r>
              <w:rPr>
                <w:rFonts w:hint="eastAsia" w:eastAsiaTheme="minorEastAsia"/>
                <w:color w:val="auto"/>
                <w:sz w:val="24"/>
              </w:rPr>
              <w:t>石料为方便各粒径物料搅拌过程计量精准，</w:t>
            </w:r>
            <w:r>
              <w:rPr>
                <w:rFonts w:eastAsiaTheme="minorEastAsia"/>
                <w:color w:val="auto"/>
                <w:sz w:val="24"/>
              </w:rPr>
              <w:t>加热后的骨料经通过骨料提升机送到粒度检控系统内进行振动筛分</w:t>
            </w:r>
            <w:r>
              <w:rPr>
                <w:rFonts w:hint="eastAsia" w:eastAsiaTheme="minorEastAsia"/>
                <w:color w:val="auto"/>
                <w:sz w:val="24"/>
              </w:rPr>
              <w:t>，</w:t>
            </w:r>
            <w:r>
              <w:rPr>
                <w:rFonts w:eastAsiaTheme="minorEastAsia"/>
                <w:color w:val="auto"/>
                <w:sz w:val="24"/>
              </w:rPr>
              <w:t>随后将加热的不同粒径骨料通过提升机输送至各自热骨料仓暂存，骨料经计量后进入沥青混凝土搅拌站</w:t>
            </w:r>
            <w:r>
              <w:rPr>
                <w:rFonts w:hint="eastAsia" w:eastAsiaTheme="minorEastAsia"/>
                <w:color w:val="auto"/>
                <w:sz w:val="24"/>
              </w:rPr>
              <w:t>，</w:t>
            </w:r>
            <w:r>
              <w:rPr>
                <w:rFonts w:eastAsiaTheme="minorEastAsia"/>
                <w:color w:val="auto"/>
                <w:sz w:val="24"/>
              </w:rPr>
              <w:t>本项目沥青混凝土装置为一体式封闭设备，骨料输送、提升等过程全封闭。</w:t>
            </w:r>
            <w:r>
              <w:rPr>
                <w:rFonts w:hint="eastAsia"/>
                <w:color w:val="auto"/>
                <w:sz w:val="24"/>
              </w:rPr>
              <w:t>骨料加热过程产生烟气不会以无组织形式排放。</w:t>
            </w:r>
          </w:p>
          <w:p w14:paraId="206B98C0">
            <w:pPr>
              <w:spacing w:line="360" w:lineRule="auto"/>
              <w:ind w:firstLine="480" w:firstLineChars="200"/>
              <w:rPr>
                <w:rFonts w:eastAsiaTheme="minorEastAsia"/>
                <w:color w:val="auto"/>
                <w:sz w:val="24"/>
              </w:rPr>
            </w:pPr>
            <w:r>
              <w:rPr>
                <w:rFonts w:eastAsiaTheme="minorEastAsia"/>
                <w:bCs/>
                <w:color w:val="auto"/>
                <w:sz w:val="24"/>
              </w:rPr>
              <w:t>本项目上料粉尘、</w:t>
            </w:r>
            <w:r>
              <w:rPr>
                <w:rFonts w:eastAsiaTheme="minorEastAsia"/>
                <w:color w:val="auto"/>
                <w:sz w:val="24"/>
              </w:rPr>
              <w:t>碎石筛分粉尘、烘干废气、</w:t>
            </w:r>
            <w:r>
              <w:rPr>
                <w:rFonts w:hint="eastAsia" w:eastAsiaTheme="minorEastAsia"/>
                <w:color w:val="auto"/>
                <w:sz w:val="24"/>
              </w:rPr>
              <w:t>28MW</w:t>
            </w:r>
            <w:r>
              <w:rPr>
                <w:rFonts w:eastAsiaTheme="minorEastAsia"/>
                <w:color w:val="auto"/>
                <w:sz w:val="24"/>
              </w:rPr>
              <w:t>燃</w:t>
            </w:r>
            <w:r>
              <w:rPr>
                <w:rFonts w:hint="eastAsia" w:eastAsiaTheme="minorEastAsia"/>
                <w:color w:val="auto"/>
                <w:sz w:val="24"/>
              </w:rPr>
              <w:t>天然气</w:t>
            </w:r>
            <w:r>
              <w:rPr>
                <w:rFonts w:eastAsiaTheme="minorEastAsia"/>
                <w:color w:val="auto"/>
                <w:sz w:val="24"/>
              </w:rPr>
              <w:t>燃烧器烟气、热料仓落料废气、</w:t>
            </w:r>
            <w:r>
              <w:rPr>
                <w:rFonts w:eastAsiaTheme="minorEastAsia"/>
                <w:bCs/>
                <w:color w:val="auto"/>
                <w:sz w:val="24"/>
              </w:rPr>
              <w:t>矿粉筒装卸粉尘</w:t>
            </w:r>
            <w:r>
              <w:rPr>
                <w:rFonts w:hint="eastAsia" w:eastAsiaTheme="minorEastAsia"/>
                <w:color w:val="auto"/>
                <w:sz w:val="24"/>
              </w:rPr>
              <w:t>经除尘系统（重力+布袋）处理后，由15m高除尘系统排气筒（DA001）排放，除尘效率为99%；</w:t>
            </w:r>
            <w:r>
              <w:rPr>
                <w:rFonts w:eastAsiaTheme="minorEastAsia"/>
                <w:color w:val="auto"/>
                <w:sz w:val="24"/>
              </w:rPr>
              <w:t xml:space="preserve"> </w:t>
            </w:r>
          </w:p>
          <w:p w14:paraId="14C65955">
            <w:pPr>
              <w:spacing w:line="360" w:lineRule="auto"/>
              <w:ind w:firstLine="480" w:firstLineChars="200"/>
              <w:rPr>
                <w:rFonts w:eastAsiaTheme="minorEastAsia"/>
                <w:color w:val="auto"/>
                <w:sz w:val="24"/>
              </w:rPr>
            </w:pPr>
            <w:r>
              <w:rPr>
                <w:rFonts w:eastAsiaTheme="minorEastAsia"/>
                <w:color w:val="auto"/>
                <w:sz w:val="24"/>
              </w:rPr>
              <w:t>3、沥青预处理：沥青罐内的沥青通过导热油炉间接加热，使其维持在1</w:t>
            </w:r>
            <w:r>
              <w:rPr>
                <w:rFonts w:hint="eastAsia" w:eastAsiaTheme="minorEastAsia"/>
                <w:color w:val="auto"/>
                <w:sz w:val="24"/>
              </w:rPr>
              <w:t>5</w:t>
            </w:r>
            <w:r>
              <w:rPr>
                <w:rFonts w:eastAsiaTheme="minorEastAsia"/>
                <w:color w:val="auto"/>
                <w:sz w:val="24"/>
              </w:rPr>
              <w:t>0</w:t>
            </w:r>
            <w:r>
              <w:rPr>
                <w:rFonts w:hint="eastAsia" w:eastAsiaTheme="minorEastAsia"/>
                <w:color w:val="auto"/>
                <w:sz w:val="24"/>
              </w:rPr>
              <w:t>-160</w:t>
            </w:r>
            <w:r>
              <w:rPr>
                <w:rFonts w:eastAsiaTheme="minorEastAsia"/>
                <w:color w:val="auto"/>
                <w:sz w:val="24"/>
              </w:rPr>
              <w:t>℃，确保沥青处于可流动状态</w:t>
            </w:r>
            <w:r>
              <w:rPr>
                <w:rFonts w:hint="eastAsia" w:eastAsiaTheme="minorEastAsia"/>
                <w:color w:val="auto"/>
                <w:sz w:val="24"/>
              </w:rPr>
              <w:t>，</w:t>
            </w:r>
            <w:r>
              <w:rPr>
                <w:rFonts w:eastAsiaTheme="minorEastAsia"/>
                <w:color w:val="auto"/>
                <w:sz w:val="24"/>
              </w:rPr>
              <w:t>导热油炉</w:t>
            </w:r>
            <w:r>
              <w:rPr>
                <w:rFonts w:eastAsiaTheme="minorEastAsia"/>
                <w:bCs/>
                <w:color w:val="auto"/>
                <w:sz w:val="24"/>
              </w:rPr>
              <w:t>烟气经</w:t>
            </w:r>
            <w:r>
              <w:rPr>
                <w:rFonts w:hint="eastAsia" w:eastAsiaTheme="minorEastAsia"/>
                <w:color w:val="auto"/>
                <w:sz w:val="24"/>
              </w:rPr>
              <w:t>低氮燃烧处理后（除氮效率30%），由1根15m高排气筒（DA002）排放；</w:t>
            </w:r>
            <w:r>
              <w:rPr>
                <w:rFonts w:eastAsiaTheme="minorEastAsia"/>
                <w:color w:val="auto"/>
                <w:sz w:val="24"/>
              </w:rPr>
              <w:t>生产时用沥青泵将加热好的沥青输送至沥青计量系统，通过专门管道送入搅拌缸内与骨料、粉料进行混合。</w:t>
            </w:r>
          </w:p>
          <w:p w14:paraId="36D2CC40">
            <w:pPr>
              <w:spacing w:line="360" w:lineRule="auto"/>
              <w:ind w:firstLine="480" w:firstLineChars="200"/>
              <w:rPr>
                <w:rFonts w:eastAsiaTheme="minorEastAsia"/>
                <w:color w:val="auto"/>
                <w:sz w:val="24"/>
              </w:rPr>
            </w:pPr>
            <w:r>
              <w:rPr>
                <w:rFonts w:eastAsiaTheme="minorEastAsia"/>
                <w:color w:val="auto"/>
                <w:sz w:val="24"/>
              </w:rPr>
              <w:t>4、搅拌混合工序：进入拌合仓的热骨料、矿粉经与热沥青拌合后得到成品沥青混凝土，整个过程都在封闭系统中进行。厂区不设成品贮仓，成品从拌缸卸料后由汽车直接运出。成品由汽车运输至施工场地。</w:t>
            </w:r>
            <w:r>
              <w:rPr>
                <w:rFonts w:hint="eastAsia" w:eastAsiaTheme="minorEastAsia"/>
                <w:color w:val="auto"/>
                <w:sz w:val="24"/>
              </w:rPr>
              <w:t>本项目在沥青混凝土拌和沥青储罐处会产生</w:t>
            </w:r>
            <w:r>
              <w:rPr>
                <w:rFonts w:eastAsiaTheme="minorEastAsia"/>
                <w:bCs/>
                <w:color w:val="auto"/>
                <w:sz w:val="24"/>
              </w:rPr>
              <w:t>非甲烷总烃、</w:t>
            </w:r>
            <w:r>
              <w:rPr>
                <w:rFonts w:hint="eastAsia" w:eastAsiaTheme="minorEastAsia"/>
                <w:color w:val="auto"/>
                <w:sz w:val="24"/>
              </w:rPr>
              <w:t>沥青烟和苯并[a]芘，沥青在密闭储罐中储存过程中产生的烟气以及出料产生的烟气通过负压收集系统集中收集，经气浮旋流塔+三维一体化废气处理设备（由电离子+光催化+高碘值碳吸附组成）（处理效率95%）处理后，经15m高沥青搅拌排气筒（DA003）排放；</w:t>
            </w:r>
          </w:p>
          <w:p w14:paraId="02ACAD8F">
            <w:pPr>
              <w:spacing w:line="360" w:lineRule="auto"/>
              <w:ind w:firstLine="480" w:firstLineChars="200"/>
              <w:rPr>
                <w:rFonts w:eastAsiaTheme="minorEastAsia"/>
                <w:color w:val="auto"/>
                <w:sz w:val="24"/>
              </w:rPr>
            </w:pPr>
            <w:r>
              <w:rPr>
                <w:rFonts w:hint="eastAsia" w:eastAsiaTheme="minorEastAsia"/>
                <w:color w:val="auto"/>
                <w:sz w:val="24"/>
              </w:rPr>
              <w:t>在整个生产过程中由于使用的生产设备先进性较高，采用的是全自动控制系统，在生产过程中可以有效的减少物料的跑冒漏等，以及其它由于生产设备不先进带来的环保问题，整个生产过程除了进料和出料工序，其他工序均采用密闭操作。</w:t>
            </w:r>
          </w:p>
          <w:p w14:paraId="4D8960FD">
            <w:pPr>
              <w:spacing w:line="360" w:lineRule="auto"/>
              <w:ind w:firstLine="482" w:firstLineChars="200"/>
              <w:contextualSpacing/>
              <w:rPr>
                <w:b/>
                <w:bCs/>
                <w:color w:val="auto"/>
                <w:sz w:val="24"/>
              </w:rPr>
            </w:pPr>
            <w:r>
              <w:rPr>
                <w:b/>
                <w:bCs/>
                <w:color w:val="auto"/>
                <w:sz w:val="24"/>
              </w:rPr>
              <w:t>产排污环节分析：</w:t>
            </w:r>
          </w:p>
          <w:p w14:paraId="042A1828">
            <w:pPr>
              <w:spacing w:line="360" w:lineRule="auto"/>
              <w:ind w:firstLine="480" w:firstLineChars="200"/>
              <w:contextualSpacing/>
              <w:rPr>
                <w:bCs/>
                <w:color w:val="auto"/>
                <w:sz w:val="24"/>
              </w:rPr>
            </w:pPr>
            <w:r>
              <w:rPr>
                <w:color w:val="auto"/>
                <w:sz w:val="24"/>
              </w:rPr>
              <w:t>本项目污染物主要为生产过程中产生的废气，员工生活污水，设备噪声，生产固废</w:t>
            </w:r>
            <w:r>
              <w:rPr>
                <w:bCs/>
                <w:color w:val="auto"/>
                <w:sz w:val="24"/>
              </w:rPr>
              <w:t>。</w:t>
            </w:r>
          </w:p>
          <w:p w14:paraId="43560619">
            <w:pPr>
              <w:spacing w:line="360" w:lineRule="auto"/>
              <w:ind w:firstLine="480" w:firstLineChars="200"/>
              <w:contextualSpacing/>
              <w:rPr>
                <w:bCs/>
                <w:color w:val="auto"/>
                <w:sz w:val="24"/>
              </w:rPr>
            </w:pPr>
            <w:r>
              <w:rPr>
                <w:bCs/>
                <w:color w:val="auto"/>
                <w:sz w:val="24"/>
              </w:rPr>
              <w:t>1、废气：</w:t>
            </w:r>
            <w:r>
              <w:rPr>
                <w:rFonts w:hint="eastAsia" w:eastAsiaTheme="minorEastAsia"/>
                <w:color w:val="auto"/>
                <w:sz w:val="24"/>
              </w:rPr>
              <w:t>铲装集堆</w:t>
            </w:r>
            <w:r>
              <w:rPr>
                <w:rFonts w:eastAsiaTheme="minorEastAsia"/>
                <w:color w:val="auto"/>
                <w:sz w:val="24"/>
              </w:rPr>
              <w:t>粉尘、</w:t>
            </w:r>
            <w:r>
              <w:rPr>
                <w:rFonts w:hint="eastAsia" w:eastAsiaTheme="minorEastAsia"/>
                <w:color w:val="auto"/>
                <w:sz w:val="24"/>
              </w:rPr>
              <w:t>堆场</w:t>
            </w:r>
            <w:r>
              <w:rPr>
                <w:rFonts w:eastAsiaTheme="minorEastAsia"/>
                <w:color w:val="auto"/>
                <w:sz w:val="24"/>
              </w:rPr>
              <w:t>粉尘、冷料仓上料粉尘、矿粉筒仓</w:t>
            </w:r>
            <w:r>
              <w:rPr>
                <w:rFonts w:eastAsiaTheme="minorEastAsia"/>
                <w:bCs/>
                <w:color w:val="auto"/>
                <w:sz w:val="24"/>
              </w:rPr>
              <w:t>装卸</w:t>
            </w:r>
            <w:r>
              <w:rPr>
                <w:rFonts w:eastAsiaTheme="minorEastAsia"/>
                <w:color w:val="auto"/>
                <w:sz w:val="24"/>
              </w:rPr>
              <w:t>粉尘、</w:t>
            </w:r>
            <w:r>
              <w:rPr>
                <w:bCs/>
                <w:color w:val="auto"/>
                <w:sz w:val="24"/>
              </w:rPr>
              <w:t>筛分粉尘、</w:t>
            </w:r>
            <w:r>
              <w:rPr>
                <w:rFonts w:eastAsiaTheme="minorEastAsia"/>
                <w:bCs/>
                <w:color w:val="auto"/>
                <w:sz w:val="24"/>
              </w:rPr>
              <w:t>碎石料</w:t>
            </w:r>
            <w:r>
              <w:rPr>
                <w:rFonts w:hint="eastAsia" w:eastAsiaTheme="minorEastAsia"/>
                <w:bCs/>
                <w:color w:val="auto"/>
                <w:sz w:val="24"/>
              </w:rPr>
              <w:t>烘干</w:t>
            </w:r>
            <w:r>
              <w:rPr>
                <w:rFonts w:eastAsiaTheme="minorEastAsia"/>
                <w:bCs/>
                <w:color w:val="auto"/>
                <w:sz w:val="24"/>
              </w:rPr>
              <w:t>产生的粉尘</w:t>
            </w:r>
            <w:r>
              <w:rPr>
                <w:bCs/>
                <w:color w:val="auto"/>
                <w:sz w:val="24"/>
              </w:rPr>
              <w:t>、</w:t>
            </w:r>
            <w:r>
              <w:rPr>
                <w:rFonts w:hint="eastAsia" w:eastAsiaTheme="minorEastAsia"/>
                <w:bCs/>
                <w:color w:val="auto"/>
                <w:sz w:val="24"/>
              </w:rPr>
              <w:t>28MW</w:t>
            </w:r>
            <w:r>
              <w:rPr>
                <w:rFonts w:eastAsiaTheme="minorEastAsia"/>
                <w:bCs/>
                <w:color w:val="auto"/>
                <w:sz w:val="24"/>
              </w:rPr>
              <w:t>燃</w:t>
            </w:r>
            <w:r>
              <w:rPr>
                <w:rFonts w:hint="eastAsia" w:eastAsiaTheme="minorEastAsia"/>
                <w:bCs/>
                <w:color w:val="auto"/>
                <w:sz w:val="24"/>
              </w:rPr>
              <w:t>天然气</w:t>
            </w:r>
            <w:r>
              <w:rPr>
                <w:rFonts w:eastAsiaTheme="minorEastAsia"/>
                <w:bCs/>
                <w:color w:val="auto"/>
                <w:sz w:val="24"/>
              </w:rPr>
              <w:t>燃烧器烟气</w:t>
            </w:r>
            <w:r>
              <w:rPr>
                <w:bCs/>
                <w:color w:val="auto"/>
                <w:sz w:val="24"/>
              </w:rPr>
              <w:t>、</w:t>
            </w:r>
            <w:r>
              <w:rPr>
                <w:rFonts w:eastAsiaTheme="minorEastAsia"/>
                <w:color w:val="auto"/>
                <w:sz w:val="24"/>
              </w:rPr>
              <w:t>热料仓落料粉尘、</w:t>
            </w:r>
            <w:r>
              <w:rPr>
                <w:color w:val="auto"/>
                <w:sz w:val="24"/>
              </w:rPr>
              <w:t>搅拌机出料口</w:t>
            </w:r>
            <w:r>
              <w:rPr>
                <w:rFonts w:eastAsiaTheme="minorEastAsia"/>
                <w:bCs/>
                <w:color w:val="auto"/>
                <w:sz w:val="24"/>
              </w:rPr>
              <w:t>及</w:t>
            </w:r>
            <w:r>
              <w:rPr>
                <w:bCs/>
                <w:color w:val="auto"/>
                <w:sz w:val="24"/>
              </w:rPr>
              <w:t>沥青储罐呼吸口</w:t>
            </w:r>
            <w:r>
              <w:rPr>
                <w:rFonts w:eastAsiaTheme="minorEastAsia"/>
                <w:bCs/>
                <w:color w:val="auto"/>
                <w:sz w:val="24"/>
              </w:rPr>
              <w:t>产生沥青烟（主要为非甲烷总烃、沥青烟、</w:t>
            </w:r>
            <w:r>
              <w:rPr>
                <w:rFonts w:hint="eastAsia" w:eastAsiaTheme="minorEastAsia"/>
                <w:bCs/>
                <w:color w:val="auto"/>
                <w:sz w:val="24"/>
              </w:rPr>
              <w:t>苯并[a]芘</w:t>
            </w:r>
            <w:r>
              <w:rPr>
                <w:rFonts w:eastAsiaTheme="minorEastAsia"/>
                <w:bCs/>
                <w:color w:val="auto"/>
                <w:sz w:val="24"/>
              </w:rPr>
              <w:t>）、120万kcal燃</w:t>
            </w:r>
            <w:r>
              <w:rPr>
                <w:rFonts w:hint="eastAsia" w:eastAsiaTheme="minorEastAsia"/>
                <w:bCs/>
                <w:color w:val="auto"/>
                <w:sz w:val="24"/>
              </w:rPr>
              <w:t>天然气</w:t>
            </w:r>
            <w:r>
              <w:rPr>
                <w:rFonts w:eastAsiaTheme="minorEastAsia"/>
                <w:color w:val="auto"/>
                <w:kern w:val="0"/>
                <w:sz w:val="24"/>
              </w:rPr>
              <w:t>导热油炉烟气</w:t>
            </w:r>
            <w:r>
              <w:rPr>
                <w:rFonts w:hint="eastAsia" w:eastAsiaTheme="minorEastAsia"/>
                <w:color w:val="auto"/>
                <w:sz w:val="24"/>
              </w:rPr>
              <w:t>（主要为颗粒物、SO</w:t>
            </w:r>
            <w:r>
              <w:rPr>
                <w:rFonts w:hint="eastAsia" w:eastAsiaTheme="minorEastAsia"/>
                <w:color w:val="auto"/>
                <w:sz w:val="24"/>
                <w:vertAlign w:val="subscript"/>
              </w:rPr>
              <w:t>2</w:t>
            </w:r>
            <w:r>
              <w:rPr>
                <w:rFonts w:hint="eastAsia" w:eastAsiaTheme="minorEastAsia"/>
                <w:color w:val="auto"/>
                <w:sz w:val="24"/>
              </w:rPr>
              <w:t>、NOx、烟气黑度）</w:t>
            </w:r>
            <w:r>
              <w:rPr>
                <w:bCs/>
                <w:color w:val="auto"/>
                <w:sz w:val="24"/>
              </w:rPr>
              <w:t>。</w:t>
            </w:r>
          </w:p>
          <w:p w14:paraId="2E23D43E">
            <w:pPr>
              <w:spacing w:line="360" w:lineRule="auto"/>
              <w:ind w:firstLine="480" w:firstLineChars="200"/>
              <w:contextualSpacing/>
              <w:rPr>
                <w:bCs/>
                <w:color w:val="auto"/>
                <w:sz w:val="24"/>
              </w:rPr>
            </w:pPr>
            <w:r>
              <w:rPr>
                <w:bCs/>
                <w:color w:val="auto"/>
                <w:sz w:val="24"/>
              </w:rPr>
              <w:t>2、废水：员工生活污水（主要污染物COD、氨氮、pH、SS、BOD</w:t>
            </w:r>
            <w:r>
              <w:rPr>
                <w:bCs/>
                <w:color w:val="auto"/>
                <w:sz w:val="24"/>
                <w:vertAlign w:val="subscript"/>
              </w:rPr>
              <w:t>5</w:t>
            </w:r>
            <w:r>
              <w:rPr>
                <w:bCs/>
                <w:color w:val="auto"/>
                <w:sz w:val="24"/>
              </w:rPr>
              <w:t>）。</w:t>
            </w:r>
          </w:p>
          <w:p w14:paraId="47DB57C4">
            <w:pPr>
              <w:spacing w:line="360" w:lineRule="auto"/>
              <w:ind w:firstLine="480" w:firstLineChars="200"/>
              <w:contextualSpacing/>
              <w:rPr>
                <w:bCs/>
                <w:color w:val="auto"/>
                <w:sz w:val="24"/>
              </w:rPr>
            </w:pPr>
            <w:r>
              <w:rPr>
                <w:bCs/>
                <w:color w:val="auto"/>
                <w:sz w:val="24"/>
              </w:rPr>
              <w:t>3、噪声：主要噪声来自于筛分机、搅拌机、风机等设备。</w:t>
            </w:r>
          </w:p>
          <w:p w14:paraId="29014BC6">
            <w:pPr>
              <w:spacing w:line="360" w:lineRule="auto"/>
              <w:ind w:firstLine="480" w:firstLineChars="200"/>
              <w:contextualSpacing/>
              <w:rPr>
                <w:bCs/>
                <w:color w:val="auto"/>
                <w:sz w:val="24"/>
              </w:rPr>
            </w:pPr>
            <w:r>
              <w:rPr>
                <w:bCs/>
                <w:color w:val="auto"/>
                <w:sz w:val="24"/>
              </w:rPr>
              <w:t>4、固废：生活垃圾、</w:t>
            </w:r>
            <w:r>
              <w:rPr>
                <w:rFonts w:hint="eastAsia"/>
                <w:bCs/>
                <w:color w:val="auto"/>
                <w:sz w:val="24"/>
              </w:rPr>
              <w:t>除尘</w:t>
            </w:r>
            <w:r>
              <w:rPr>
                <w:bCs/>
                <w:color w:val="auto"/>
                <w:sz w:val="24"/>
              </w:rPr>
              <w:t>系统收集的粉尘、废布袋、</w:t>
            </w:r>
            <w:r>
              <w:rPr>
                <w:rFonts w:hint="eastAsia"/>
                <w:color w:val="auto"/>
                <w:sz w:val="24"/>
              </w:rPr>
              <w:t>实</w:t>
            </w:r>
            <w:r>
              <w:rPr>
                <w:color w:val="auto"/>
                <w:sz w:val="24"/>
              </w:rPr>
              <w:t>验室弃块、初期雨水池油污</w:t>
            </w:r>
            <w:r>
              <w:rPr>
                <w:rFonts w:hint="eastAsia"/>
                <w:color w:val="auto"/>
                <w:sz w:val="24"/>
              </w:rPr>
              <w:t>、</w:t>
            </w:r>
            <w:r>
              <w:rPr>
                <w:bCs/>
                <w:color w:val="auto"/>
                <w:sz w:val="24"/>
              </w:rPr>
              <w:t>废油桶、废导热油、废</w:t>
            </w:r>
            <w:r>
              <w:rPr>
                <w:rFonts w:hint="eastAsia"/>
                <w:color w:val="auto"/>
                <w:sz w:val="24"/>
              </w:rPr>
              <w:t>活性</w:t>
            </w:r>
            <w:r>
              <w:rPr>
                <w:bCs/>
                <w:color w:val="auto"/>
                <w:sz w:val="24"/>
              </w:rPr>
              <w:t>炭。</w:t>
            </w:r>
          </w:p>
        </w:tc>
      </w:tr>
      <w:tr w14:paraId="3B34C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0" w:type="dxa"/>
            <w:vAlign w:val="center"/>
          </w:tcPr>
          <w:p w14:paraId="6D2105AB">
            <w:pPr>
              <w:pStyle w:val="22"/>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610" w:type="dxa"/>
          </w:tcPr>
          <w:p w14:paraId="3431D5BA">
            <w:pPr>
              <w:spacing w:line="360" w:lineRule="auto"/>
              <w:ind w:firstLine="480" w:firstLineChars="200"/>
              <w:contextualSpacing/>
              <w:rPr>
                <w:color w:val="auto"/>
                <w:sz w:val="24"/>
              </w:rPr>
            </w:pPr>
            <w:r>
              <w:rPr>
                <w:color w:val="auto"/>
                <w:sz w:val="24"/>
              </w:rPr>
              <w:t>本项目</w:t>
            </w:r>
            <w:r>
              <w:rPr>
                <w:rFonts w:hint="eastAsia"/>
                <w:color w:val="auto"/>
                <w:sz w:val="24"/>
              </w:rPr>
              <w:t>为新建项目</w:t>
            </w:r>
            <w:r>
              <w:rPr>
                <w:color w:val="auto"/>
                <w:sz w:val="24"/>
              </w:rPr>
              <w:t>，无原有环境污染问题。</w:t>
            </w:r>
          </w:p>
          <w:p w14:paraId="68080F26">
            <w:pPr>
              <w:spacing w:line="360" w:lineRule="auto"/>
              <w:ind w:firstLine="480" w:firstLineChars="200"/>
              <w:contextualSpacing/>
              <w:rPr>
                <w:bCs/>
                <w:color w:val="auto"/>
                <w:sz w:val="24"/>
              </w:rPr>
            </w:pPr>
          </w:p>
          <w:p w14:paraId="04C3C41F">
            <w:pPr>
              <w:spacing w:line="360" w:lineRule="auto"/>
              <w:ind w:firstLine="480" w:firstLineChars="200"/>
              <w:contextualSpacing/>
              <w:rPr>
                <w:bCs/>
                <w:color w:val="auto"/>
                <w:sz w:val="24"/>
              </w:rPr>
            </w:pPr>
          </w:p>
          <w:p w14:paraId="77352AB9">
            <w:pPr>
              <w:spacing w:line="360" w:lineRule="auto"/>
              <w:ind w:firstLine="480" w:firstLineChars="200"/>
              <w:contextualSpacing/>
              <w:rPr>
                <w:bCs/>
                <w:color w:val="auto"/>
                <w:sz w:val="24"/>
              </w:rPr>
            </w:pPr>
          </w:p>
          <w:p w14:paraId="3356143F">
            <w:pPr>
              <w:spacing w:line="360" w:lineRule="auto"/>
              <w:ind w:firstLine="480" w:firstLineChars="200"/>
              <w:contextualSpacing/>
              <w:rPr>
                <w:bCs/>
                <w:color w:val="auto"/>
                <w:sz w:val="24"/>
              </w:rPr>
            </w:pPr>
          </w:p>
          <w:p w14:paraId="2E5FD988">
            <w:pPr>
              <w:spacing w:line="360" w:lineRule="auto"/>
              <w:ind w:firstLine="480" w:firstLineChars="200"/>
              <w:contextualSpacing/>
              <w:rPr>
                <w:bCs/>
                <w:color w:val="auto"/>
                <w:sz w:val="24"/>
              </w:rPr>
            </w:pPr>
          </w:p>
          <w:p w14:paraId="44A7A0E8">
            <w:pPr>
              <w:spacing w:line="360" w:lineRule="auto"/>
              <w:ind w:firstLine="480" w:firstLineChars="200"/>
              <w:contextualSpacing/>
              <w:rPr>
                <w:bCs/>
                <w:color w:val="auto"/>
                <w:sz w:val="24"/>
              </w:rPr>
            </w:pPr>
          </w:p>
          <w:p w14:paraId="5162B7DD">
            <w:pPr>
              <w:spacing w:line="360" w:lineRule="auto"/>
              <w:ind w:firstLine="480" w:firstLineChars="200"/>
              <w:contextualSpacing/>
              <w:rPr>
                <w:bCs/>
                <w:color w:val="auto"/>
                <w:sz w:val="24"/>
              </w:rPr>
            </w:pPr>
          </w:p>
          <w:p w14:paraId="38924828">
            <w:pPr>
              <w:spacing w:line="360" w:lineRule="auto"/>
              <w:contextualSpacing/>
              <w:rPr>
                <w:bCs/>
                <w:color w:val="auto"/>
                <w:sz w:val="24"/>
              </w:rPr>
            </w:pPr>
          </w:p>
        </w:tc>
      </w:tr>
    </w:tbl>
    <w:p w14:paraId="32D721D1">
      <w:pPr>
        <w:pStyle w:val="22"/>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89952F6">
      <w:pPr>
        <w:pStyle w:val="22"/>
        <w:jc w:val="center"/>
        <w:outlineLvl w:val="0"/>
        <w:rPr>
          <w:rFonts w:ascii="Times New Roman" w:hAnsi="Times New Roman" w:eastAsia="黑体"/>
          <w:snapToGrid w:val="0"/>
          <w:color w:val="auto"/>
          <w:sz w:val="30"/>
          <w:szCs w:val="30"/>
        </w:rPr>
      </w:pPr>
      <w:bookmarkStart w:id="6" w:name="_Toc68775754"/>
      <w:r>
        <w:rPr>
          <w:rFonts w:ascii="Times New Roman" w:hAnsi="Times New Roman" w:eastAsia="黑体"/>
          <w:snapToGrid w:val="0"/>
          <w:color w:val="auto"/>
          <w:sz w:val="30"/>
          <w:szCs w:val="30"/>
        </w:rPr>
        <w:t>三、区域环境质量现状、环境保护目标及评价标准</w:t>
      </w:r>
      <w:bookmarkEnd w:id="6"/>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8324"/>
      </w:tblGrid>
      <w:tr w14:paraId="43892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96" w:type="dxa"/>
            <w:vAlign w:val="center"/>
          </w:tcPr>
          <w:p w14:paraId="5434DFA5">
            <w:pPr>
              <w:adjustRightInd w:val="0"/>
              <w:snapToGrid w:val="0"/>
              <w:jc w:val="center"/>
              <w:rPr>
                <w:color w:val="auto"/>
                <w:kern w:val="0"/>
                <w:sz w:val="24"/>
              </w:rPr>
            </w:pPr>
            <w:r>
              <w:rPr>
                <w:color w:val="auto"/>
                <w:kern w:val="0"/>
                <w:sz w:val="24"/>
              </w:rPr>
              <w:t>区域</w:t>
            </w:r>
          </w:p>
          <w:p w14:paraId="27967F22">
            <w:pPr>
              <w:adjustRightInd w:val="0"/>
              <w:snapToGrid w:val="0"/>
              <w:jc w:val="center"/>
              <w:rPr>
                <w:color w:val="auto"/>
                <w:kern w:val="0"/>
                <w:sz w:val="24"/>
              </w:rPr>
            </w:pPr>
            <w:r>
              <w:rPr>
                <w:color w:val="auto"/>
                <w:kern w:val="0"/>
                <w:sz w:val="24"/>
              </w:rPr>
              <w:t>环境</w:t>
            </w:r>
          </w:p>
          <w:p w14:paraId="7D45B02D">
            <w:pPr>
              <w:adjustRightInd w:val="0"/>
              <w:snapToGrid w:val="0"/>
              <w:jc w:val="center"/>
              <w:rPr>
                <w:color w:val="auto"/>
                <w:kern w:val="0"/>
                <w:sz w:val="24"/>
              </w:rPr>
            </w:pPr>
            <w:r>
              <w:rPr>
                <w:color w:val="auto"/>
                <w:kern w:val="0"/>
                <w:sz w:val="24"/>
              </w:rPr>
              <w:t>质量</w:t>
            </w:r>
          </w:p>
          <w:p w14:paraId="453B211C">
            <w:pPr>
              <w:adjustRightInd w:val="0"/>
              <w:snapToGrid w:val="0"/>
              <w:jc w:val="center"/>
              <w:rPr>
                <w:color w:val="auto"/>
                <w:kern w:val="0"/>
                <w:sz w:val="24"/>
              </w:rPr>
            </w:pPr>
            <w:r>
              <w:rPr>
                <w:color w:val="auto"/>
                <w:kern w:val="0"/>
                <w:sz w:val="24"/>
              </w:rPr>
              <w:t>现状</w:t>
            </w:r>
          </w:p>
        </w:tc>
        <w:tc>
          <w:tcPr>
            <w:tcW w:w="8329" w:type="dxa"/>
            <w:vAlign w:val="center"/>
          </w:tcPr>
          <w:p w14:paraId="45ECC04D">
            <w:pPr>
              <w:pStyle w:val="59"/>
              <w:spacing w:beforeLines="0" w:afterLines="0" w:line="360" w:lineRule="auto"/>
              <w:ind w:firstLine="482"/>
              <w:contextualSpacing/>
              <w:rPr>
                <w:b/>
                <w:color w:val="auto"/>
              </w:rPr>
            </w:pPr>
            <w:r>
              <w:rPr>
                <w:b/>
                <w:color w:val="auto"/>
              </w:rPr>
              <w:t>1、环境空气</w:t>
            </w:r>
          </w:p>
          <w:p w14:paraId="117C2550">
            <w:pPr>
              <w:pStyle w:val="59"/>
              <w:spacing w:beforeLines="0" w:afterLines="0" w:line="360" w:lineRule="auto"/>
              <w:ind w:firstLine="480"/>
              <w:contextualSpacing/>
              <w:rPr>
                <w:rFonts w:hAnsiTheme="minorEastAsia" w:eastAsiaTheme="minorEastAsia"/>
                <w:color w:val="auto"/>
                <w:sz w:val="24"/>
                <w:szCs w:val="24"/>
              </w:rPr>
            </w:pPr>
            <w:r>
              <w:rPr>
                <w:rFonts w:hint="eastAsia" w:hAnsiTheme="minorEastAsia" w:eastAsiaTheme="minorEastAsia"/>
                <w:color w:val="auto"/>
                <w:sz w:val="24"/>
                <w:szCs w:val="24"/>
              </w:rPr>
              <w:t>（1）常规污染物</w:t>
            </w:r>
          </w:p>
          <w:p w14:paraId="03FFDFD9">
            <w:pPr>
              <w:pStyle w:val="65"/>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outlineLvl w:val="9"/>
              <w:rPr>
                <w:rFonts w:hint="default" w:ascii="Times New Roman" w:hAnsi="Times New Roman" w:cs="Times New Roman"/>
                <w:color w:val="auto"/>
                <w:sz w:val="24"/>
                <w:szCs w:val="24"/>
                <w:highlight w:val="none"/>
                <w:u w:val="none"/>
                <w:lang w:eastAsia="zh-CN"/>
              </w:rPr>
            </w:pPr>
            <w:r>
              <w:rPr>
                <w:rFonts w:hint="default" w:ascii="Times New Roman" w:hAnsi="Times New Roman" w:eastAsia="宋体" w:cs="Times New Roman"/>
                <w:snapToGrid w:val="0"/>
                <w:color w:val="auto"/>
                <w:sz w:val="24"/>
                <w:szCs w:val="24"/>
                <w:highlight w:val="none"/>
                <w:u w:val="none"/>
                <w:lang w:eastAsia="zh-CN"/>
              </w:rPr>
              <w:t>根据伊春市生态环境局公布的《</w:t>
            </w:r>
            <w:r>
              <w:rPr>
                <w:rFonts w:hint="default" w:ascii="Times New Roman" w:hAnsi="Times New Roman" w:eastAsia="宋体" w:cs="Times New Roman"/>
                <w:snapToGrid w:val="0"/>
                <w:color w:val="auto"/>
                <w:sz w:val="24"/>
                <w:szCs w:val="24"/>
                <w:highlight w:val="none"/>
                <w:u w:val="none"/>
                <w:lang w:val="en-US" w:eastAsia="zh-CN"/>
              </w:rPr>
              <w:t>2022年伊春市生态环境质量公报</w:t>
            </w:r>
            <w:r>
              <w:rPr>
                <w:rFonts w:hint="default" w:ascii="Times New Roman" w:hAnsi="Times New Roman" w:eastAsia="宋体" w:cs="Times New Roman"/>
                <w:snapToGrid w:val="0"/>
                <w:color w:val="auto"/>
                <w:sz w:val="24"/>
                <w:szCs w:val="24"/>
                <w:highlight w:val="none"/>
                <w:u w:val="none"/>
                <w:lang w:eastAsia="zh-CN"/>
              </w:rPr>
              <w:t>》，2022年，伊春市环境空气共监测365天，环境空气质量指数(AQI)达标天数为361天，其中：一级275天，二级86天，达标率为98.9%。</w:t>
            </w:r>
            <w:r>
              <w:rPr>
                <w:rFonts w:hint="default" w:ascii="Times New Roman" w:hAnsi="Times New Roman" w:cs="Times New Roman"/>
                <w:color w:val="auto"/>
                <w:sz w:val="24"/>
                <w:szCs w:val="24"/>
                <w:highlight w:val="none"/>
                <w:u w:val="none"/>
                <w:lang w:eastAsia="zh-CN"/>
              </w:rPr>
              <w:t>伊春市</w:t>
            </w:r>
            <w:r>
              <w:rPr>
                <w:rFonts w:hint="default" w:ascii="Times New Roman" w:hAnsi="Times New Roman" w:cs="Times New Roman"/>
                <w:color w:val="auto"/>
                <w:sz w:val="24"/>
                <w:szCs w:val="24"/>
                <w:highlight w:val="none"/>
                <w:u w:val="none"/>
                <w:lang w:val="en-US" w:eastAsia="zh-CN"/>
              </w:rPr>
              <w:t>2022</w:t>
            </w:r>
            <w:r>
              <w:rPr>
                <w:rFonts w:hint="default" w:ascii="Times New Roman" w:hAnsi="Times New Roman" w:cs="Times New Roman"/>
                <w:color w:val="auto"/>
                <w:sz w:val="24"/>
                <w:szCs w:val="24"/>
                <w:highlight w:val="none"/>
                <w:u w:val="none"/>
              </w:rPr>
              <w:t>年SO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、NO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、PM</w:t>
            </w:r>
            <w:r>
              <w:rPr>
                <w:rFonts w:hint="default" w:ascii="Times New Roman" w:hAnsi="Times New Roman" w:cs="Times New Roman"/>
                <w:color w:val="auto"/>
                <w:sz w:val="24"/>
                <w:szCs w:val="24"/>
                <w:highlight w:val="none"/>
                <w:u w:val="none"/>
                <w:vertAlign w:val="subscript"/>
              </w:rPr>
              <w:t>10</w:t>
            </w:r>
            <w:r>
              <w:rPr>
                <w:rFonts w:hint="default" w:ascii="Times New Roman" w:hAnsi="Times New Roman" w:cs="Times New Roman"/>
                <w:color w:val="auto"/>
                <w:sz w:val="24"/>
                <w:szCs w:val="24"/>
                <w:highlight w:val="none"/>
                <w:u w:val="none"/>
              </w:rPr>
              <w:t>、PM</w:t>
            </w:r>
            <w:r>
              <w:rPr>
                <w:rFonts w:hint="default" w:ascii="Times New Roman" w:hAnsi="Times New Roman" w:cs="Times New Roman"/>
                <w:color w:val="auto"/>
                <w:sz w:val="24"/>
                <w:szCs w:val="24"/>
                <w:highlight w:val="none"/>
                <w:u w:val="none"/>
                <w:vertAlign w:val="subscript"/>
              </w:rPr>
              <w:t>2.5</w:t>
            </w:r>
            <w:r>
              <w:rPr>
                <w:rFonts w:hint="default" w:ascii="Times New Roman" w:hAnsi="Times New Roman" w:cs="Times New Roman"/>
                <w:color w:val="auto"/>
                <w:sz w:val="24"/>
                <w:szCs w:val="24"/>
                <w:highlight w:val="none"/>
                <w:u w:val="none"/>
              </w:rPr>
              <w:t>年均浓度分别为</w:t>
            </w:r>
            <w:r>
              <w:rPr>
                <w:rFonts w:hint="default" w:ascii="Times New Roman" w:hAnsi="Times New Roman" w:cs="Times New Roman"/>
                <w:color w:val="auto"/>
                <w:sz w:val="24"/>
                <w:szCs w:val="24"/>
                <w:highlight w:val="none"/>
                <w:u w:val="none"/>
                <w:lang w:val="en-US" w:eastAsia="zh-CN"/>
              </w:rPr>
              <w:t>6</w:t>
            </w:r>
            <w:r>
              <w:rPr>
                <w:rFonts w:hint="default" w:ascii="Times New Roman" w:hAnsi="Times New Roman" w:cs="Times New Roman"/>
                <w:color w:val="auto"/>
                <w:sz w:val="24"/>
                <w:szCs w:val="24"/>
                <w:highlight w:val="none"/>
                <w:u w:val="none"/>
              </w:rPr>
              <w:t>ug/m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11</w:t>
            </w:r>
            <w:r>
              <w:rPr>
                <w:rFonts w:hint="default" w:ascii="Times New Roman" w:hAnsi="Times New Roman" w:cs="Times New Roman"/>
                <w:color w:val="auto"/>
                <w:sz w:val="24"/>
                <w:szCs w:val="24"/>
                <w:highlight w:val="none"/>
                <w:u w:val="none"/>
              </w:rPr>
              <w:t>ug/m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30u</w:t>
            </w:r>
            <w:r>
              <w:rPr>
                <w:rFonts w:hint="default" w:ascii="Times New Roman" w:hAnsi="Times New Roman" w:cs="Times New Roman"/>
                <w:color w:val="auto"/>
                <w:sz w:val="24"/>
                <w:szCs w:val="24"/>
                <w:highlight w:val="none"/>
                <w:u w:val="none"/>
              </w:rPr>
              <w:t>g/m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21</w:t>
            </w:r>
            <w:r>
              <w:rPr>
                <w:rFonts w:hint="default" w:ascii="Times New Roman" w:hAnsi="Times New Roman" w:cs="Times New Roman"/>
                <w:color w:val="auto"/>
                <w:sz w:val="24"/>
                <w:szCs w:val="24"/>
                <w:highlight w:val="none"/>
                <w:u w:val="none"/>
              </w:rPr>
              <w:t>ug/m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；CO24小时平均第95百分位数为</w:t>
            </w:r>
            <w:r>
              <w:rPr>
                <w:rFonts w:hint="default" w:ascii="Times New Roman" w:hAnsi="Times New Roman" w:cs="Times New Roman"/>
                <w:color w:val="auto"/>
                <w:sz w:val="24"/>
                <w:szCs w:val="24"/>
                <w:highlight w:val="none"/>
                <w:u w:val="none"/>
                <w:lang w:val="en-US" w:eastAsia="zh-CN"/>
              </w:rPr>
              <w:t>0.9</w:t>
            </w:r>
            <w:r>
              <w:rPr>
                <w:rFonts w:hint="default" w:ascii="Times New Roman" w:hAnsi="Times New Roman" w:cs="Times New Roman"/>
                <w:color w:val="auto"/>
                <w:sz w:val="24"/>
                <w:szCs w:val="24"/>
                <w:highlight w:val="none"/>
                <w:u w:val="none"/>
              </w:rPr>
              <w:t>mg/m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，O</w:t>
            </w:r>
            <w:r>
              <w:rPr>
                <w:rFonts w:hint="default" w:ascii="Times New Roman" w:hAnsi="Times New Roman" w:cs="Times New Roman"/>
                <w:color w:val="auto"/>
                <w:sz w:val="24"/>
                <w:szCs w:val="24"/>
                <w:highlight w:val="none"/>
                <w:u w:val="none"/>
                <w:vertAlign w:val="subscript"/>
              </w:rPr>
              <w:t>3</w:t>
            </w:r>
            <w:r>
              <w:rPr>
                <w:rFonts w:hint="default" w:ascii="Times New Roman" w:hAnsi="Times New Roman" w:cs="Times New Roman"/>
                <w:color w:val="auto"/>
                <w:sz w:val="24"/>
                <w:szCs w:val="24"/>
                <w:highlight w:val="none"/>
                <w:u w:val="none"/>
              </w:rPr>
              <w:t>日最大8小时平均第90百分位数为</w:t>
            </w:r>
            <w:r>
              <w:rPr>
                <w:rFonts w:hint="default" w:ascii="Times New Roman" w:hAnsi="Times New Roman" w:cs="Times New Roman"/>
                <w:color w:val="auto"/>
                <w:sz w:val="24"/>
                <w:szCs w:val="24"/>
                <w:highlight w:val="none"/>
                <w:u w:val="none"/>
                <w:lang w:val="en-US" w:eastAsia="zh-CN"/>
              </w:rPr>
              <w:t>98</w:t>
            </w:r>
            <w:r>
              <w:rPr>
                <w:rFonts w:hint="default" w:ascii="Times New Roman" w:hAnsi="Times New Roman" w:cs="Times New Roman"/>
                <w:color w:val="auto"/>
                <w:sz w:val="24"/>
                <w:szCs w:val="24"/>
                <w:highlight w:val="none"/>
                <w:u w:val="none"/>
              </w:rPr>
              <w:t>ug/m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；各污染物平均浓度均低于《环境空气质量标准》（GB3095-2012）中二级标准限值</w:t>
            </w:r>
            <w:r>
              <w:rPr>
                <w:rFonts w:hint="default" w:ascii="Times New Roman" w:hAnsi="Times New Roman" w:cs="Times New Roman"/>
                <w:color w:val="auto"/>
                <w:sz w:val="24"/>
                <w:szCs w:val="24"/>
                <w:highlight w:val="none"/>
                <w:u w:val="none"/>
                <w:lang w:eastAsia="zh-CN"/>
              </w:rPr>
              <w:t>。</w:t>
            </w:r>
          </w:p>
          <w:p w14:paraId="6CD20B00">
            <w:pPr>
              <w:pStyle w:val="65"/>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outlineLvl w:val="9"/>
              <w:rPr>
                <w:rFonts w:hint="default" w:ascii="Times New Roman" w:hAnsi="Times New Roman" w:eastAsia="宋体" w:cs="Times New Roman"/>
                <w:snapToGrid w:val="0"/>
                <w:color w:val="auto"/>
                <w:sz w:val="24"/>
                <w:szCs w:val="24"/>
                <w:highlight w:val="none"/>
                <w:u w:val="none"/>
                <w:lang w:eastAsia="zh-CN"/>
              </w:rPr>
            </w:pPr>
            <w:r>
              <w:rPr>
                <w:rFonts w:hint="default" w:ascii="Times New Roman" w:hAnsi="Times New Roman" w:eastAsia="宋体" w:cs="Times New Roman"/>
                <w:snapToGrid w:val="0"/>
                <w:color w:val="auto"/>
                <w:sz w:val="24"/>
                <w:szCs w:val="24"/>
                <w:highlight w:val="none"/>
                <w:u w:val="none"/>
                <w:lang w:val="en-US" w:eastAsia="zh-CN"/>
              </w:rPr>
              <w:t>本项目所在区域环境空气质量现状见下表</w:t>
            </w:r>
            <w:r>
              <w:rPr>
                <w:rFonts w:hint="eastAsia" w:ascii="Times New Roman" w:hAnsi="Times New Roman" w:eastAsia="宋体" w:cs="Times New Roman"/>
                <w:snapToGrid w:val="0"/>
                <w:color w:val="auto"/>
                <w:sz w:val="24"/>
                <w:szCs w:val="24"/>
                <w:highlight w:val="none"/>
                <w:u w:val="none"/>
                <w:lang w:val="en-US" w:eastAsia="zh-CN"/>
              </w:rPr>
              <w:t>3</w:t>
            </w:r>
            <w:r>
              <w:rPr>
                <w:rFonts w:hint="default" w:ascii="Times New Roman" w:hAnsi="Times New Roman" w:eastAsia="宋体" w:cs="Times New Roman"/>
                <w:snapToGrid w:val="0"/>
                <w:color w:val="auto"/>
                <w:sz w:val="24"/>
                <w:szCs w:val="24"/>
                <w:highlight w:val="none"/>
                <w:u w:val="none"/>
                <w:lang w:val="en-US" w:eastAsia="zh-CN"/>
              </w:rPr>
              <w:t>-1。</w:t>
            </w:r>
          </w:p>
          <w:p w14:paraId="2D9D9B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highlight w:val="none"/>
                <w:u w:val="none"/>
                <w:lang w:val="en-US" w:eastAsia="zh-CN"/>
              </w:rPr>
              <w:t>表</w:t>
            </w:r>
            <w:r>
              <w:rPr>
                <w:rFonts w:hint="eastAsia" w:ascii="Times New Roman" w:hAnsi="Times New Roman" w:eastAsia="宋体" w:cs="Times New Roman"/>
                <w:b/>
                <w:bCs/>
                <w:color w:val="auto"/>
                <w:highlight w:val="none"/>
                <w:u w:val="none"/>
                <w:lang w:val="en-US" w:eastAsia="zh-CN"/>
              </w:rPr>
              <w:t>3</w:t>
            </w:r>
            <w:r>
              <w:rPr>
                <w:rFonts w:hint="default" w:ascii="Times New Roman" w:hAnsi="Times New Roman" w:eastAsia="宋体" w:cs="Times New Roman"/>
                <w:b/>
                <w:bCs/>
                <w:color w:val="auto"/>
                <w:highlight w:val="none"/>
                <w:u w:val="none"/>
                <w:lang w:val="en-US" w:eastAsia="zh-CN"/>
              </w:rPr>
              <w:t>-1  本项目所在区域空气质量现状评价表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875"/>
              <w:gridCol w:w="1562"/>
              <w:gridCol w:w="1367"/>
              <w:gridCol w:w="1255"/>
              <w:gridCol w:w="1224"/>
            </w:tblGrid>
            <w:tr w14:paraId="486B5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68816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污染物</w:t>
                  </w:r>
                </w:p>
              </w:tc>
              <w:tc>
                <w:tcPr>
                  <w:tcW w:w="1156" w:type="pct"/>
                  <w:tcBorders>
                    <w:tl2br w:val="nil"/>
                    <w:tr2bl w:val="nil"/>
                  </w:tcBorders>
                  <w:noWrap w:val="0"/>
                  <w:vAlign w:val="center"/>
                </w:tcPr>
                <w:p w14:paraId="20773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年评价指标</w:t>
                  </w:r>
                </w:p>
              </w:tc>
              <w:tc>
                <w:tcPr>
                  <w:tcW w:w="963" w:type="pct"/>
                  <w:tcBorders>
                    <w:tl2br w:val="nil"/>
                    <w:tr2bl w:val="nil"/>
                  </w:tcBorders>
                  <w:noWrap w:val="0"/>
                  <w:vAlign w:val="center"/>
                </w:tcPr>
                <w:p w14:paraId="36FFB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现状浓度</w:t>
                  </w:r>
                  <w:r>
                    <w:rPr>
                      <w:rFonts w:hint="default" w:ascii="Times New Roman" w:hAnsi="Times New Roman" w:cs="Times New Roman"/>
                      <w:color w:val="auto"/>
                      <w:sz w:val="21"/>
                      <w:szCs w:val="21"/>
                      <w:highlight w:val="none"/>
                      <w:u w:val="none"/>
                      <w:vertAlign w:val="baseline"/>
                      <w:lang w:val="en-US" w:eastAsia="zh-CN"/>
                    </w:rPr>
                    <w:t>ug/m</w:t>
                  </w:r>
                  <w:r>
                    <w:rPr>
                      <w:rFonts w:hint="default" w:ascii="Times New Roman" w:hAnsi="Times New Roman" w:cs="Times New Roman"/>
                      <w:color w:val="auto"/>
                      <w:sz w:val="21"/>
                      <w:szCs w:val="21"/>
                      <w:highlight w:val="none"/>
                      <w:u w:val="none"/>
                      <w:vertAlign w:val="superscript"/>
                      <w:lang w:val="en-US" w:eastAsia="zh-CN"/>
                    </w:rPr>
                    <w:t>3</w:t>
                  </w:r>
                </w:p>
              </w:tc>
              <w:tc>
                <w:tcPr>
                  <w:tcW w:w="843" w:type="pct"/>
                  <w:tcBorders>
                    <w:tl2br w:val="nil"/>
                    <w:tr2bl w:val="nil"/>
                  </w:tcBorders>
                  <w:noWrap w:val="0"/>
                  <w:vAlign w:val="center"/>
                </w:tcPr>
                <w:p w14:paraId="1E5B6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标准值</w:t>
                  </w:r>
                  <w:r>
                    <w:rPr>
                      <w:rFonts w:hint="default" w:ascii="Times New Roman" w:hAnsi="Times New Roman" w:cs="Times New Roman"/>
                      <w:color w:val="auto"/>
                      <w:sz w:val="21"/>
                      <w:szCs w:val="21"/>
                      <w:highlight w:val="none"/>
                      <w:u w:val="none"/>
                      <w:vertAlign w:val="baseline"/>
                      <w:lang w:val="en-US" w:eastAsia="zh-CN"/>
                    </w:rPr>
                    <w:t>ug/m</w:t>
                  </w:r>
                  <w:r>
                    <w:rPr>
                      <w:rFonts w:hint="default" w:ascii="Times New Roman" w:hAnsi="Times New Roman" w:cs="Times New Roman"/>
                      <w:color w:val="auto"/>
                      <w:sz w:val="21"/>
                      <w:szCs w:val="21"/>
                      <w:highlight w:val="none"/>
                      <w:u w:val="none"/>
                      <w:vertAlign w:val="superscript"/>
                      <w:lang w:val="en-US" w:eastAsia="zh-CN"/>
                    </w:rPr>
                    <w:t>3</w:t>
                  </w:r>
                </w:p>
              </w:tc>
              <w:tc>
                <w:tcPr>
                  <w:tcW w:w="774" w:type="pct"/>
                  <w:tcBorders>
                    <w:tl2br w:val="nil"/>
                    <w:tr2bl w:val="nil"/>
                  </w:tcBorders>
                  <w:noWrap w:val="0"/>
                  <w:vAlign w:val="center"/>
                </w:tcPr>
                <w:p w14:paraId="76ED9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eastAsia="zh-CN"/>
                    </w:rPr>
                    <w:t>占标率</w:t>
                  </w:r>
                  <w:r>
                    <w:rPr>
                      <w:rFonts w:hint="default" w:ascii="Times New Roman" w:hAnsi="Times New Roman" w:cs="Times New Roman"/>
                      <w:color w:val="auto"/>
                      <w:sz w:val="21"/>
                      <w:szCs w:val="21"/>
                      <w:highlight w:val="none"/>
                      <w:u w:val="none"/>
                      <w:vertAlign w:val="baseline"/>
                      <w:lang w:val="en-US" w:eastAsia="zh-CN"/>
                    </w:rPr>
                    <w:t>%</w:t>
                  </w:r>
                </w:p>
              </w:tc>
              <w:tc>
                <w:tcPr>
                  <w:tcW w:w="755" w:type="pct"/>
                  <w:tcBorders>
                    <w:tl2br w:val="nil"/>
                    <w:tr2bl w:val="nil"/>
                  </w:tcBorders>
                  <w:noWrap w:val="0"/>
                  <w:vAlign w:val="center"/>
                </w:tcPr>
                <w:p w14:paraId="15DD1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达标情况</w:t>
                  </w:r>
                </w:p>
              </w:tc>
            </w:tr>
            <w:tr w14:paraId="6519B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26366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val="de-DE" w:eastAsia="zh-CN"/>
                    </w:rPr>
                    <w:t>SO</w:t>
                  </w:r>
                  <w:r>
                    <w:rPr>
                      <w:rFonts w:hint="default" w:ascii="Times New Roman" w:hAnsi="Times New Roman" w:cs="Times New Roman"/>
                      <w:color w:val="auto"/>
                      <w:sz w:val="21"/>
                      <w:szCs w:val="21"/>
                      <w:highlight w:val="none"/>
                      <w:u w:val="none"/>
                      <w:vertAlign w:val="subscript"/>
                      <w:lang w:val="de-DE" w:eastAsia="zh-CN"/>
                    </w:rPr>
                    <w:t>2</w:t>
                  </w:r>
                </w:p>
              </w:tc>
              <w:tc>
                <w:tcPr>
                  <w:tcW w:w="1156" w:type="pct"/>
                  <w:tcBorders>
                    <w:tl2br w:val="nil"/>
                    <w:tr2bl w:val="nil"/>
                  </w:tcBorders>
                  <w:noWrap w:val="0"/>
                  <w:vAlign w:val="center"/>
                </w:tcPr>
                <w:p w14:paraId="01682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年平均质量浓度</w:t>
                  </w:r>
                </w:p>
              </w:tc>
              <w:tc>
                <w:tcPr>
                  <w:tcW w:w="963" w:type="pct"/>
                  <w:tcBorders>
                    <w:tl2br w:val="nil"/>
                    <w:tr2bl w:val="nil"/>
                  </w:tcBorders>
                  <w:noWrap w:val="0"/>
                  <w:vAlign w:val="center"/>
                </w:tcPr>
                <w:p w14:paraId="6AADB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6</w:t>
                  </w:r>
                </w:p>
              </w:tc>
              <w:tc>
                <w:tcPr>
                  <w:tcW w:w="843" w:type="pct"/>
                  <w:tcBorders>
                    <w:tl2br w:val="nil"/>
                    <w:tr2bl w:val="nil"/>
                  </w:tcBorders>
                  <w:noWrap w:val="0"/>
                  <w:vAlign w:val="center"/>
                </w:tcPr>
                <w:p w14:paraId="18DB5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60</w:t>
                  </w:r>
                </w:p>
              </w:tc>
              <w:tc>
                <w:tcPr>
                  <w:tcW w:w="774" w:type="pct"/>
                  <w:tcBorders>
                    <w:tl2br w:val="nil"/>
                    <w:tr2bl w:val="nil"/>
                  </w:tcBorders>
                  <w:noWrap w:val="0"/>
                  <w:vAlign w:val="center"/>
                </w:tcPr>
                <w:p w14:paraId="70C24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10</w:t>
                  </w:r>
                </w:p>
              </w:tc>
              <w:tc>
                <w:tcPr>
                  <w:tcW w:w="755" w:type="pct"/>
                  <w:tcBorders>
                    <w:tl2br w:val="nil"/>
                    <w:tr2bl w:val="nil"/>
                  </w:tcBorders>
                  <w:noWrap w:val="0"/>
                  <w:vAlign w:val="center"/>
                </w:tcPr>
                <w:p w14:paraId="6A5C3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w:t>
                  </w:r>
                </w:p>
              </w:tc>
            </w:tr>
            <w:tr w14:paraId="19AAE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15ED3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val="de-DE" w:eastAsia="zh-CN"/>
                    </w:rPr>
                    <w:t>NO</w:t>
                  </w:r>
                  <w:r>
                    <w:rPr>
                      <w:rFonts w:hint="default" w:ascii="Times New Roman" w:hAnsi="Times New Roman" w:cs="Times New Roman"/>
                      <w:color w:val="auto"/>
                      <w:sz w:val="21"/>
                      <w:szCs w:val="21"/>
                      <w:highlight w:val="none"/>
                      <w:u w:val="none"/>
                      <w:vertAlign w:val="subscript"/>
                      <w:lang w:val="de-DE" w:eastAsia="zh-CN"/>
                    </w:rPr>
                    <w:t>2</w:t>
                  </w:r>
                </w:p>
              </w:tc>
              <w:tc>
                <w:tcPr>
                  <w:tcW w:w="1156" w:type="pct"/>
                  <w:tcBorders>
                    <w:tl2br w:val="nil"/>
                    <w:tr2bl w:val="nil"/>
                  </w:tcBorders>
                  <w:noWrap w:val="0"/>
                  <w:vAlign w:val="center"/>
                </w:tcPr>
                <w:p w14:paraId="0EF1F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eastAsia="zh-CN"/>
                    </w:rPr>
                    <w:t>年平均质量浓度</w:t>
                  </w:r>
                </w:p>
              </w:tc>
              <w:tc>
                <w:tcPr>
                  <w:tcW w:w="963" w:type="pct"/>
                  <w:tcBorders>
                    <w:tl2br w:val="nil"/>
                    <w:tr2bl w:val="nil"/>
                  </w:tcBorders>
                  <w:noWrap w:val="0"/>
                  <w:vAlign w:val="center"/>
                </w:tcPr>
                <w:p w14:paraId="480E1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11</w:t>
                  </w:r>
                </w:p>
              </w:tc>
              <w:tc>
                <w:tcPr>
                  <w:tcW w:w="843" w:type="pct"/>
                  <w:tcBorders>
                    <w:tl2br w:val="nil"/>
                    <w:tr2bl w:val="nil"/>
                  </w:tcBorders>
                  <w:noWrap w:val="0"/>
                  <w:vAlign w:val="center"/>
                </w:tcPr>
                <w:p w14:paraId="0569C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40</w:t>
                  </w:r>
                </w:p>
              </w:tc>
              <w:tc>
                <w:tcPr>
                  <w:tcW w:w="774" w:type="pct"/>
                  <w:tcBorders>
                    <w:tl2br w:val="nil"/>
                    <w:tr2bl w:val="nil"/>
                  </w:tcBorders>
                  <w:noWrap w:val="0"/>
                  <w:vAlign w:val="center"/>
                </w:tcPr>
                <w:p w14:paraId="7CBD8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27.5</w:t>
                  </w:r>
                </w:p>
              </w:tc>
              <w:tc>
                <w:tcPr>
                  <w:tcW w:w="755" w:type="pct"/>
                  <w:tcBorders>
                    <w:tl2br w:val="nil"/>
                    <w:tr2bl w:val="nil"/>
                  </w:tcBorders>
                  <w:noWrap w:val="0"/>
                  <w:vAlign w:val="center"/>
                </w:tcPr>
                <w:p w14:paraId="79643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w:t>
                  </w:r>
                </w:p>
              </w:tc>
            </w:tr>
            <w:tr w14:paraId="268F0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3B159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rPr>
                    <w:t>PM</w:t>
                  </w:r>
                  <w:r>
                    <w:rPr>
                      <w:rFonts w:hint="default" w:ascii="Times New Roman" w:hAnsi="Times New Roman" w:cs="Times New Roman"/>
                      <w:color w:val="auto"/>
                      <w:sz w:val="21"/>
                      <w:szCs w:val="21"/>
                      <w:highlight w:val="none"/>
                      <w:u w:val="none"/>
                      <w:vertAlign w:val="subscript"/>
                    </w:rPr>
                    <w:t>10</w:t>
                  </w:r>
                </w:p>
              </w:tc>
              <w:tc>
                <w:tcPr>
                  <w:tcW w:w="1156" w:type="pct"/>
                  <w:tcBorders>
                    <w:tl2br w:val="nil"/>
                    <w:tr2bl w:val="nil"/>
                  </w:tcBorders>
                  <w:noWrap w:val="0"/>
                  <w:vAlign w:val="center"/>
                </w:tcPr>
                <w:p w14:paraId="06390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eastAsia="zh-CN"/>
                    </w:rPr>
                    <w:t>年平均质量浓度</w:t>
                  </w:r>
                </w:p>
              </w:tc>
              <w:tc>
                <w:tcPr>
                  <w:tcW w:w="963" w:type="pct"/>
                  <w:tcBorders>
                    <w:tl2br w:val="nil"/>
                    <w:tr2bl w:val="nil"/>
                  </w:tcBorders>
                  <w:noWrap w:val="0"/>
                  <w:vAlign w:val="center"/>
                </w:tcPr>
                <w:p w14:paraId="29A93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30</w:t>
                  </w:r>
                </w:p>
              </w:tc>
              <w:tc>
                <w:tcPr>
                  <w:tcW w:w="843" w:type="pct"/>
                  <w:tcBorders>
                    <w:tl2br w:val="nil"/>
                    <w:tr2bl w:val="nil"/>
                  </w:tcBorders>
                  <w:noWrap w:val="0"/>
                  <w:vAlign w:val="center"/>
                </w:tcPr>
                <w:p w14:paraId="27AB6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70</w:t>
                  </w:r>
                </w:p>
              </w:tc>
              <w:tc>
                <w:tcPr>
                  <w:tcW w:w="774" w:type="pct"/>
                  <w:tcBorders>
                    <w:tl2br w:val="nil"/>
                    <w:tr2bl w:val="nil"/>
                  </w:tcBorders>
                  <w:noWrap w:val="0"/>
                  <w:vAlign w:val="center"/>
                </w:tcPr>
                <w:p w14:paraId="058BE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42.86</w:t>
                  </w:r>
                </w:p>
              </w:tc>
              <w:tc>
                <w:tcPr>
                  <w:tcW w:w="755" w:type="pct"/>
                  <w:tcBorders>
                    <w:tl2br w:val="nil"/>
                    <w:tr2bl w:val="nil"/>
                  </w:tcBorders>
                  <w:noWrap w:val="0"/>
                  <w:vAlign w:val="center"/>
                </w:tcPr>
                <w:p w14:paraId="07B65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w:t>
                  </w:r>
                </w:p>
              </w:tc>
            </w:tr>
            <w:tr w14:paraId="6893B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7830F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rPr>
                    <w:t>PM</w:t>
                  </w:r>
                  <w:r>
                    <w:rPr>
                      <w:rFonts w:hint="default" w:ascii="Times New Roman" w:hAnsi="Times New Roman" w:cs="Times New Roman"/>
                      <w:color w:val="auto"/>
                      <w:sz w:val="21"/>
                      <w:szCs w:val="21"/>
                      <w:highlight w:val="none"/>
                      <w:u w:val="none"/>
                      <w:vertAlign w:val="subscript"/>
                    </w:rPr>
                    <w:t>2.5</w:t>
                  </w:r>
                </w:p>
              </w:tc>
              <w:tc>
                <w:tcPr>
                  <w:tcW w:w="1156" w:type="pct"/>
                  <w:tcBorders>
                    <w:tl2br w:val="nil"/>
                    <w:tr2bl w:val="nil"/>
                  </w:tcBorders>
                  <w:noWrap w:val="0"/>
                  <w:vAlign w:val="center"/>
                </w:tcPr>
                <w:p w14:paraId="2A148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eastAsia="zh-CN"/>
                    </w:rPr>
                    <w:t>年平均质量浓度</w:t>
                  </w:r>
                </w:p>
              </w:tc>
              <w:tc>
                <w:tcPr>
                  <w:tcW w:w="963" w:type="pct"/>
                  <w:tcBorders>
                    <w:tl2br w:val="nil"/>
                    <w:tr2bl w:val="nil"/>
                  </w:tcBorders>
                  <w:noWrap w:val="0"/>
                  <w:vAlign w:val="center"/>
                </w:tcPr>
                <w:p w14:paraId="02831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21</w:t>
                  </w:r>
                </w:p>
              </w:tc>
              <w:tc>
                <w:tcPr>
                  <w:tcW w:w="843" w:type="pct"/>
                  <w:tcBorders>
                    <w:tl2br w:val="nil"/>
                    <w:tr2bl w:val="nil"/>
                  </w:tcBorders>
                  <w:noWrap w:val="0"/>
                  <w:vAlign w:val="center"/>
                </w:tcPr>
                <w:p w14:paraId="3017F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35</w:t>
                  </w:r>
                </w:p>
              </w:tc>
              <w:tc>
                <w:tcPr>
                  <w:tcW w:w="774" w:type="pct"/>
                  <w:tcBorders>
                    <w:tl2br w:val="nil"/>
                    <w:tr2bl w:val="nil"/>
                  </w:tcBorders>
                  <w:noWrap w:val="0"/>
                  <w:vAlign w:val="center"/>
                </w:tcPr>
                <w:p w14:paraId="1F840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60</w:t>
                  </w:r>
                </w:p>
              </w:tc>
              <w:tc>
                <w:tcPr>
                  <w:tcW w:w="755" w:type="pct"/>
                  <w:tcBorders>
                    <w:tl2br w:val="nil"/>
                    <w:tr2bl w:val="nil"/>
                  </w:tcBorders>
                  <w:noWrap w:val="0"/>
                  <w:vAlign w:val="center"/>
                </w:tcPr>
                <w:p w14:paraId="671B0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w:t>
                  </w:r>
                </w:p>
              </w:tc>
            </w:tr>
            <w:tr w14:paraId="788CD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2B25E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CO</w:t>
                  </w:r>
                </w:p>
              </w:tc>
              <w:tc>
                <w:tcPr>
                  <w:tcW w:w="1156" w:type="pct"/>
                  <w:tcBorders>
                    <w:tl2br w:val="nil"/>
                    <w:tr2bl w:val="nil"/>
                  </w:tcBorders>
                  <w:noWrap w:val="0"/>
                  <w:vAlign w:val="center"/>
                </w:tcPr>
                <w:p w14:paraId="71B0C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第95百分位数</w:t>
                  </w:r>
                </w:p>
                <w:p w14:paraId="798FB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eastAsia="zh-CN"/>
                    </w:rPr>
                    <w:t>日平均</w:t>
                  </w:r>
                  <w:r>
                    <w:rPr>
                      <w:rFonts w:hint="default" w:ascii="Times New Roman" w:hAnsi="Times New Roman" w:cs="Times New Roman"/>
                      <w:color w:val="auto"/>
                      <w:sz w:val="21"/>
                      <w:szCs w:val="21"/>
                      <w:highlight w:val="none"/>
                      <w:u w:val="none"/>
                      <w:vertAlign w:val="baseline"/>
                      <w:lang w:val="en-US" w:eastAsia="zh-CN"/>
                    </w:rPr>
                    <w:t>质量浓度</w:t>
                  </w:r>
                </w:p>
              </w:tc>
              <w:tc>
                <w:tcPr>
                  <w:tcW w:w="963" w:type="pct"/>
                  <w:tcBorders>
                    <w:tl2br w:val="nil"/>
                    <w:tr2bl w:val="nil"/>
                  </w:tcBorders>
                  <w:noWrap w:val="0"/>
                  <w:vAlign w:val="center"/>
                </w:tcPr>
                <w:p w14:paraId="7BE3F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val="en-US" w:eastAsia="zh-CN"/>
                    </w:rPr>
                    <w:t>0.9</w:t>
                  </w:r>
                  <w:r>
                    <w:rPr>
                      <w:rFonts w:hint="default" w:ascii="Times New Roman" w:hAnsi="Times New Roman" w:cs="Times New Roman"/>
                      <w:color w:val="auto"/>
                      <w:sz w:val="21"/>
                      <w:szCs w:val="21"/>
                      <w:highlight w:val="none"/>
                      <w:u w:val="none"/>
                      <w:vertAlign w:val="baseline"/>
                      <w:lang w:eastAsia="zh-CN"/>
                    </w:rPr>
                    <w:t>mg/m</w:t>
                  </w:r>
                  <w:r>
                    <w:rPr>
                      <w:rFonts w:hint="default" w:ascii="Times New Roman" w:hAnsi="Times New Roman" w:cs="Times New Roman"/>
                      <w:color w:val="auto"/>
                      <w:sz w:val="21"/>
                      <w:szCs w:val="21"/>
                      <w:highlight w:val="none"/>
                      <w:u w:val="none"/>
                      <w:vertAlign w:val="superscript"/>
                      <w:lang w:eastAsia="zh-CN"/>
                    </w:rPr>
                    <w:t>3</w:t>
                  </w:r>
                </w:p>
              </w:tc>
              <w:tc>
                <w:tcPr>
                  <w:tcW w:w="843" w:type="pct"/>
                  <w:tcBorders>
                    <w:tl2br w:val="nil"/>
                    <w:tr2bl w:val="nil"/>
                  </w:tcBorders>
                  <w:noWrap w:val="0"/>
                  <w:vAlign w:val="center"/>
                </w:tcPr>
                <w:p w14:paraId="60C31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val="en-US" w:eastAsia="zh-CN"/>
                    </w:rPr>
                    <w:t>4</w:t>
                  </w:r>
                  <w:r>
                    <w:rPr>
                      <w:rFonts w:hint="default" w:ascii="Times New Roman" w:hAnsi="Times New Roman" w:cs="Times New Roman"/>
                      <w:color w:val="auto"/>
                      <w:sz w:val="21"/>
                      <w:szCs w:val="21"/>
                      <w:highlight w:val="none"/>
                      <w:u w:val="none"/>
                      <w:vertAlign w:val="baseline"/>
                      <w:lang w:eastAsia="zh-CN"/>
                    </w:rPr>
                    <w:t>mg/m</w:t>
                  </w:r>
                  <w:r>
                    <w:rPr>
                      <w:rFonts w:hint="default" w:ascii="Times New Roman" w:hAnsi="Times New Roman" w:cs="Times New Roman"/>
                      <w:color w:val="auto"/>
                      <w:sz w:val="21"/>
                      <w:szCs w:val="21"/>
                      <w:highlight w:val="none"/>
                      <w:u w:val="none"/>
                      <w:vertAlign w:val="superscript"/>
                      <w:lang w:eastAsia="zh-CN"/>
                    </w:rPr>
                    <w:t>3</w:t>
                  </w:r>
                </w:p>
              </w:tc>
              <w:tc>
                <w:tcPr>
                  <w:tcW w:w="774" w:type="pct"/>
                  <w:tcBorders>
                    <w:tl2br w:val="nil"/>
                    <w:tr2bl w:val="nil"/>
                  </w:tcBorders>
                  <w:noWrap w:val="0"/>
                  <w:vAlign w:val="center"/>
                </w:tcPr>
                <w:p w14:paraId="048CF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22.5</w:t>
                  </w:r>
                </w:p>
              </w:tc>
              <w:tc>
                <w:tcPr>
                  <w:tcW w:w="755" w:type="pct"/>
                  <w:tcBorders>
                    <w:tl2br w:val="nil"/>
                    <w:tr2bl w:val="nil"/>
                  </w:tcBorders>
                  <w:noWrap w:val="0"/>
                  <w:vAlign w:val="center"/>
                </w:tcPr>
                <w:p w14:paraId="1D0AB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w:t>
                  </w:r>
                </w:p>
              </w:tc>
            </w:tr>
            <w:tr w14:paraId="265EE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2175F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O</w:t>
                  </w:r>
                  <w:r>
                    <w:rPr>
                      <w:rFonts w:hint="default" w:ascii="Times New Roman" w:hAnsi="Times New Roman" w:cs="Times New Roman"/>
                      <w:color w:val="auto"/>
                      <w:sz w:val="21"/>
                      <w:szCs w:val="21"/>
                      <w:highlight w:val="none"/>
                      <w:u w:val="none"/>
                      <w:vertAlign w:val="subscript"/>
                      <w:lang w:val="en-US" w:eastAsia="zh-CN"/>
                    </w:rPr>
                    <w:t>3</w:t>
                  </w:r>
                </w:p>
              </w:tc>
              <w:tc>
                <w:tcPr>
                  <w:tcW w:w="1156" w:type="pct"/>
                  <w:tcBorders>
                    <w:tl2br w:val="nil"/>
                    <w:tr2bl w:val="nil"/>
                  </w:tcBorders>
                  <w:noWrap w:val="0"/>
                  <w:vAlign w:val="center"/>
                </w:tcPr>
                <w:p w14:paraId="6265F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第90百分位数</w:t>
                  </w:r>
                </w:p>
                <w:p w14:paraId="2B2C9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8h平均质量浓度</w:t>
                  </w:r>
                </w:p>
              </w:tc>
              <w:tc>
                <w:tcPr>
                  <w:tcW w:w="963" w:type="pct"/>
                  <w:tcBorders>
                    <w:tl2br w:val="nil"/>
                    <w:tr2bl w:val="nil"/>
                  </w:tcBorders>
                  <w:noWrap w:val="0"/>
                  <w:vAlign w:val="center"/>
                </w:tcPr>
                <w:p w14:paraId="376B7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98</w:t>
                  </w:r>
                </w:p>
              </w:tc>
              <w:tc>
                <w:tcPr>
                  <w:tcW w:w="843" w:type="pct"/>
                  <w:tcBorders>
                    <w:tl2br w:val="nil"/>
                    <w:tr2bl w:val="nil"/>
                  </w:tcBorders>
                  <w:noWrap w:val="0"/>
                  <w:vAlign w:val="center"/>
                </w:tcPr>
                <w:p w14:paraId="79AAD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val="en-US" w:eastAsia="zh-CN"/>
                    </w:rPr>
                    <w:t>160</w:t>
                  </w:r>
                </w:p>
              </w:tc>
              <w:tc>
                <w:tcPr>
                  <w:tcW w:w="774" w:type="pct"/>
                  <w:tcBorders>
                    <w:tl2br w:val="nil"/>
                    <w:tr2bl w:val="nil"/>
                  </w:tcBorders>
                  <w:noWrap w:val="0"/>
                  <w:vAlign w:val="center"/>
                </w:tcPr>
                <w:p w14:paraId="690E9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61.25</w:t>
                  </w:r>
                </w:p>
              </w:tc>
              <w:tc>
                <w:tcPr>
                  <w:tcW w:w="755" w:type="pct"/>
                  <w:tcBorders>
                    <w:tl2br w:val="nil"/>
                    <w:tr2bl w:val="nil"/>
                  </w:tcBorders>
                  <w:noWrap w:val="0"/>
                  <w:vAlign w:val="center"/>
                </w:tcPr>
                <w:p w14:paraId="30E03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vertAlign w:val="baseline"/>
                      <w:lang w:eastAsia="zh-CN"/>
                    </w:rPr>
                    <w:t>达标</w:t>
                  </w:r>
                </w:p>
              </w:tc>
            </w:tr>
          </w:tbl>
          <w:p w14:paraId="54096A90">
            <w:pPr>
              <w:pStyle w:val="59"/>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contextualSpacing/>
              <w:textAlignment w:val="auto"/>
              <w:rPr>
                <w:rFonts w:hint="eastAsia" w:hAnsiTheme="minorEastAsia" w:eastAsiaTheme="minorEastAsia"/>
                <w:b/>
                <w:color w:val="auto"/>
                <w:kern w:val="0"/>
              </w:rPr>
            </w:pPr>
            <w:r>
              <w:rPr>
                <w:rFonts w:hint="default" w:ascii="Times New Roman" w:hAnsi="Times New Roman" w:cs="Times New Roman"/>
                <w:color w:val="auto"/>
                <w:sz w:val="24"/>
                <w:szCs w:val="24"/>
                <w:highlight w:val="none"/>
                <w:u w:val="none"/>
              </w:rPr>
              <w:t>由表4.3-1可知，SO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、NO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、PM</w:t>
            </w:r>
            <w:r>
              <w:rPr>
                <w:rFonts w:hint="default" w:ascii="Times New Roman" w:hAnsi="Times New Roman" w:cs="Times New Roman"/>
                <w:color w:val="auto"/>
                <w:sz w:val="24"/>
                <w:szCs w:val="24"/>
                <w:highlight w:val="none"/>
                <w:u w:val="none"/>
                <w:vertAlign w:val="subscript"/>
              </w:rPr>
              <w:t>2.5</w:t>
            </w:r>
            <w:r>
              <w:rPr>
                <w:rFonts w:hint="default" w:ascii="Times New Roman" w:hAnsi="Times New Roman" w:cs="Times New Roman"/>
                <w:color w:val="auto"/>
                <w:sz w:val="24"/>
                <w:szCs w:val="24"/>
                <w:highlight w:val="none"/>
                <w:u w:val="none"/>
              </w:rPr>
              <w:t>、PM</w:t>
            </w:r>
            <w:r>
              <w:rPr>
                <w:rFonts w:hint="default" w:ascii="Times New Roman" w:hAnsi="Times New Roman" w:cs="Times New Roman"/>
                <w:color w:val="auto"/>
                <w:sz w:val="24"/>
                <w:szCs w:val="24"/>
                <w:highlight w:val="none"/>
                <w:u w:val="none"/>
                <w:vertAlign w:val="subscript"/>
              </w:rPr>
              <w:t>10</w:t>
            </w:r>
            <w:r>
              <w:rPr>
                <w:rFonts w:hint="default" w:ascii="Times New Roman" w:hAnsi="Times New Roman" w:cs="Times New Roman"/>
                <w:color w:val="auto"/>
                <w:sz w:val="24"/>
                <w:szCs w:val="24"/>
                <w:highlight w:val="none"/>
                <w:u w:val="none"/>
              </w:rPr>
              <w:t>、CO、O</w:t>
            </w:r>
            <w:r>
              <w:rPr>
                <w:rFonts w:hint="default" w:ascii="Times New Roman" w:hAnsi="Times New Roman" w:cs="Times New Roman"/>
                <w:color w:val="auto"/>
                <w:sz w:val="24"/>
                <w:szCs w:val="24"/>
                <w:highlight w:val="none"/>
                <w:u w:val="none"/>
                <w:vertAlign w:val="subscript"/>
              </w:rPr>
              <w:t>3</w:t>
            </w:r>
            <w:r>
              <w:rPr>
                <w:rFonts w:hint="default" w:ascii="Times New Roman" w:hAnsi="Times New Roman" w:cs="Times New Roman"/>
                <w:color w:val="auto"/>
                <w:sz w:val="24"/>
                <w:szCs w:val="24"/>
                <w:highlight w:val="none"/>
                <w:u w:val="none"/>
              </w:rPr>
              <w:t>均能满足《环境空气质量标准》（GB3095-2012）二级标准要求，项目所在区域属于环境空气质量达标区域</w:t>
            </w:r>
            <w:r>
              <w:rPr>
                <w:rFonts w:hint="eastAsia"/>
                <w:color w:val="auto"/>
                <w:kern w:val="0"/>
                <w:sz w:val="21"/>
                <w:szCs w:val="21"/>
                <w:lang w:val="en-US" w:eastAsia="zh-CN"/>
              </w:rPr>
              <w:t>。</w:t>
            </w:r>
            <w:r>
              <w:rPr>
                <w:rFonts w:hint="eastAsia" w:hAnsiTheme="minorEastAsia" w:eastAsiaTheme="minorEastAsia"/>
                <w:b/>
                <w:color w:val="auto"/>
                <w:kern w:val="0"/>
              </w:rPr>
              <w:t xml:space="preserve">    </w:t>
            </w:r>
          </w:p>
          <w:p w14:paraId="5C26F4A8">
            <w:pPr>
              <w:pStyle w:val="59"/>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contextualSpacing/>
              <w:textAlignment w:val="auto"/>
              <w:rPr>
                <w:rFonts w:hAnsiTheme="minorEastAsia" w:eastAsiaTheme="minorEastAsia"/>
                <w:color w:val="auto"/>
                <w:kern w:val="0"/>
              </w:rPr>
            </w:pPr>
            <w:r>
              <w:rPr>
                <w:rFonts w:hint="eastAsia" w:hAnsiTheme="minorEastAsia" w:eastAsiaTheme="minorEastAsia"/>
                <w:color w:val="auto"/>
                <w:kern w:val="0"/>
              </w:rPr>
              <w:t>（2）特征污染物</w:t>
            </w:r>
          </w:p>
          <w:p w14:paraId="0E201BD8">
            <w:pPr>
              <w:spacing w:line="360" w:lineRule="auto"/>
              <w:ind w:firstLine="480" w:firstLineChars="200"/>
              <w:rPr>
                <w:snapToGrid w:val="0"/>
                <w:color w:val="auto"/>
                <w:kern w:val="0"/>
                <w:sz w:val="24"/>
              </w:rPr>
            </w:pPr>
            <w:r>
              <w:rPr>
                <w:snapToGrid w:val="0"/>
                <w:color w:val="auto"/>
                <w:kern w:val="0"/>
                <w:sz w:val="24"/>
              </w:rPr>
              <w:t>项目所处区域监测季节主导风向为南西（</w:t>
            </w:r>
            <w:r>
              <w:rPr>
                <w:rFonts w:hint="eastAsia"/>
                <w:snapToGrid w:val="0"/>
                <w:color w:val="auto"/>
                <w:kern w:val="0"/>
                <w:sz w:val="24"/>
              </w:rPr>
              <w:t>NW</w:t>
            </w:r>
            <w:r>
              <w:rPr>
                <w:snapToGrid w:val="0"/>
                <w:color w:val="auto"/>
                <w:kern w:val="0"/>
                <w:sz w:val="24"/>
              </w:rPr>
              <w:t>）风，共布设</w:t>
            </w:r>
            <w:r>
              <w:rPr>
                <w:rFonts w:hint="eastAsia"/>
                <w:snapToGrid w:val="0"/>
                <w:color w:val="auto"/>
                <w:kern w:val="0"/>
                <w:sz w:val="24"/>
              </w:rPr>
              <w:t>1</w:t>
            </w:r>
            <w:r>
              <w:rPr>
                <w:snapToGrid w:val="0"/>
                <w:color w:val="auto"/>
                <w:kern w:val="0"/>
                <w:sz w:val="24"/>
              </w:rPr>
              <w:t>处监测点。监测点情况见表</w:t>
            </w:r>
            <w:r>
              <w:rPr>
                <w:rFonts w:hint="eastAsia"/>
                <w:snapToGrid w:val="0"/>
                <w:color w:val="auto"/>
                <w:kern w:val="0"/>
                <w:sz w:val="24"/>
                <w:lang w:val="en-US" w:eastAsia="zh-CN"/>
              </w:rPr>
              <w:t>3</w:t>
            </w:r>
            <w:r>
              <w:rPr>
                <w:snapToGrid w:val="0"/>
                <w:color w:val="auto"/>
                <w:kern w:val="0"/>
                <w:sz w:val="24"/>
              </w:rPr>
              <w:t>-</w:t>
            </w:r>
            <w:r>
              <w:rPr>
                <w:rFonts w:hint="eastAsia"/>
                <w:snapToGrid w:val="0"/>
                <w:color w:val="auto"/>
                <w:kern w:val="0"/>
                <w:sz w:val="24"/>
              </w:rPr>
              <w:t>2</w:t>
            </w:r>
            <w:r>
              <w:rPr>
                <w:snapToGrid w:val="0"/>
                <w:color w:val="auto"/>
                <w:kern w:val="0"/>
                <w:sz w:val="24"/>
              </w:rPr>
              <w:t>，监测布点图见附图2。</w:t>
            </w:r>
          </w:p>
          <w:p w14:paraId="3C497B99">
            <w:pPr>
              <w:pStyle w:val="90"/>
              <w:spacing w:line="240" w:lineRule="auto"/>
              <w:rPr>
                <w:rFonts w:eastAsia="宋体"/>
                <w:b/>
                <w:color w:val="auto"/>
                <w:szCs w:val="24"/>
              </w:rPr>
            </w:pPr>
            <w:bookmarkStart w:id="7" w:name="_Hlk71806932"/>
            <w:r>
              <w:rPr>
                <w:rFonts w:eastAsia="宋体"/>
                <w:b/>
                <w:color w:val="auto"/>
                <w:szCs w:val="24"/>
              </w:rPr>
              <w:t>表</w:t>
            </w:r>
            <w:r>
              <w:rPr>
                <w:rFonts w:hint="eastAsia" w:eastAsia="宋体"/>
                <w:b/>
                <w:color w:val="auto"/>
                <w:szCs w:val="24"/>
                <w:lang w:val="en-US" w:eastAsia="zh-CN"/>
              </w:rPr>
              <w:t>3</w:t>
            </w:r>
            <w:r>
              <w:rPr>
                <w:rFonts w:eastAsia="宋体"/>
                <w:b/>
                <w:color w:val="auto"/>
                <w:szCs w:val="24"/>
              </w:rPr>
              <w:t>-</w:t>
            </w:r>
            <w:r>
              <w:rPr>
                <w:rFonts w:hint="eastAsia" w:eastAsia="宋体"/>
                <w:b/>
                <w:color w:val="auto"/>
                <w:szCs w:val="24"/>
              </w:rPr>
              <w:t xml:space="preserve">2 </w:t>
            </w:r>
            <w:r>
              <w:rPr>
                <w:rFonts w:eastAsia="宋体"/>
                <w:b/>
                <w:color w:val="auto"/>
                <w:szCs w:val="24"/>
              </w:rPr>
              <w:t>环境空气监测布点情况</w:t>
            </w:r>
          </w:p>
          <w:bookmarkEnd w:id="7"/>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054"/>
              <w:gridCol w:w="2054"/>
              <w:gridCol w:w="638"/>
              <w:gridCol w:w="1906"/>
              <w:gridCol w:w="497"/>
              <w:gridCol w:w="532"/>
            </w:tblGrid>
            <w:tr w14:paraId="12A18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restart"/>
                  <w:vAlign w:val="center"/>
                </w:tcPr>
                <w:p w14:paraId="2E731007">
                  <w:pPr>
                    <w:pStyle w:val="91"/>
                    <w:adjustRightInd w:val="0"/>
                    <w:snapToGrid w:val="0"/>
                    <w:rPr>
                      <w:rFonts w:hint="default"/>
                      <w:color w:val="auto"/>
                      <w:szCs w:val="21"/>
                    </w:rPr>
                  </w:pPr>
                  <w:bookmarkStart w:id="8" w:name="_Hlk84528933"/>
                  <w:bookmarkStart w:id="9" w:name="_Hlk71806942"/>
                  <w:r>
                    <w:rPr>
                      <w:rFonts w:hint="default"/>
                      <w:color w:val="auto"/>
                      <w:szCs w:val="21"/>
                    </w:rPr>
                    <w:t>监测点名称</w:t>
                  </w:r>
                </w:p>
              </w:tc>
              <w:tc>
                <w:tcPr>
                  <w:tcW w:w="2920" w:type="dxa"/>
                  <w:gridSpan w:val="2"/>
                  <w:vAlign w:val="center"/>
                </w:tcPr>
                <w:p w14:paraId="0C1AE08F">
                  <w:pPr>
                    <w:pStyle w:val="91"/>
                    <w:adjustRightInd w:val="0"/>
                    <w:snapToGrid w:val="0"/>
                    <w:rPr>
                      <w:rFonts w:hint="default"/>
                      <w:color w:val="auto"/>
                      <w:szCs w:val="21"/>
                    </w:rPr>
                  </w:pPr>
                  <w:r>
                    <w:rPr>
                      <w:rFonts w:hint="default"/>
                      <w:color w:val="auto"/>
                      <w:szCs w:val="21"/>
                    </w:rPr>
                    <w:t>监测点位坐标</w:t>
                  </w:r>
                </w:p>
              </w:tc>
              <w:tc>
                <w:tcPr>
                  <w:tcW w:w="1153" w:type="dxa"/>
                  <w:vMerge w:val="restart"/>
                  <w:vAlign w:val="center"/>
                </w:tcPr>
                <w:p w14:paraId="04A594B2">
                  <w:pPr>
                    <w:pStyle w:val="91"/>
                    <w:adjustRightInd w:val="0"/>
                    <w:snapToGrid w:val="0"/>
                    <w:rPr>
                      <w:rFonts w:hint="default"/>
                      <w:color w:val="auto"/>
                      <w:szCs w:val="21"/>
                    </w:rPr>
                  </w:pPr>
                  <w:r>
                    <w:rPr>
                      <w:rFonts w:hint="default"/>
                      <w:color w:val="auto"/>
                      <w:szCs w:val="21"/>
                    </w:rPr>
                    <w:t>监测</w:t>
                  </w:r>
                </w:p>
                <w:p w14:paraId="152A4035">
                  <w:pPr>
                    <w:pStyle w:val="91"/>
                    <w:adjustRightInd w:val="0"/>
                    <w:snapToGrid w:val="0"/>
                    <w:rPr>
                      <w:rFonts w:hint="default"/>
                      <w:color w:val="auto"/>
                      <w:szCs w:val="21"/>
                    </w:rPr>
                  </w:pPr>
                  <w:r>
                    <w:rPr>
                      <w:rFonts w:hint="default"/>
                      <w:color w:val="auto"/>
                      <w:szCs w:val="21"/>
                    </w:rPr>
                    <w:t>因子</w:t>
                  </w:r>
                </w:p>
              </w:tc>
              <w:tc>
                <w:tcPr>
                  <w:tcW w:w="2220" w:type="dxa"/>
                  <w:vMerge w:val="restart"/>
                  <w:vAlign w:val="center"/>
                </w:tcPr>
                <w:p w14:paraId="422F55C1">
                  <w:pPr>
                    <w:pStyle w:val="91"/>
                    <w:adjustRightInd w:val="0"/>
                    <w:snapToGrid w:val="0"/>
                    <w:rPr>
                      <w:rFonts w:hint="default"/>
                      <w:color w:val="auto"/>
                      <w:szCs w:val="21"/>
                    </w:rPr>
                  </w:pPr>
                  <w:r>
                    <w:rPr>
                      <w:rFonts w:hint="default"/>
                      <w:color w:val="auto"/>
                      <w:szCs w:val="21"/>
                    </w:rPr>
                    <w:t>监测时段</w:t>
                  </w:r>
                </w:p>
              </w:tc>
              <w:tc>
                <w:tcPr>
                  <w:tcW w:w="747" w:type="dxa"/>
                  <w:vMerge w:val="restart"/>
                  <w:vAlign w:val="center"/>
                </w:tcPr>
                <w:p w14:paraId="4443F093">
                  <w:pPr>
                    <w:pStyle w:val="91"/>
                    <w:adjustRightInd w:val="0"/>
                    <w:snapToGrid w:val="0"/>
                    <w:rPr>
                      <w:rFonts w:hint="default"/>
                      <w:color w:val="auto"/>
                      <w:szCs w:val="21"/>
                    </w:rPr>
                  </w:pPr>
                  <w:r>
                    <w:rPr>
                      <w:rFonts w:hint="default"/>
                      <w:color w:val="auto"/>
                      <w:szCs w:val="21"/>
                    </w:rPr>
                    <w:t>相对厂址方位</w:t>
                  </w:r>
                </w:p>
              </w:tc>
              <w:tc>
                <w:tcPr>
                  <w:tcW w:w="753" w:type="dxa"/>
                  <w:vMerge w:val="restart"/>
                  <w:vAlign w:val="center"/>
                </w:tcPr>
                <w:p w14:paraId="782E15DA">
                  <w:pPr>
                    <w:pStyle w:val="91"/>
                    <w:adjustRightInd w:val="0"/>
                    <w:snapToGrid w:val="0"/>
                    <w:rPr>
                      <w:rFonts w:hint="default"/>
                      <w:color w:val="auto"/>
                      <w:szCs w:val="21"/>
                    </w:rPr>
                  </w:pPr>
                  <w:r>
                    <w:rPr>
                      <w:rFonts w:hint="default"/>
                      <w:color w:val="auto"/>
                      <w:szCs w:val="21"/>
                    </w:rPr>
                    <w:t>相对厂界距离/m</w:t>
                  </w:r>
                </w:p>
              </w:tc>
            </w:tr>
            <w:tr w14:paraId="25C8D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vAlign w:val="center"/>
                </w:tcPr>
                <w:p w14:paraId="1260FDA3">
                  <w:pPr>
                    <w:pStyle w:val="91"/>
                    <w:adjustRightInd w:val="0"/>
                    <w:snapToGrid w:val="0"/>
                    <w:rPr>
                      <w:rFonts w:hint="default"/>
                      <w:color w:val="auto"/>
                      <w:szCs w:val="21"/>
                    </w:rPr>
                  </w:pPr>
                </w:p>
              </w:tc>
              <w:tc>
                <w:tcPr>
                  <w:tcW w:w="1529" w:type="dxa"/>
                  <w:vAlign w:val="center"/>
                </w:tcPr>
                <w:p w14:paraId="6DE44C3D">
                  <w:pPr>
                    <w:pStyle w:val="91"/>
                    <w:adjustRightInd w:val="0"/>
                    <w:snapToGrid w:val="0"/>
                    <w:rPr>
                      <w:rFonts w:hint="default"/>
                      <w:color w:val="auto"/>
                      <w:szCs w:val="21"/>
                    </w:rPr>
                  </w:pPr>
                  <w:r>
                    <w:rPr>
                      <w:rFonts w:hint="default"/>
                      <w:color w:val="auto"/>
                      <w:szCs w:val="21"/>
                    </w:rPr>
                    <w:t>东经</w:t>
                  </w:r>
                </w:p>
              </w:tc>
              <w:tc>
                <w:tcPr>
                  <w:tcW w:w="1391" w:type="dxa"/>
                  <w:vAlign w:val="center"/>
                </w:tcPr>
                <w:p w14:paraId="4A96ACA8">
                  <w:pPr>
                    <w:pStyle w:val="91"/>
                    <w:adjustRightInd w:val="0"/>
                    <w:snapToGrid w:val="0"/>
                    <w:rPr>
                      <w:rFonts w:hint="default"/>
                      <w:color w:val="auto"/>
                      <w:szCs w:val="21"/>
                    </w:rPr>
                  </w:pPr>
                  <w:r>
                    <w:rPr>
                      <w:rFonts w:hint="default"/>
                      <w:color w:val="auto"/>
                      <w:szCs w:val="21"/>
                    </w:rPr>
                    <w:t>北纬</w:t>
                  </w:r>
                </w:p>
              </w:tc>
              <w:tc>
                <w:tcPr>
                  <w:tcW w:w="1153" w:type="dxa"/>
                  <w:vMerge w:val="continue"/>
                  <w:vAlign w:val="center"/>
                </w:tcPr>
                <w:p w14:paraId="27BD2149">
                  <w:pPr>
                    <w:pStyle w:val="91"/>
                    <w:adjustRightInd w:val="0"/>
                    <w:snapToGrid w:val="0"/>
                    <w:rPr>
                      <w:rFonts w:hint="default"/>
                      <w:color w:val="auto"/>
                      <w:szCs w:val="21"/>
                    </w:rPr>
                  </w:pPr>
                </w:p>
              </w:tc>
              <w:tc>
                <w:tcPr>
                  <w:tcW w:w="2220" w:type="dxa"/>
                  <w:vMerge w:val="continue"/>
                  <w:vAlign w:val="center"/>
                </w:tcPr>
                <w:p w14:paraId="1B4F8262">
                  <w:pPr>
                    <w:pStyle w:val="91"/>
                    <w:adjustRightInd w:val="0"/>
                    <w:snapToGrid w:val="0"/>
                    <w:rPr>
                      <w:rFonts w:hint="default"/>
                      <w:color w:val="auto"/>
                      <w:szCs w:val="21"/>
                    </w:rPr>
                  </w:pPr>
                </w:p>
              </w:tc>
              <w:tc>
                <w:tcPr>
                  <w:tcW w:w="747" w:type="dxa"/>
                  <w:vMerge w:val="continue"/>
                  <w:vAlign w:val="center"/>
                </w:tcPr>
                <w:p w14:paraId="125C2DF8">
                  <w:pPr>
                    <w:pStyle w:val="91"/>
                    <w:adjustRightInd w:val="0"/>
                    <w:snapToGrid w:val="0"/>
                    <w:jc w:val="both"/>
                    <w:rPr>
                      <w:rFonts w:hint="default"/>
                      <w:color w:val="auto"/>
                      <w:szCs w:val="21"/>
                    </w:rPr>
                  </w:pPr>
                </w:p>
              </w:tc>
              <w:tc>
                <w:tcPr>
                  <w:tcW w:w="753" w:type="dxa"/>
                  <w:vMerge w:val="continue"/>
                  <w:vAlign w:val="center"/>
                </w:tcPr>
                <w:p w14:paraId="4AEC77C4">
                  <w:pPr>
                    <w:pStyle w:val="91"/>
                    <w:adjustRightInd w:val="0"/>
                    <w:snapToGrid w:val="0"/>
                    <w:jc w:val="both"/>
                    <w:rPr>
                      <w:rFonts w:hint="default"/>
                      <w:color w:val="auto"/>
                      <w:szCs w:val="21"/>
                    </w:rPr>
                  </w:pPr>
                </w:p>
              </w:tc>
            </w:tr>
            <w:tr w14:paraId="0BCDF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29" w:type="dxa"/>
                  <w:vAlign w:val="center"/>
                </w:tcPr>
                <w:p w14:paraId="7AFF66E5">
                  <w:pPr>
                    <w:pStyle w:val="91"/>
                    <w:adjustRightInd w:val="0"/>
                    <w:snapToGrid w:val="0"/>
                    <w:rPr>
                      <w:rFonts w:hint="default"/>
                      <w:color w:val="auto"/>
                      <w:szCs w:val="21"/>
                    </w:rPr>
                  </w:pPr>
                  <w:r>
                    <w:rPr>
                      <w:snapToGrid w:val="0"/>
                      <w:color w:val="auto"/>
                      <w:kern w:val="0"/>
                    </w:rPr>
                    <w:t>厂界下风向</w:t>
                  </w:r>
                </w:p>
              </w:tc>
              <w:tc>
                <w:tcPr>
                  <w:tcW w:w="1529" w:type="dxa"/>
                  <w:vAlign w:val="center"/>
                </w:tcPr>
                <w:p w14:paraId="6A31AC4A">
                  <w:pPr>
                    <w:pStyle w:val="91"/>
                    <w:adjustRightInd w:val="0"/>
                    <w:snapToGrid w:val="0"/>
                    <w:rPr>
                      <w:rFonts w:hint="default"/>
                      <w:color w:val="auto"/>
                      <w:szCs w:val="21"/>
                    </w:rPr>
                  </w:pPr>
                  <w:r>
                    <w:rPr>
                      <w:rFonts w:hint="eastAsia"/>
                      <w:color w:val="auto"/>
                      <w:szCs w:val="21"/>
                    </w:rPr>
                    <w:t>129°0′59.59542″</w:t>
                  </w:r>
                </w:p>
              </w:tc>
              <w:tc>
                <w:tcPr>
                  <w:tcW w:w="1391" w:type="dxa"/>
                  <w:vAlign w:val="center"/>
                </w:tcPr>
                <w:p w14:paraId="6CB46C28">
                  <w:pPr>
                    <w:pStyle w:val="91"/>
                    <w:adjustRightInd w:val="0"/>
                    <w:snapToGrid w:val="0"/>
                    <w:rPr>
                      <w:rFonts w:hint="default"/>
                      <w:color w:val="auto"/>
                      <w:szCs w:val="21"/>
                    </w:rPr>
                  </w:pPr>
                  <w:r>
                    <w:rPr>
                      <w:rFonts w:hint="eastAsia"/>
                      <w:color w:val="auto"/>
                      <w:szCs w:val="21"/>
                    </w:rPr>
                    <w:t>47°46′23.65914″</w:t>
                  </w:r>
                </w:p>
              </w:tc>
              <w:tc>
                <w:tcPr>
                  <w:tcW w:w="1153" w:type="dxa"/>
                  <w:vAlign w:val="center"/>
                </w:tcPr>
                <w:p w14:paraId="2713DF6D">
                  <w:pPr>
                    <w:pStyle w:val="91"/>
                    <w:adjustRightInd w:val="0"/>
                    <w:snapToGrid w:val="0"/>
                    <w:rPr>
                      <w:rFonts w:hint="default"/>
                      <w:color w:val="auto"/>
                      <w:szCs w:val="21"/>
                    </w:rPr>
                  </w:pPr>
                  <w:r>
                    <w:rPr>
                      <w:bCs/>
                      <w:color w:val="auto"/>
                      <w:szCs w:val="21"/>
                    </w:rPr>
                    <w:t>苯并[a]芘、</w:t>
                  </w:r>
                  <w:r>
                    <w:rPr>
                      <w:rFonts w:hint="default"/>
                      <w:color w:val="auto"/>
                      <w:szCs w:val="21"/>
                    </w:rPr>
                    <w:t>TSP</w:t>
                  </w:r>
                </w:p>
              </w:tc>
              <w:tc>
                <w:tcPr>
                  <w:tcW w:w="2220" w:type="dxa"/>
                  <w:vAlign w:val="center"/>
                </w:tcPr>
                <w:p w14:paraId="0675E9D7">
                  <w:pPr>
                    <w:pStyle w:val="91"/>
                    <w:adjustRightInd w:val="0"/>
                    <w:snapToGrid w:val="0"/>
                    <w:rPr>
                      <w:rFonts w:hint="default" w:eastAsia="宋体"/>
                      <w:color w:val="auto"/>
                      <w:szCs w:val="21"/>
                      <w:lang w:val="en-US" w:eastAsia="zh-CN"/>
                    </w:rPr>
                  </w:pPr>
                  <w:r>
                    <w:rPr>
                      <w:rFonts w:hint="default"/>
                      <w:color w:val="auto"/>
                      <w:szCs w:val="21"/>
                    </w:rPr>
                    <w:t>202</w:t>
                  </w:r>
                  <w:r>
                    <w:rPr>
                      <w:color w:val="auto"/>
                      <w:szCs w:val="21"/>
                    </w:rPr>
                    <w:t>4</w:t>
                  </w:r>
                  <w:r>
                    <w:rPr>
                      <w:rFonts w:hint="default"/>
                      <w:color w:val="auto"/>
                      <w:szCs w:val="21"/>
                    </w:rPr>
                    <w:t>.</w:t>
                  </w:r>
                  <w:r>
                    <w:rPr>
                      <w:rFonts w:hint="eastAsia"/>
                      <w:color w:val="auto"/>
                      <w:szCs w:val="21"/>
                      <w:lang w:val="en-US" w:eastAsia="zh-CN"/>
                    </w:rPr>
                    <w:t>8</w:t>
                  </w:r>
                  <w:r>
                    <w:rPr>
                      <w:rFonts w:hint="default"/>
                      <w:color w:val="auto"/>
                      <w:szCs w:val="21"/>
                    </w:rPr>
                    <w:t>.</w:t>
                  </w:r>
                  <w:r>
                    <w:rPr>
                      <w:rFonts w:hint="eastAsia"/>
                      <w:color w:val="auto"/>
                      <w:szCs w:val="21"/>
                      <w:lang w:val="en-US" w:eastAsia="zh-CN"/>
                    </w:rPr>
                    <w:t>6</w:t>
                  </w:r>
                  <w:r>
                    <w:rPr>
                      <w:rFonts w:hint="default"/>
                      <w:color w:val="auto"/>
                      <w:szCs w:val="21"/>
                    </w:rPr>
                    <w:t>~20</w:t>
                  </w:r>
                  <w:r>
                    <w:rPr>
                      <w:color w:val="auto"/>
                      <w:szCs w:val="21"/>
                    </w:rPr>
                    <w:t>24</w:t>
                  </w:r>
                  <w:r>
                    <w:rPr>
                      <w:rFonts w:hint="default"/>
                      <w:color w:val="auto"/>
                      <w:szCs w:val="21"/>
                    </w:rPr>
                    <w:t>.</w:t>
                  </w:r>
                  <w:r>
                    <w:rPr>
                      <w:rFonts w:hint="eastAsia"/>
                      <w:color w:val="auto"/>
                      <w:szCs w:val="21"/>
                      <w:lang w:val="en-US" w:eastAsia="zh-CN"/>
                    </w:rPr>
                    <w:t>8</w:t>
                  </w:r>
                  <w:r>
                    <w:rPr>
                      <w:rFonts w:hint="default"/>
                      <w:color w:val="auto"/>
                      <w:szCs w:val="21"/>
                    </w:rPr>
                    <w:t>.</w:t>
                  </w:r>
                  <w:r>
                    <w:rPr>
                      <w:rFonts w:hint="eastAsia"/>
                      <w:color w:val="auto"/>
                      <w:szCs w:val="21"/>
                      <w:lang w:val="en-US" w:eastAsia="zh-CN"/>
                    </w:rPr>
                    <w:t>12</w:t>
                  </w:r>
                </w:p>
              </w:tc>
              <w:tc>
                <w:tcPr>
                  <w:tcW w:w="747" w:type="dxa"/>
                  <w:vAlign w:val="center"/>
                </w:tcPr>
                <w:p w14:paraId="21D8C9B9">
                  <w:pPr>
                    <w:pStyle w:val="91"/>
                    <w:adjustRightInd w:val="0"/>
                    <w:snapToGrid w:val="0"/>
                    <w:rPr>
                      <w:rFonts w:hint="default"/>
                      <w:color w:val="auto"/>
                      <w:szCs w:val="21"/>
                    </w:rPr>
                  </w:pPr>
                  <w:r>
                    <w:rPr>
                      <w:color w:val="auto"/>
                      <w:szCs w:val="21"/>
                    </w:rPr>
                    <w:t>NE</w:t>
                  </w:r>
                </w:p>
              </w:tc>
              <w:tc>
                <w:tcPr>
                  <w:tcW w:w="753" w:type="dxa"/>
                  <w:vAlign w:val="center"/>
                </w:tcPr>
                <w:p w14:paraId="581D39D7">
                  <w:pPr>
                    <w:pStyle w:val="91"/>
                    <w:adjustRightInd w:val="0"/>
                    <w:snapToGrid w:val="0"/>
                    <w:rPr>
                      <w:rFonts w:hint="default" w:eastAsia="宋体"/>
                      <w:color w:val="auto"/>
                      <w:szCs w:val="21"/>
                      <w:lang w:val="en-US" w:eastAsia="zh-CN"/>
                    </w:rPr>
                  </w:pPr>
                  <w:r>
                    <w:rPr>
                      <w:rFonts w:hint="eastAsia"/>
                      <w:color w:val="auto"/>
                      <w:szCs w:val="21"/>
                      <w:lang w:val="en-US" w:eastAsia="zh-CN"/>
                    </w:rPr>
                    <w:t>300</w:t>
                  </w:r>
                </w:p>
              </w:tc>
            </w:tr>
            <w:bookmarkEnd w:id="8"/>
            <w:bookmarkEnd w:id="9"/>
          </w:tbl>
          <w:p w14:paraId="3877AF31">
            <w:pPr>
              <w:rPr>
                <w:snapToGrid w:val="0"/>
                <w:color w:val="auto"/>
                <w:kern w:val="0"/>
                <w:sz w:val="24"/>
              </w:rPr>
            </w:pPr>
            <w:bookmarkStart w:id="10" w:name="_Hlk71806959"/>
            <w:r>
              <w:rPr>
                <w:snapToGrid w:val="0"/>
                <w:color w:val="auto"/>
                <w:kern w:val="0"/>
                <w:sz w:val="24"/>
              </w:rPr>
              <w:t>补充监测统计结果见表</w:t>
            </w:r>
            <w:r>
              <w:rPr>
                <w:rFonts w:hint="eastAsia"/>
                <w:snapToGrid w:val="0"/>
                <w:color w:val="auto"/>
                <w:kern w:val="0"/>
                <w:sz w:val="24"/>
                <w:lang w:val="en-US" w:eastAsia="zh-CN"/>
              </w:rPr>
              <w:t>3</w:t>
            </w:r>
            <w:r>
              <w:rPr>
                <w:snapToGrid w:val="0"/>
                <w:color w:val="auto"/>
                <w:kern w:val="0"/>
                <w:sz w:val="24"/>
              </w:rPr>
              <w:t>-</w:t>
            </w:r>
            <w:r>
              <w:rPr>
                <w:rFonts w:hint="eastAsia"/>
                <w:snapToGrid w:val="0"/>
                <w:color w:val="auto"/>
                <w:kern w:val="0"/>
                <w:sz w:val="24"/>
                <w:lang w:val="en-US" w:eastAsia="zh-CN"/>
              </w:rPr>
              <w:t>3</w:t>
            </w:r>
            <w:r>
              <w:rPr>
                <w:snapToGrid w:val="0"/>
                <w:color w:val="auto"/>
                <w:kern w:val="0"/>
                <w:sz w:val="24"/>
              </w:rPr>
              <w:t>。</w:t>
            </w:r>
          </w:p>
          <w:bookmarkEnd w:id="10"/>
          <w:p w14:paraId="444FFF34">
            <w:pPr>
              <w:pStyle w:val="90"/>
              <w:spacing w:line="240" w:lineRule="auto"/>
              <w:rPr>
                <w:rFonts w:eastAsia="宋体"/>
                <w:b/>
                <w:color w:val="auto"/>
                <w:szCs w:val="24"/>
              </w:rPr>
            </w:pPr>
            <w:bookmarkStart w:id="11" w:name="_Hlk71806964"/>
            <w:r>
              <w:rPr>
                <w:rFonts w:eastAsia="宋体"/>
                <w:b/>
                <w:color w:val="auto"/>
                <w:szCs w:val="24"/>
              </w:rPr>
              <w:t>表</w:t>
            </w:r>
            <w:r>
              <w:rPr>
                <w:rFonts w:hint="eastAsia" w:eastAsia="宋体"/>
                <w:b/>
                <w:color w:val="auto"/>
                <w:szCs w:val="24"/>
                <w:lang w:val="en-US" w:eastAsia="zh-CN"/>
              </w:rPr>
              <w:t>3</w:t>
            </w:r>
            <w:r>
              <w:rPr>
                <w:rFonts w:eastAsia="宋体"/>
                <w:b/>
                <w:color w:val="auto"/>
                <w:szCs w:val="24"/>
              </w:rPr>
              <w:t>-</w:t>
            </w:r>
            <w:r>
              <w:rPr>
                <w:rFonts w:hint="eastAsia" w:eastAsia="宋体"/>
                <w:b/>
                <w:color w:val="auto"/>
                <w:szCs w:val="24"/>
                <w:lang w:val="en-US" w:eastAsia="zh-CN"/>
              </w:rPr>
              <w:t>3</w:t>
            </w:r>
            <w:r>
              <w:rPr>
                <w:rFonts w:hint="eastAsia" w:eastAsia="宋体"/>
                <w:b/>
                <w:color w:val="auto"/>
                <w:szCs w:val="24"/>
              </w:rPr>
              <w:t xml:space="preserve"> 环境空气</w:t>
            </w:r>
            <w:r>
              <w:rPr>
                <w:rFonts w:eastAsia="宋体"/>
                <w:b/>
                <w:color w:val="auto"/>
                <w:szCs w:val="24"/>
              </w:rPr>
              <w:t>监测结果一览表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1769"/>
              <w:gridCol w:w="2398"/>
              <w:gridCol w:w="2029"/>
              <w:gridCol w:w="5"/>
            </w:tblGrid>
            <w:tr w14:paraId="54B3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4" w:type="pct"/>
                  <w:vMerge w:val="restart"/>
                  <w:vAlign w:val="center"/>
                </w:tcPr>
                <w:p w14:paraId="050D6464">
                  <w:pPr>
                    <w:pStyle w:val="83"/>
                    <w:rPr>
                      <w:rFonts w:ascii="宋体" w:hAnsi="宋体"/>
                      <w:b/>
                      <w:color w:val="auto"/>
                      <w:sz w:val="21"/>
                      <w:szCs w:val="21"/>
                    </w:rPr>
                  </w:pPr>
                  <w:r>
                    <w:rPr>
                      <w:rFonts w:hint="eastAsia" w:ascii="宋体" w:hAnsi="宋体"/>
                      <w:b/>
                      <w:color w:val="auto"/>
                      <w:sz w:val="21"/>
                      <w:szCs w:val="21"/>
                    </w:rPr>
                    <w:t>采样时间</w:t>
                  </w:r>
                </w:p>
              </w:tc>
              <w:tc>
                <w:tcPr>
                  <w:tcW w:w="1091" w:type="pct"/>
                  <w:vMerge w:val="restart"/>
                  <w:vAlign w:val="center"/>
                </w:tcPr>
                <w:p w14:paraId="5D4E5B73">
                  <w:pPr>
                    <w:pStyle w:val="83"/>
                    <w:rPr>
                      <w:rFonts w:ascii="宋体" w:hAnsi="宋体"/>
                      <w:b/>
                      <w:color w:val="auto"/>
                      <w:sz w:val="21"/>
                      <w:szCs w:val="21"/>
                    </w:rPr>
                  </w:pPr>
                  <w:r>
                    <w:rPr>
                      <w:rFonts w:hint="eastAsia" w:ascii="宋体" w:hAnsi="宋体"/>
                      <w:b/>
                      <w:color w:val="auto"/>
                      <w:sz w:val="21"/>
                      <w:szCs w:val="21"/>
                    </w:rPr>
                    <w:t>采样地点</w:t>
                  </w:r>
                </w:p>
              </w:tc>
              <w:tc>
                <w:tcPr>
                  <w:tcW w:w="1479" w:type="pct"/>
                  <w:vMerge w:val="restart"/>
                  <w:vAlign w:val="center"/>
                </w:tcPr>
                <w:p w14:paraId="7F1C528D">
                  <w:pPr>
                    <w:pStyle w:val="83"/>
                    <w:rPr>
                      <w:rFonts w:hint="default" w:ascii="宋体" w:hAnsi="宋体" w:eastAsia="宋体"/>
                      <w:b/>
                      <w:color w:val="auto"/>
                      <w:sz w:val="21"/>
                      <w:szCs w:val="21"/>
                      <w:lang w:val="en-US" w:eastAsia="zh-CN"/>
                    </w:rPr>
                  </w:pPr>
                  <w:r>
                    <w:rPr>
                      <w:rFonts w:hint="eastAsia" w:ascii="宋体" w:hAnsi="宋体"/>
                      <w:b/>
                      <w:color w:val="auto"/>
                      <w:sz w:val="21"/>
                      <w:szCs w:val="21"/>
                      <w:lang w:val="en-US" w:eastAsia="zh-CN"/>
                    </w:rPr>
                    <w:t>检测项目</w:t>
                  </w:r>
                </w:p>
              </w:tc>
              <w:tc>
                <w:tcPr>
                  <w:tcW w:w="1254" w:type="pct"/>
                  <w:gridSpan w:val="2"/>
                  <w:vAlign w:val="center"/>
                </w:tcPr>
                <w:p w14:paraId="2DD9E97A">
                  <w:pPr>
                    <w:pStyle w:val="83"/>
                    <w:rPr>
                      <w:rFonts w:hint="eastAsia" w:ascii="宋体" w:hAnsi="宋体" w:eastAsia="宋体"/>
                      <w:b/>
                      <w:color w:val="auto"/>
                      <w:sz w:val="21"/>
                      <w:szCs w:val="21"/>
                      <w:lang w:eastAsia="zh-CN"/>
                    </w:rPr>
                  </w:pPr>
                  <w:r>
                    <w:rPr>
                      <w:rFonts w:hint="eastAsia" w:ascii="宋体" w:hAnsi="宋体"/>
                      <w:b/>
                      <w:color w:val="auto"/>
                      <w:sz w:val="21"/>
                      <w:szCs w:val="21"/>
                      <w:lang w:val="en-US" w:eastAsia="zh-CN"/>
                    </w:rPr>
                    <w:t>检测值</w:t>
                  </w:r>
                </w:p>
              </w:tc>
            </w:tr>
            <w:tr w14:paraId="023B3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12" w:hRule="atLeast"/>
                <w:jc w:val="center"/>
              </w:trPr>
              <w:tc>
                <w:tcPr>
                  <w:tcW w:w="1174" w:type="pct"/>
                  <w:vMerge w:val="continue"/>
                  <w:vAlign w:val="center"/>
                </w:tcPr>
                <w:p w14:paraId="2B94118B">
                  <w:pPr>
                    <w:pStyle w:val="83"/>
                    <w:rPr>
                      <w:rFonts w:ascii="宋体" w:hAnsi="宋体"/>
                      <w:b/>
                      <w:color w:val="auto"/>
                      <w:sz w:val="21"/>
                      <w:szCs w:val="21"/>
                    </w:rPr>
                  </w:pPr>
                </w:p>
              </w:tc>
              <w:tc>
                <w:tcPr>
                  <w:tcW w:w="1091" w:type="pct"/>
                  <w:vMerge w:val="continue"/>
                  <w:vAlign w:val="center"/>
                </w:tcPr>
                <w:p w14:paraId="072CEBB1">
                  <w:pPr>
                    <w:pStyle w:val="83"/>
                    <w:rPr>
                      <w:rFonts w:ascii="宋体" w:hAnsi="宋体"/>
                      <w:b/>
                      <w:color w:val="auto"/>
                      <w:sz w:val="21"/>
                      <w:szCs w:val="21"/>
                    </w:rPr>
                  </w:pPr>
                </w:p>
              </w:tc>
              <w:tc>
                <w:tcPr>
                  <w:tcW w:w="1479" w:type="pct"/>
                  <w:vMerge w:val="continue"/>
                  <w:vAlign w:val="center"/>
                </w:tcPr>
                <w:p w14:paraId="2CE46870">
                  <w:pPr>
                    <w:pStyle w:val="83"/>
                    <w:rPr>
                      <w:rFonts w:ascii="宋体" w:hAnsi="宋体"/>
                      <w:b/>
                      <w:color w:val="auto"/>
                      <w:sz w:val="21"/>
                      <w:szCs w:val="21"/>
                    </w:rPr>
                  </w:pPr>
                </w:p>
              </w:tc>
              <w:tc>
                <w:tcPr>
                  <w:tcW w:w="1251" w:type="pct"/>
                  <w:vAlign w:val="center"/>
                </w:tcPr>
                <w:p w14:paraId="5F2E77ED">
                  <w:pPr>
                    <w:pStyle w:val="83"/>
                    <w:rPr>
                      <w:rFonts w:ascii="宋体" w:hAnsi="宋体"/>
                      <w:b/>
                      <w:color w:val="auto"/>
                      <w:sz w:val="21"/>
                      <w:szCs w:val="21"/>
                    </w:rPr>
                  </w:pPr>
                </w:p>
              </w:tc>
            </w:tr>
            <w:tr w14:paraId="2FDE2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69363547">
                  <w:pPr>
                    <w:pStyle w:val="83"/>
                    <w:rPr>
                      <w:rFonts w:hint="eastAsia" w:eastAsia="宋体"/>
                      <w:color w:val="auto"/>
                      <w:sz w:val="21"/>
                      <w:szCs w:val="21"/>
                      <w:lang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.0</w:t>
                  </w:r>
                  <w:r>
                    <w:rPr>
                      <w:rFonts w:hint="eastAsia"/>
                      <w:color w:val="auto"/>
                      <w:sz w:val="21"/>
                      <w:szCs w:val="21"/>
                      <w:lang w:val="en-US" w:eastAsia="zh-CN"/>
                    </w:rPr>
                    <w:t>6</w:t>
                  </w:r>
                </w:p>
              </w:tc>
              <w:tc>
                <w:tcPr>
                  <w:tcW w:w="1091" w:type="pct"/>
                  <w:vMerge w:val="restart"/>
                  <w:vAlign w:val="center"/>
                </w:tcPr>
                <w:p w14:paraId="49173798">
                  <w:pPr>
                    <w:pStyle w:val="83"/>
                    <w:rPr>
                      <w:color w:val="auto"/>
                      <w:sz w:val="21"/>
                      <w:szCs w:val="21"/>
                    </w:rPr>
                  </w:pPr>
                  <w:r>
                    <w:rPr>
                      <w:rFonts w:hint="eastAsia"/>
                      <w:color w:val="auto"/>
                      <w:sz w:val="21"/>
                      <w:szCs w:val="21"/>
                    </w:rPr>
                    <w:t>下风向○</w:t>
                  </w:r>
                  <w:r>
                    <w:rPr>
                      <w:color w:val="auto"/>
                      <w:sz w:val="21"/>
                      <w:szCs w:val="21"/>
                    </w:rPr>
                    <w:t>1</w:t>
                  </w:r>
                </w:p>
              </w:tc>
              <w:tc>
                <w:tcPr>
                  <w:tcW w:w="1479" w:type="pct"/>
                  <w:vAlign w:val="center"/>
                </w:tcPr>
                <w:p w14:paraId="5E04E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474A9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0.104</w:t>
                  </w:r>
                </w:p>
              </w:tc>
            </w:tr>
            <w:tr w14:paraId="047B8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64952629">
                  <w:pPr>
                    <w:pStyle w:val="83"/>
                    <w:rPr>
                      <w:color w:val="auto"/>
                      <w:sz w:val="21"/>
                      <w:szCs w:val="21"/>
                    </w:rPr>
                  </w:pPr>
                </w:p>
              </w:tc>
              <w:tc>
                <w:tcPr>
                  <w:tcW w:w="1091" w:type="pct"/>
                  <w:vMerge w:val="continue"/>
                  <w:vAlign w:val="center"/>
                </w:tcPr>
                <w:p w14:paraId="6E94E04A">
                  <w:pPr>
                    <w:spacing w:line="280" w:lineRule="exact"/>
                    <w:jc w:val="center"/>
                    <w:rPr>
                      <w:color w:val="auto"/>
                      <w:szCs w:val="21"/>
                    </w:rPr>
                  </w:pPr>
                </w:p>
              </w:tc>
              <w:tc>
                <w:tcPr>
                  <w:tcW w:w="1479" w:type="pct"/>
                  <w:vAlign w:val="center"/>
                </w:tcPr>
                <w:p w14:paraId="7A18C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6EE79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tr w14:paraId="0C7CC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28F81387">
                  <w:pPr>
                    <w:pStyle w:val="83"/>
                    <w:rPr>
                      <w:rFonts w:hint="eastAsia" w:eastAsia="宋体"/>
                      <w:color w:val="auto"/>
                      <w:sz w:val="21"/>
                      <w:szCs w:val="21"/>
                      <w:lang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.0</w:t>
                  </w:r>
                  <w:r>
                    <w:rPr>
                      <w:rFonts w:hint="eastAsia"/>
                      <w:color w:val="auto"/>
                      <w:sz w:val="21"/>
                      <w:szCs w:val="21"/>
                      <w:lang w:val="en-US" w:eastAsia="zh-CN"/>
                    </w:rPr>
                    <w:t>7</w:t>
                  </w:r>
                </w:p>
              </w:tc>
              <w:tc>
                <w:tcPr>
                  <w:tcW w:w="1091" w:type="pct"/>
                  <w:vMerge w:val="continue"/>
                  <w:vAlign w:val="center"/>
                </w:tcPr>
                <w:p w14:paraId="3AD9ED8A">
                  <w:pPr>
                    <w:spacing w:line="280" w:lineRule="exact"/>
                    <w:jc w:val="center"/>
                    <w:rPr>
                      <w:color w:val="auto"/>
                      <w:szCs w:val="21"/>
                    </w:rPr>
                  </w:pPr>
                </w:p>
              </w:tc>
              <w:tc>
                <w:tcPr>
                  <w:tcW w:w="1479" w:type="pct"/>
                  <w:vAlign w:val="center"/>
                </w:tcPr>
                <w:p w14:paraId="48AF7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7667A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0.108</w:t>
                  </w:r>
                </w:p>
              </w:tc>
            </w:tr>
            <w:tr w14:paraId="6E215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39EC615D">
                  <w:pPr>
                    <w:pStyle w:val="83"/>
                    <w:rPr>
                      <w:color w:val="auto"/>
                      <w:sz w:val="21"/>
                      <w:szCs w:val="21"/>
                    </w:rPr>
                  </w:pPr>
                </w:p>
              </w:tc>
              <w:tc>
                <w:tcPr>
                  <w:tcW w:w="1091" w:type="pct"/>
                  <w:vMerge w:val="continue"/>
                  <w:vAlign w:val="center"/>
                </w:tcPr>
                <w:p w14:paraId="45D2EAD5">
                  <w:pPr>
                    <w:spacing w:line="280" w:lineRule="exact"/>
                    <w:jc w:val="center"/>
                    <w:rPr>
                      <w:color w:val="auto"/>
                      <w:szCs w:val="21"/>
                    </w:rPr>
                  </w:pPr>
                </w:p>
              </w:tc>
              <w:tc>
                <w:tcPr>
                  <w:tcW w:w="1479" w:type="pct"/>
                  <w:vAlign w:val="center"/>
                </w:tcPr>
                <w:p w14:paraId="6F78F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445CE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tr w14:paraId="51B7C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38A3A037">
                  <w:pPr>
                    <w:pStyle w:val="83"/>
                    <w:rPr>
                      <w:rFonts w:hint="eastAsia" w:eastAsia="宋体"/>
                      <w:color w:val="auto"/>
                      <w:sz w:val="21"/>
                      <w:szCs w:val="21"/>
                      <w:lang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.0</w:t>
                  </w:r>
                  <w:r>
                    <w:rPr>
                      <w:rFonts w:hint="eastAsia"/>
                      <w:color w:val="auto"/>
                      <w:sz w:val="21"/>
                      <w:szCs w:val="21"/>
                      <w:lang w:val="en-US" w:eastAsia="zh-CN"/>
                    </w:rPr>
                    <w:t>8</w:t>
                  </w:r>
                </w:p>
              </w:tc>
              <w:tc>
                <w:tcPr>
                  <w:tcW w:w="1091" w:type="pct"/>
                  <w:vMerge w:val="continue"/>
                  <w:vAlign w:val="center"/>
                </w:tcPr>
                <w:p w14:paraId="3C27CCC9">
                  <w:pPr>
                    <w:spacing w:line="280" w:lineRule="exact"/>
                    <w:jc w:val="center"/>
                    <w:rPr>
                      <w:color w:val="auto"/>
                      <w:szCs w:val="21"/>
                    </w:rPr>
                  </w:pPr>
                </w:p>
              </w:tc>
              <w:tc>
                <w:tcPr>
                  <w:tcW w:w="1479" w:type="pct"/>
                  <w:vAlign w:val="center"/>
                </w:tcPr>
                <w:p w14:paraId="6A0AF1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4476C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0.108</w:t>
                  </w:r>
                </w:p>
              </w:tc>
            </w:tr>
            <w:tr w14:paraId="676BF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4BA9F6EE">
                  <w:pPr>
                    <w:pStyle w:val="83"/>
                    <w:rPr>
                      <w:color w:val="auto"/>
                      <w:sz w:val="21"/>
                      <w:szCs w:val="21"/>
                    </w:rPr>
                  </w:pPr>
                </w:p>
              </w:tc>
              <w:tc>
                <w:tcPr>
                  <w:tcW w:w="1091" w:type="pct"/>
                  <w:vMerge w:val="continue"/>
                  <w:vAlign w:val="center"/>
                </w:tcPr>
                <w:p w14:paraId="0D69C9F2">
                  <w:pPr>
                    <w:spacing w:line="280" w:lineRule="exact"/>
                    <w:jc w:val="center"/>
                    <w:rPr>
                      <w:color w:val="auto"/>
                      <w:szCs w:val="21"/>
                    </w:rPr>
                  </w:pPr>
                </w:p>
              </w:tc>
              <w:tc>
                <w:tcPr>
                  <w:tcW w:w="1479" w:type="pct"/>
                  <w:vAlign w:val="center"/>
                </w:tcPr>
                <w:p w14:paraId="54AF4E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78B87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tr w14:paraId="40418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02026554">
                  <w:pPr>
                    <w:pStyle w:val="83"/>
                    <w:rPr>
                      <w:rFonts w:hint="eastAsia" w:eastAsia="宋体"/>
                      <w:color w:val="auto"/>
                      <w:sz w:val="21"/>
                      <w:szCs w:val="21"/>
                      <w:lang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.0</w:t>
                  </w:r>
                  <w:r>
                    <w:rPr>
                      <w:rFonts w:hint="eastAsia"/>
                      <w:color w:val="auto"/>
                      <w:sz w:val="21"/>
                      <w:szCs w:val="21"/>
                      <w:lang w:val="en-US" w:eastAsia="zh-CN"/>
                    </w:rPr>
                    <w:t>9</w:t>
                  </w:r>
                </w:p>
              </w:tc>
              <w:tc>
                <w:tcPr>
                  <w:tcW w:w="1091" w:type="pct"/>
                  <w:vMerge w:val="continue"/>
                  <w:vAlign w:val="center"/>
                </w:tcPr>
                <w:p w14:paraId="3CA68BDE">
                  <w:pPr>
                    <w:spacing w:line="280" w:lineRule="exact"/>
                    <w:jc w:val="center"/>
                    <w:rPr>
                      <w:color w:val="auto"/>
                      <w:szCs w:val="21"/>
                    </w:rPr>
                  </w:pPr>
                </w:p>
              </w:tc>
              <w:tc>
                <w:tcPr>
                  <w:tcW w:w="1479" w:type="pct"/>
                  <w:vAlign w:val="center"/>
                </w:tcPr>
                <w:p w14:paraId="0183C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40B90D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0.106</w:t>
                  </w:r>
                </w:p>
              </w:tc>
            </w:tr>
            <w:tr w14:paraId="0FFE5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6897F201">
                  <w:pPr>
                    <w:snapToGrid w:val="0"/>
                    <w:jc w:val="center"/>
                    <w:rPr>
                      <w:color w:val="auto"/>
                      <w:kern w:val="0"/>
                      <w:szCs w:val="21"/>
                    </w:rPr>
                  </w:pPr>
                </w:p>
              </w:tc>
              <w:tc>
                <w:tcPr>
                  <w:tcW w:w="1091" w:type="pct"/>
                  <w:vMerge w:val="continue"/>
                  <w:vAlign w:val="center"/>
                </w:tcPr>
                <w:p w14:paraId="46CF2BC2">
                  <w:pPr>
                    <w:spacing w:line="280" w:lineRule="exact"/>
                    <w:jc w:val="center"/>
                    <w:rPr>
                      <w:color w:val="auto"/>
                      <w:szCs w:val="21"/>
                    </w:rPr>
                  </w:pPr>
                </w:p>
              </w:tc>
              <w:tc>
                <w:tcPr>
                  <w:tcW w:w="1479" w:type="pct"/>
                  <w:vAlign w:val="center"/>
                </w:tcPr>
                <w:p w14:paraId="71658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4EBC8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tr w14:paraId="4A06A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68BBC74C">
                  <w:pPr>
                    <w:pStyle w:val="83"/>
                    <w:rPr>
                      <w:rFonts w:hint="default" w:eastAsia="宋体"/>
                      <w:color w:val="auto"/>
                      <w:sz w:val="21"/>
                      <w:szCs w:val="21"/>
                      <w:lang w:val="en-US"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w:t>
                  </w:r>
                  <w:r>
                    <w:rPr>
                      <w:rFonts w:hint="eastAsia"/>
                      <w:color w:val="auto"/>
                      <w:sz w:val="21"/>
                      <w:szCs w:val="21"/>
                      <w:lang w:val="en-US" w:eastAsia="zh-CN"/>
                    </w:rPr>
                    <w:t>10</w:t>
                  </w:r>
                </w:p>
              </w:tc>
              <w:tc>
                <w:tcPr>
                  <w:tcW w:w="1091" w:type="pct"/>
                  <w:vMerge w:val="continue"/>
                  <w:vAlign w:val="center"/>
                </w:tcPr>
                <w:p w14:paraId="7441DF3B">
                  <w:pPr>
                    <w:spacing w:line="280" w:lineRule="exact"/>
                    <w:jc w:val="center"/>
                    <w:rPr>
                      <w:color w:val="auto"/>
                      <w:szCs w:val="21"/>
                    </w:rPr>
                  </w:pPr>
                </w:p>
              </w:tc>
              <w:tc>
                <w:tcPr>
                  <w:tcW w:w="1479" w:type="pct"/>
                  <w:vAlign w:val="center"/>
                </w:tcPr>
                <w:p w14:paraId="52661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23831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0.110</w:t>
                  </w:r>
                </w:p>
              </w:tc>
            </w:tr>
            <w:tr w14:paraId="2D484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012EA29A">
                  <w:pPr>
                    <w:snapToGrid w:val="0"/>
                    <w:jc w:val="center"/>
                    <w:rPr>
                      <w:color w:val="auto"/>
                      <w:kern w:val="0"/>
                      <w:szCs w:val="21"/>
                    </w:rPr>
                  </w:pPr>
                </w:p>
              </w:tc>
              <w:tc>
                <w:tcPr>
                  <w:tcW w:w="1091" w:type="pct"/>
                  <w:vMerge w:val="continue"/>
                  <w:vAlign w:val="center"/>
                </w:tcPr>
                <w:p w14:paraId="071F4656">
                  <w:pPr>
                    <w:spacing w:line="280" w:lineRule="exact"/>
                    <w:jc w:val="center"/>
                    <w:rPr>
                      <w:color w:val="auto"/>
                      <w:szCs w:val="21"/>
                    </w:rPr>
                  </w:pPr>
                </w:p>
              </w:tc>
              <w:tc>
                <w:tcPr>
                  <w:tcW w:w="1479" w:type="pct"/>
                  <w:vAlign w:val="center"/>
                </w:tcPr>
                <w:p w14:paraId="7B612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35F8F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tr w14:paraId="5BED5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6D5D94DF">
                  <w:pPr>
                    <w:pStyle w:val="83"/>
                    <w:rPr>
                      <w:rFonts w:hint="default" w:eastAsia="宋体"/>
                      <w:color w:val="auto"/>
                      <w:sz w:val="21"/>
                      <w:szCs w:val="21"/>
                      <w:lang w:val="en-US"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w:t>
                  </w:r>
                  <w:r>
                    <w:rPr>
                      <w:rFonts w:hint="eastAsia"/>
                      <w:color w:val="auto"/>
                      <w:sz w:val="21"/>
                      <w:szCs w:val="21"/>
                      <w:lang w:val="en-US" w:eastAsia="zh-CN"/>
                    </w:rPr>
                    <w:t>11</w:t>
                  </w:r>
                </w:p>
              </w:tc>
              <w:tc>
                <w:tcPr>
                  <w:tcW w:w="1091" w:type="pct"/>
                  <w:vMerge w:val="continue"/>
                  <w:vAlign w:val="center"/>
                </w:tcPr>
                <w:p w14:paraId="4F12DD57">
                  <w:pPr>
                    <w:spacing w:line="280" w:lineRule="exact"/>
                    <w:jc w:val="center"/>
                    <w:rPr>
                      <w:color w:val="auto"/>
                      <w:szCs w:val="21"/>
                    </w:rPr>
                  </w:pPr>
                </w:p>
              </w:tc>
              <w:tc>
                <w:tcPr>
                  <w:tcW w:w="1479" w:type="pct"/>
                  <w:vAlign w:val="center"/>
                </w:tcPr>
                <w:p w14:paraId="672FD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059028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0.104</w:t>
                  </w:r>
                </w:p>
              </w:tc>
            </w:tr>
            <w:tr w14:paraId="24E2F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78313A32">
                  <w:pPr>
                    <w:snapToGrid w:val="0"/>
                    <w:jc w:val="center"/>
                    <w:rPr>
                      <w:color w:val="auto"/>
                      <w:kern w:val="0"/>
                      <w:szCs w:val="21"/>
                    </w:rPr>
                  </w:pPr>
                </w:p>
              </w:tc>
              <w:tc>
                <w:tcPr>
                  <w:tcW w:w="1091" w:type="pct"/>
                  <w:vMerge w:val="continue"/>
                  <w:vAlign w:val="center"/>
                </w:tcPr>
                <w:p w14:paraId="2A2161D8">
                  <w:pPr>
                    <w:spacing w:line="280" w:lineRule="exact"/>
                    <w:jc w:val="center"/>
                    <w:rPr>
                      <w:color w:val="auto"/>
                      <w:szCs w:val="21"/>
                    </w:rPr>
                  </w:pPr>
                </w:p>
              </w:tc>
              <w:tc>
                <w:tcPr>
                  <w:tcW w:w="1479" w:type="pct"/>
                  <w:vAlign w:val="center"/>
                </w:tcPr>
                <w:p w14:paraId="30DE6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26DDD9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tr w14:paraId="3D3F1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restart"/>
                  <w:vAlign w:val="center"/>
                </w:tcPr>
                <w:p w14:paraId="53A04567">
                  <w:pPr>
                    <w:pStyle w:val="83"/>
                    <w:rPr>
                      <w:rFonts w:hint="default" w:eastAsia="宋体"/>
                      <w:color w:val="auto"/>
                      <w:sz w:val="21"/>
                      <w:szCs w:val="21"/>
                      <w:lang w:val="en-US" w:eastAsia="zh-CN"/>
                    </w:rPr>
                  </w:pPr>
                  <w:r>
                    <w:rPr>
                      <w:rFonts w:hint="eastAsia"/>
                      <w:color w:val="auto"/>
                      <w:sz w:val="21"/>
                      <w:szCs w:val="21"/>
                    </w:rPr>
                    <w:t>2024.0</w:t>
                  </w:r>
                  <w:r>
                    <w:rPr>
                      <w:rFonts w:hint="eastAsia"/>
                      <w:color w:val="auto"/>
                      <w:sz w:val="21"/>
                      <w:szCs w:val="21"/>
                      <w:lang w:val="en-US" w:eastAsia="zh-CN"/>
                    </w:rPr>
                    <w:t>8</w:t>
                  </w:r>
                  <w:r>
                    <w:rPr>
                      <w:rFonts w:hint="eastAsia"/>
                      <w:color w:val="auto"/>
                      <w:sz w:val="21"/>
                      <w:szCs w:val="21"/>
                    </w:rPr>
                    <w:t>.</w:t>
                  </w:r>
                  <w:r>
                    <w:rPr>
                      <w:rFonts w:hint="eastAsia"/>
                      <w:color w:val="auto"/>
                      <w:sz w:val="21"/>
                      <w:szCs w:val="21"/>
                      <w:lang w:val="en-US" w:eastAsia="zh-CN"/>
                    </w:rPr>
                    <w:t>12</w:t>
                  </w:r>
                </w:p>
              </w:tc>
              <w:tc>
                <w:tcPr>
                  <w:tcW w:w="1091" w:type="pct"/>
                  <w:vMerge w:val="continue"/>
                  <w:vAlign w:val="center"/>
                </w:tcPr>
                <w:p w14:paraId="4923AFC8">
                  <w:pPr>
                    <w:spacing w:line="280" w:lineRule="exact"/>
                    <w:jc w:val="center"/>
                    <w:rPr>
                      <w:color w:val="auto"/>
                      <w:szCs w:val="21"/>
                    </w:rPr>
                  </w:pPr>
                </w:p>
              </w:tc>
              <w:tc>
                <w:tcPr>
                  <w:tcW w:w="1479" w:type="pct"/>
                  <w:vAlign w:val="center"/>
                </w:tcPr>
                <w:p w14:paraId="499C1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TSP（</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67F46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0.108</w:t>
                  </w:r>
                </w:p>
              </w:tc>
            </w:tr>
            <w:tr w14:paraId="7751A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1174" w:type="pct"/>
                  <w:vMerge w:val="continue"/>
                  <w:vAlign w:val="center"/>
                </w:tcPr>
                <w:p w14:paraId="53E013ED">
                  <w:pPr>
                    <w:snapToGrid w:val="0"/>
                    <w:jc w:val="center"/>
                    <w:rPr>
                      <w:color w:val="auto"/>
                      <w:kern w:val="0"/>
                      <w:szCs w:val="21"/>
                    </w:rPr>
                  </w:pPr>
                </w:p>
              </w:tc>
              <w:tc>
                <w:tcPr>
                  <w:tcW w:w="1091" w:type="pct"/>
                  <w:vMerge w:val="continue"/>
                  <w:vAlign w:val="center"/>
                </w:tcPr>
                <w:p w14:paraId="4E7E62CF">
                  <w:pPr>
                    <w:spacing w:line="280" w:lineRule="exact"/>
                    <w:jc w:val="center"/>
                    <w:rPr>
                      <w:color w:val="auto"/>
                      <w:szCs w:val="21"/>
                    </w:rPr>
                  </w:pPr>
                </w:p>
              </w:tc>
              <w:tc>
                <w:tcPr>
                  <w:tcW w:w="1479" w:type="pct"/>
                  <w:vAlign w:val="center"/>
                </w:tcPr>
                <w:p w14:paraId="4F89B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olor w:val="auto"/>
                      <w:szCs w:val="21"/>
                      <w:highlight w:val="none"/>
                      <w:lang w:val="en-US" w:eastAsia="zh-CN"/>
                    </w:rPr>
                    <w:t>苯并[a]芘</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Cs w:val="21"/>
                      <w:lang w:val="en-US" w:eastAsia="zh-CN"/>
                    </w:rPr>
                    <w:t>mg/m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51" w:type="pct"/>
                  <w:vAlign w:val="center"/>
                </w:tcPr>
                <w:p w14:paraId="7C889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ascii="Times New Roman" w:hAnsi="Times New Roman" w:cs="Times New Roman"/>
                      <w:color w:val="auto"/>
                      <w:sz w:val="21"/>
                      <w:szCs w:val="21"/>
                      <w:lang w:val="en-US" w:eastAsia="zh-CN"/>
                    </w:rPr>
                    <w:t>0.0000001L</w:t>
                  </w:r>
                </w:p>
              </w:tc>
            </w:tr>
            <w:bookmarkEnd w:id="11"/>
          </w:tbl>
          <w:p w14:paraId="146C5F81">
            <w:pPr>
              <w:spacing w:line="360" w:lineRule="auto"/>
              <w:ind w:firstLine="480" w:firstLineChars="200"/>
              <w:contextualSpacing/>
              <w:rPr>
                <w:rFonts w:hint="eastAsia"/>
                <w:color w:val="auto"/>
                <w:sz w:val="24"/>
              </w:rPr>
            </w:pPr>
            <w:r>
              <w:rPr>
                <w:snapToGrid w:val="0"/>
                <w:color w:val="auto"/>
                <w:kern w:val="0"/>
                <w:sz w:val="24"/>
              </w:rPr>
              <w:t>注：</w:t>
            </w:r>
            <w:r>
              <w:rPr>
                <w:rFonts w:hint="eastAsia"/>
                <w:snapToGrid w:val="0"/>
                <w:color w:val="auto"/>
                <w:kern w:val="0"/>
                <w:sz w:val="24"/>
              </w:rPr>
              <w:t>“L”为低于检出限。</w:t>
            </w:r>
          </w:p>
          <w:p w14:paraId="442C4797">
            <w:pPr>
              <w:spacing w:line="360" w:lineRule="auto"/>
              <w:rPr>
                <w:snapToGrid w:val="0"/>
                <w:color w:val="auto"/>
                <w:kern w:val="0"/>
                <w:sz w:val="24"/>
              </w:rPr>
            </w:pPr>
            <w:bookmarkStart w:id="12" w:name="_Hlk71807008"/>
            <w:r>
              <w:rPr>
                <w:snapToGrid w:val="0"/>
                <w:color w:val="auto"/>
                <w:kern w:val="0"/>
                <w:sz w:val="24"/>
              </w:rPr>
              <w:t>（3）评价方法</w:t>
            </w:r>
          </w:p>
          <w:p w14:paraId="177DDEAE">
            <w:pPr>
              <w:pStyle w:val="65"/>
              <w:rPr>
                <w:snapToGrid w:val="0"/>
                <w:color w:val="auto"/>
                <w:kern w:val="0"/>
              </w:rPr>
            </w:pPr>
            <w:r>
              <w:rPr>
                <w:snapToGrid w:val="0"/>
                <w:color w:val="auto"/>
                <w:kern w:val="0"/>
              </w:rPr>
              <w:t>环境空气质量评价采用如下方法：</w:t>
            </w:r>
          </w:p>
          <w:p w14:paraId="329CD1B5">
            <w:pPr>
              <w:pStyle w:val="65"/>
              <w:ind w:firstLine="0" w:firstLineChars="0"/>
              <w:jc w:val="center"/>
              <w:rPr>
                <w:snapToGrid w:val="0"/>
                <w:color w:val="auto"/>
                <w:kern w:val="0"/>
              </w:rPr>
            </w:pPr>
            <w:r>
              <w:rPr>
                <w:i/>
                <w:snapToGrid w:val="0"/>
                <w:color w:val="auto"/>
                <w:kern w:val="0"/>
              </w:rPr>
              <w:t>C</w:t>
            </w:r>
            <w:r>
              <w:rPr>
                <w:snapToGrid w:val="0"/>
                <w:color w:val="auto"/>
                <w:kern w:val="0"/>
                <w:vertAlign w:val="subscript"/>
              </w:rPr>
              <w:t>现状（x,y）</w:t>
            </w:r>
            <w:r>
              <w:rPr>
                <w:snapToGrid w:val="0"/>
                <w:color w:val="auto"/>
                <w:kern w:val="0"/>
              </w:rPr>
              <w:t>=MAX[</w:t>
            </w:r>
            <m:oMath>
              <m:f>
                <m:fPr>
                  <m:ctrlPr>
                    <w:rPr>
                      <w:rFonts w:ascii="Cambria Math" w:hAnsi="Cambria Math"/>
                      <w:color w:val="auto"/>
                    </w:rPr>
                  </m:ctrlPr>
                </m:fPr>
                <m:num>
                  <m:r>
                    <m:rPr/>
                    <w:rPr>
                      <w:rFonts w:ascii="Cambria Math" w:hAnsi="Cambria Math"/>
                      <w:color w:val="auto"/>
                    </w:rPr>
                    <m:t>1</m:t>
                  </m:r>
                  <m:ctrlPr>
                    <w:rPr>
                      <w:rFonts w:ascii="Cambria Math" w:hAnsi="Cambria Math"/>
                      <w:color w:val="auto"/>
                    </w:rPr>
                  </m:ctrlPr>
                </m:num>
                <m:den>
                  <m:r>
                    <m:rPr/>
                    <w:rPr>
                      <w:rFonts w:ascii="Cambria Math" w:hAnsi="Cambria Math"/>
                      <w:color w:val="auto"/>
                    </w:rPr>
                    <m:t>n</m:t>
                  </m:r>
                  <m:ctrlPr>
                    <w:rPr>
                      <w:rFonts w:ascii="Cambria Math" w:hAnsi="Cambria Math"/>
                      <w:color w:val="auto"/>
                    </w:rPr>
                  </m:ctrlPr>
                </m:den>
              </m:f>
              <m:nary>
                <m:naryPr>
                  <m:chr m:val="∑"/>
                  <m:limLoc m:val="subSup"/>
                  <m:ctrlPr>
                    <w:rPr>
                      <w:rFonts w:ascii="Cambria Math" w:hAnsi="Cambria Math"/>
                      <w:i/>
                      <w:color w:val="auto"/>
                    </w:rPr>
                  </m:ctrlPr>
                </m:naryPr>
                <m:sub>
                  <m:r>
                    <m:rPr/>
                    <w:rPr>
                      <w:rFonts w:ascii="Cambria Math" w:hAnsi="Cambria Math"/>
                      <w:color w:val="auto"/>
                    </w:rPr>
                    <m:t>j=1</m:t>
                  </m:r>
                  <m:ctrlPr>
                    <w:rPr>
                      <w:rFonts w:ascii="Cambria Math" w:hAnsi="Cambria Math"/>
                      <w:i/>
                      <w:color w:val="auto"/>
                    </w:rPr>
                  </m:ctrlPr>
                </m:sub>
                <m:sup>
                  <m:r>
                    <m:rPr/>
                    <w:rPr>
                      <w:rFonts w:ascii="Cambria Math" w:hAnsi="Cambria Math"/>
                      <w:color w:val="auto"/>
                    </w:rPr>
                    <m:t>n</m:t>
                  </m:r>
                  <m:ctrlPr>
                    <w:rPr>
                      <w:rFonts w:ascii="Cambria Math" w:hAnsi="Cambria Math"/>
                      <w:i/>
                      <w:color w:val="auto"/>
                    </w:rPr>
                  </m:ctrlPr>
                </m:sup>
                <m:e>
                  <m:sSub>
                    <m:sSubPr>
                      <m:ctrlPr>
                        <w:rPr>
                          <w:rFonts w:ascii="Cambria Math" w:hAnsi="Cambria Math"/>
                          <w:i/>
                          <w:color w:val="auto"/>
                        </w:rPr>
                      </m:ctrlPr>
                    </m:sSubPr>
                    <m:e>
                      <m:r>
                        <m:rPr/>
                        <w:rPr>
                          <w:rFonts w:ascii="Cambria Math" w:hAnsi="Cambria Math"/>
                          <w:color w:val="auto"/>
                        </w:rPr>
                        <m:t>C</m:t>
                      </m:r>
                      <m:ctrlPr>
                        <w:rPr>
                          <w:rFonts w:ascii="Cambria Math" w:hAnsi="Cambria Math"/>
                          <w:i/>
                          <w:color w:val="auto"/>
                        </w:rPr>
                      </m:ctrlPr>
                    </m:e>
                    <m:sub>
                      <m:r>
                        <m:rPr>
                          <m:sty m:val="p"/>
                        </m:rPr>
                        <w:rPr>
                          <w:rFonts w:ascii="Cambria Math" w:hAnsi="Cambria Math"/>
                          <w:color w:val="auto"/>
                        </w:rPr>
                        <m:t>监测</m:t>
                      </m:r>
                      <m:r>
                        <m:rPr/>
                        <w:rPr>
                          <w:rFonts w:ascii="Cambria Math" w:hAnsi="Cambria Math"/>
                          <w:color w:val="auto"/>
                        </w:rPr>
                        <m:t>（j,t）</m:t>
                      </m:r>
                      <m:ctrlPr>
                        <w:rPr>
                          <w:rFonts w:ascii="Cambria Math" w:hAnsi="Cambria Math"/>
                          <w:i/>
                          <w:color w:val="auto"/>
                        </w:rPr>
                      </m:ctrlPr>
                    </m:sub>
                  </m:sSub>
                  <m:ctrlPr>
                    <w:rPr>
                      <w:rFonts w:ascii="Cambria Math" w:hAnsi="Cambria Math"/>
                      <w:i/>
                      <w:color w:val="auto"/>
                    </w:rPr>
                  </m:ctrlPr>
                </m:e>
              </m:nary>
            </m:oMath>
            <w:r>
              <w:rPr>
                <w:snapToGrid w:val="0"/>
                <w:color w:val="auto"/>
                <w:kern w:val="0"/>
              </w:rPr>
              <w:t>]</w:t>
            </w:r>
          </w:p>
          <w:p w14:paraId="67C2E06F">
            <w:pPr>
              <w:pStyle w:val="65"/>
              <w:rPr>
                <w:snapToGrid w:val="0"/>
                <w:color w:val="auto"/>
                <w:kern w:val="0"/>
              </w:rPr>
            </w:pPr>
            <w:r>
              <w:rPr>
                <w:snapToGrid w:val="0"/>
                <w:color w:val="auto"/>
                <w:kern w:val="0"/>
              </w:rPr>
              <w:t>式中：</w:t>
            </w:r>
            <w:r>
              <w:rPr>
                <w:i/>
                <w:snapToGrid w:val="0"/>
                <w:color w:val="auto"/>
                <w:kern w:val="0"/>
              </w:rPr>
              <w:t>C</w:t>
            </w:r>
            <w:r>
              <w:rPr>
                <w:snapToGrid w:val="0"/>
                <w:color w:val="auto"/>
                <w:kern w:val="0"/>
                <w:vertAlign w:val="subscript"/>
              </w:rPr>
              <w:t>现状（x,y）</w:t>
            </w:r>
            <w:r>
              <w:rPr>
                <w:snapToGrid w:val="0"/>
                <w:color w:val="auto"/>
                <w:kern w:val="0"/>
              </w:rPr>
              <w:t>—环境空气保护目标及网格点（x,y）环境质量现状浓度，μg/m</w:t>
            </w:r>
            <w:r>
              <w:rPr>
                <w:snapToGrid w:val="0"/>
                <w:color w:val="auto"/>
                <w:kern w:val="0"/>
                <w:vertAlign w:val="superscript"/>
              </w:rPr>
              <w:t>3</w:t>
            </w:r>
            <w:r>
              <w:rPr>
                <w:snapToGrid w:val="0"/>
                <w:color w:val="auto"/>
                <w:kern w:val="0"/>
              </w:rPr>
              <w:t>；</w:t>
            </w:r>
          </w:p>
          <w:p w14:paraId="492C3259">
            <w:pPr>
              <w:pStyle w:val="65"/>
              <w:ind w:firstLine="1200" w:firstLineChars="500"/>
              <w:rPr>
                <w:snapToGrid w:val="0"/>
                <w:color w:val="auto"/>
                <w:kern w:val="0"/>
              </w:rPr>
            </w:pPr>
            <w:r>
              <w:rPr>
                <w:i/>
                <w:snapToGrid w:val="0"/>
                <w:color w:val="auto"/>
                <w:kern w:val="0"/>
              </w:rPr>
              <w:t>C</w:t>
            </w:r>
            <w:r>
              <w:rPr>
                <w:snapToGrid w:val="0"/>
                <w:color w:val="auto"/>
                <w:kern w:val="0"/>
                <w:vertAlign w:val="subscript"/>
              </w:rPr>
              <w:t>监测（</w:t>
            </w:r>
            <w:r>
              <w:rPr>
                <w:i/>
                <w:iCs/>
                <w:snapToGrid w:val="0"/>
                <w:color w:val="auto"/>
                <w:kern w:val="0"/>
                <w:vertAlign w:val="subscript"/>
              </w:rPr>
              <w:t>j,t</w:t>
            </w:r>
            <w:r>
              <w:rPr>
                <w:snapToGrid w:val="0"/>
                <w:color w:val="auto"/>
                <w:kern w:val="0"/>
                <w:vertAlign w:val="subscript"/>
              </w:rPr>
              <w:t>）</w:t>
            </w:r>
            <w:r>
              <w:rPr>
                <w:snapToGrid w:val="0"/>
                <w:color w:val="auto"/>
                <w:kern w:val="0"/>
              </w:rPr>
              <w:t>—第j个监测点位在t时刻环境质量现状浓度（包括1h平均、8h平均或日平均质量浓度）采用估算模型计算出的第</w:t>
            </w:r>
            <w:r>
              <w:rPr>
                <w:i/>
                <w:snapToGrid w:val="0"/>
                <w:color w:val="auto"/>
                <w:kern w:val="0"/>
              </w:rPr>
              <w:t>i</w:t>
            </w:r>
            <w:r>
              <w:rPr>
                <w:snapToGrid w:val="0"/>
                <w:color w:val="auto"/>
                <w:kern w:val="0"/>
              </w:rPr>
              <w:t>个污染物的最大1h地面空气质量浓度，</w:t>
            </w:r>
            <w:bookmarkStart w:id="13" w:name="_Hlk53993784"/>
            <w:r>
              <w:rPr>
                <w:snapToGrid w:val="0"/>
                <w:color w:val="auto"/>
                <w:kern w:val="0"/>
              </w:rPr>
              <w:t>μg/m</w:t>
            </w:r>
            <w:r>
              <w:rPr>
                <w:snapToGrid w:val="0"/>
                <w:color w:val="auto"/>
                <w:kern w:val="0"/>
                <w:vertAlign w:val="superscript"/>
              </w:rPr>
              <w:t>3</w:t>
            </w:r>
            <w:bookmarkEnd w:id="13"/>
            <w:r>
              <w:rPr>
                <w:snapToGrid w:val="0"/>
                <w:color w:val="auto"/>
                <w:kern w:val="0"/>
              </w:rPr>
              <w:t>；</w:t>
            </w:r>
          </w:p>
          <w:p w14:paraId="4B7A5DD6">
            <w:pPr>
              <w:pStyle w:val="65"/>
              <w:ind w:firstLine="1200" w:firstLineChars="500"/>
              <w:rPr>
                <w:snapToGrid w:val="0"/>
                <w:color w:val="auto"/>
                <w:kern w:val="0"/>
              </w:rPr>
            </w:pPr>
            <w:r>
              <w:rPr>
                <w:snapToGrid w:val="0"/>
                <w:color w:val="auto"/>
                <w:kern w:val="0"/>
              </w:rPr>
              <w:t>n—现状补充监测点位数。</w:t>
            </w:r>
          </w:p>
          <w:p w14:paraId="6B6A5CC6">
            <w:pPr>
              <w:spacing w:line="360" w:lineRule="auto"/>
              <w:ind w:firstLine="480" w:firstLineChars="200"/>
              <w:rPr>
                <w:snapToGrid w:val="0"/>
                <w:color w:val="auto"/>
                <w:kern w:val="0"/>
                <w:sz w:val="24"/>
              </w:rPr>
            </w:pPr>
            <w:r>
              <w:rPr>
                <w:snapToGrid w:val="0"/>
                <w:color w:val="auto"/>
                <w:kern w:val="0"/>
                <w:sz w:val="24"/>
              </w:rPr>
              <w:t>（4）监测结果分析</w:t>
            </w:r>
          </w:p>
          <w:p w14:paraId="5209DF78">
            <w:pPr>
              <w:spacing w:line="360" w:lineRule="auto"/>
              <w:ind w:firstLine="480" w:firstLineChars="200"/>
              <w:rPr>
                <w:snapToGrid w:val="0"/>
                <w:color w:val="auto"/>
                <w:kern w:val="0"/>
                <w:sz w:val="24"/>
              </w:rPr>
            </w:pPr>
            <w:r>
              <w:rPr>
                <w:snapToGrid w:val="0"/>
                <w:color w:val="auto"/>
                <w:kern w:val="0"/>
                <w:sz w:val="24"/>
              </w:rPr>
              <w:t>补充现状监测统计结果分析情况见表</w:t>
            </w:r>
            <w:r>
              <w:rPr>
                <w:rFonts w:hint="eastAsia"/>
                <w:snapToGrid w:val="0"/>
                <w:color w:val="auto"/>
                <w:kern w:val="0"/>
                <w:sz w:val="24"/>
                <w:lang w:val="en-US" w:eastAsia="zh-CN"/>
              </w:rPr>
              <w:t>3</w:t>
            </w:r>
            <w:r>
              <w:rPr>
                <w:snapToGrid w:val="0"/>
                <w:color w:val="auto"/>
                <w:kern w:val="0"/>
                <w:sz w:val="24"/>
              </w:rPr>
              <w:t>-</w:t>
            </w:r>
            <w:r>
              <w:rPr>
                <w:rFonts w:hint="eastAsia"/>
                <w:snapToGrid w:val="0"/>
                <w:color w:val="auto"/>
                <w:kern w:val="0"/>
                <w:sz w:val="24"/>
                <w:lang w:val="en-US" w:eastAsia="zh-CN"/>
              </w:rPr>
              <w:t>4</w:t>
            </w:r>
            <w:r>
              <w:rPr>
                <w:snapToGrid w:val="0"/>
                <w:color w:val="auto"/>
                <w:kern w:val="0"/>
                <w:sz w:val="24"/>
              </w:rPr>
              <w:t>。</w:t>
            </w:r>
            <w:bookmarkEnd w:id="12"/>
          </w:p>
          <w:p w14:paraId="6FAF8C83">
            <w:pPr>
              <w:pStyle w:val="90"/>
              <w:spacing w:line="240" w:lineRule="auto"/>
              <w:rPr>
                <w:rFonts w:eastAsia="宋体"/>
                <w:b/>
                <w:color w:val="auto"/>
                <w:szCs w:val="24"/>
              </w:rPr>
            </w:pPr>
            <w:bookmarkStart w:id="14" w:name="_Hlk71807216"/>
            <w:r>
              <w:rPr>
                <w:rFonts w:eastAsia="宋体"/>
                <w:b/>
                <w:color w:val="auto"/>
                <w:szCs w:val="24"/>
              </w:rPr>
              <w:t>表</w:t>
            </w:r>
            <w:r>
              <w:rPr>
                <w:rFonts w:hint="eastAsia" w:eastAsia="宋体"/>
                <w:b/>
                <w:color w:val="auto"/>
                <w:szCs w:val="24"/>
                <w:lang w:val="en-US" w:eastAsia="zh-CN"/>
              </w:rPr>
              <w:t>3</w:t>
            </w:r>
            <w:r>
              <w:rPr>
                <w:rFonts w:eastAsia="宋体"/>
                <w:b/>
                <w:color w:val="auto"/>
                <w:szCs w:val="24"/>
              </w:rPr>
              <w:t>-</w:t>
            </w:r>
            <w:r>
              <w:rPr>
                <w:rFonts w:hint="eastAsia" w:eastAsia="宋体"/>
                <w:b/>
                <w:color w:val="auto"/>
                <w:szCs w:val="24"/>
                <w:lang w:val="en-US" w:eastAsia="zh-CN"/>
              </w:rPr>
              <w:t>4</w:t>
            </w:r>
            <w:r>
              <w:rPr>
                <w:rFonts w:hint="eastAsia" w:eastAsia="宋体"/>
                <w:b/>
                <w:color w:val="auto"/>
                <w:szCs w:val="24"/>
              </w:rPr>
              <w:t xml:space="preserve"> </w:t>
            </w:r>
            <w:r>
              <w:rPr>
                <w:rFonts w:eastAsia="宋体"/>
                <w:b/>
                <w:color w:val="auto"/>
                <w:szCs w:val="24"/>
              </w:rPr>
              <w:t>其他污染物环境现状监测统计表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182"/>
              <w:gridCol w:w="1250"/>
              <w:gridCol w:w="907"/>
              <w:gridCol w:w="1130"/>
              <w:gridCol w:w="987"/>
              <w:gridCol w:w="821"/>
              <w:gridCol w:w="945"/>
            </w:tblGrid>
            <w:tr w14:paraId="40DCB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14:paraId="2B23341F">
                  <w:pPr>
                    <w:pStyle w:val="83"/>
                    <w:rPr>
                      <w:color w:val="auto"/>
                      <w:sz w:val="21"/>
                      <w:szCs w:val="21"/>
                    </w:rPr>
                  </w:pPr>
                  <w:bookmarkStart w:id="15" w:name="_Hlk12439591"/>
                  <w:r>
                    <w:rPr>
                      <w:color w:val="auto"/>
                      <w:sz w:val="21"/>
                      <w:szCs w:val="21"/>
                    </w:rPr>
                    <w:t>污染物</w:t>
                  </w:r>
                </w:p>
              </w:tc>
              <w:tc>
                <w:tcPr>
                  <w:tcW w:w="728" w:type="pct"/>
                  <w:vAlign w:val="center"/>
                </w:tcPr>
                <w:p w14:paraId="6C0480D2">
                  <w:pPr>
                    <w:pStyle w:val="83"/>
                    <w:rPr>
                      <w:color w:val="auto"/>
                      <w:sz w:val="21"/>
                      <w:szCs w:val="21"/>
                    </w:rPr>
                  </w:pPr>
                  <w:r>
                    <w:rPr>
                      <w:color w:val="auto"/>
                      <w:sz w:val="21"/>
                      <w:szCs w:val="21"/>
                    </w:rPr>
                    <w:t>检测点位</w:t>
                  </w:r>
                </w:p>
              </w:tc>
              <w:tc>
                <w:tcPr>
                  <w:tcW w:w="770" w:type="pct"/>
                  <w:vAlign w:val="center"/>
                </w:tcPr>
                <w:p w14:paraId="197E1F27">
                  <w:pPr>
                    <w:pStyle w:val="83"/>
                    <w:rPr>
                      <w:color w:val="auto"/>
                      <w:sz w:val="21"/>
                      <w:szCs w:val="21"/>
                    </w:rPr>
                  </w:pPr>
                  <w:r>
                    <w:rPr>
                      <w:color w:val="auto"/>
                      <w:sz w:val="21"/>
                      <w:szCs w:val="21"/>
                    </w:rPr>
                    <w:t>平均时间</w:t>
                  </w:r>
                </w:p>
              </w:tc>
              <w:tc>
                <w:tcPr>
                  <w:tcW w:w="559" w:type="pct"/>
                  <w:vAlign w:val="center"/>
                </w:tcPr>
                <w:p w14:paraId="7B8D1908">
                  <w:pPr>
                    <w:pStyle w:val="83"/>
                    <w:rPr>
                      <w:color w:val="auto"/>
                      <w:sz w:val="21"/>
                      <w:szCs w:val="21"/>
                    </w:rPr>
                  </w:pPr>
                  <w:r>
                    <w:rPr>
                      <w:color w:val="auto"/>
                      <w:sz w:val="21"/>
                      <w:szCs w:val="21"/>
                    </w:rPr>
                    <w:t>评价标准/μg/m</w:t>
                  </w:r>
                  <w:r>
                    <w:rPr>
                      <w:color w:val="auto"/>
                      <w:sz w:val="21"/>
                      <w:szCs w:val="21"/>
                      <w:vertAlign w:val="superscript"/>
                    </w:rPr>
                    <w:t>3</w:t>
                  </w:r>
                </w:p>
              </w:tc>
              <w:tc>
                <w:tcPr>
                  <w:tcW w:w="696" w:type="pct"/>
                  <w:vAlign w:val="center"/>
                </w:tcPr>
                <w:p w14:paraId="5EE97464">
                  <w:pPr>
                    <w:pStyle w:val="83"/>
                    <w:rPr>
                      <w:color w:val="auto"/>
                      <w:sz w:val="21"/>
                      <w:szCs w:val="21"/>
                    </w:rPr>
                  </w:pPr>
                  <w:r>
                    <w:rPr>
                      <w:color w:val="auto"/>
                      <w:sz w:val="21"/>
                      <w:szCs w:val="21"/>
                    </w:rPr>
                    <w:t>监测浓度范围/μg/m</w:t>
                  </w:r>
                  <w:r>
                    <w:rPr>
                      <w:color w:val="auto"/>
                      <w:sz w:val="21"/>
                      <w:szCs w:val="21"/>
                      <w:vertAlign w:val="superscript"/>
                    </w:rPr>
                    <w:t>3</w:t>
                  </w:r>
                </w:p>
              </w:tc>
              <w:tc>
                <w:tcPr>
                  <w:tcW w:w="608" w:type="pct"/>
                  <w:vAlign w:val="center"/>
                </w:tcPr>
                <w:p w14:paraId="73C0E10A">
                  <w:pPr>
                    <w:pStyle w:val="83"/>
                    <w:rPr>
                      <w:color w:val="auto"/>
                      <w:sz w:val="21"/>
                      <w:szCs w:val="21"/>
                    </w:rPr>
                  </w:pPr>
                  <w:r>
                    <w:rPr>
                      <w:color w:val="auto"/>
                      <w:sz w:val="21"/>
                      <w:szCs w:val="21"/>
                    </w:rPr>
                    <w:t>最大浓度占标率/%</w:t>
                  </w:r>
                </w:p>
              </w:tc>
              <w:tc>
                <w:tcPr>
                  <w:tcW w:w="506" w:type="pct"/>
                  <w:vAlign w:val="center"/>
                </w:tcPr>
                <w:p w14:paraId="0FC6E57B">
                  <w:pPr>
                    <w:pStyle w:val="83"/>
                    <w:rPr>
                      <w:color w:val="auto"/>
                      <w:sz w:val="21"/>
                      <w:szCs w:val="21"/>
                    </w:rPr>
                  </w:pPr>
                  <w:r>
                    <w:rPr>
                      <w:color w:val="auto"/>
                      <w:sz w:val="21"/>
                      <w:szCs w:val="21"/>
                    </w:rPr>
                    <w:t>超标率/%</w:t>
                  </w:r>
                </w:p>
              </w:tc>
              <w:tc>
                <w:tcPr>
                  <w:tcW w:w="582" w:type="pct"/>
                  <w:vAlign w:val="center"/>
                </w:tcPr>
                <w:p w14:paraId="33067CD7">
                  <w:pPr>
                    <w:pStyle w:val="83"/>
                    <w:rPr>
                      <w:color w:val="auto"/>
                      <w:sz w:val="21"/>
                      <w:szCs w:val="21"/>
                    </w:rPr>
                  </w:pPr>
                  <w:r>
                    <w:rPr>
                      <w:color w:val="auto"/>
                      <w:sz w:val="21"/>
                      <w:szCs w:val="21"/>
                    </w:rPr>
                    <w:t>达标情况</w:t>
                  </w:r>
                </w:p>
              </w:tc>
            </w:tr>
            <w:tr w14:paraId="53694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46" w:type="pct"/>
                  <w:vAlign w:val="center"/>
                </w:tcPr>
                <w:p w14:paraId="380F0130">
                  <w:pPr>
                    <w:pStyle w:val="83"/>
                    <w:rPr>
                      <w:color w:val="auto"/>
                      <w:sz w:val="21"/>
                      <w:szCs w:val="21"/>
                    </w:rPr>
                  </w:pPr>
                  <w:r>
                    <w:rPr>
                      <w:color w:val="auto"/>
                      <w:sz w:val="21"/>
                      <w:szCs w:val="21"/>
                    </w:rPr>
                    <w:t>TSP</w:t>
                  </w:r>
                </w:p>
              </w:tc>
              <w:tc>
                <w:tcPr>
                  <w:tcW w:w="728" w:type="pct"/>
                  <w:vMerge w:val="restart"/>
                  <w:vAlign w:val="center"/>
                </w:tcPr>
                <w:p w14:paraId="2EA526B8">
                  <w:pPr>
                    <w:pStyle w:val="91"/>
                    <w:adjustRightInd w:val="0"/>
                    <w:snapToGrid w:val="0"/>
                    <w:rPr>
                      <w:rFonts w:hint="default"/>
                      <w:color w:val="auto"/>
                      <w:szCs w:val="21"/>
                    </w:rPr>
                  </w:pPr>
                  <w:r>
                    <w:rPr>
                      <w:color w:val="auto"/>
                      <w:szCs w:val="21"/>
                    </w:rPr>
                    <w:t>下风向○1</w:t>
                  </w:r>
                </w:p>
              </w:tc>
              <w:tc>
                <w:tcPr>
                  <w:tcW w:w="770" w:type="pct"/>
                  <w:vAlign w:val="center"/>
                </w:tcPr>
                <w:p w14:paraId="065AABD3">
                  <w:pPr>
                    <w:pStyle w:val="83"/>
                    <w:rPr>
                      <w:color w:val="auto"/>
                      <w:sz w:val="21"/>
                      <w:szCs w:val="21"/>
                    </w:rPr>
                  </w:pPr>
                  <w:r>
                    <w:rPr>
                      <w:color w:val="auto"/>
                      <w:sz w:val="21"/>
                      <w:szCs w:val="21"/>
                    </w:rPr>
                    <w:t>24h平均</w:t>
                  </w:r>
                </w:p>
              </w:tc>
              <w:tc>
                <w:tcPr>
                  <w:tcW w:w="559" w:type="pct"/>
                  <w:vAlign w:val="center"/>
                </w:tcPr>
                <w:p w14:paraId="72AD9D60">
                  <w:pPr>
                    <w:pStyle w:val="83"/>
                    <w:rPr>
                      <w:color w:val="auto"/>
                      <w:sz w:val="21"/>
                      <w:szCs w:val="21"/>
                    </w:rPr>
                  </w:pPr>
                  <w:r>
                    <w:rPr>
                      <w:color w:val="auto"/>
                      <w:sz w:val="21"/>
                      <w:szCs w:val="21"/>
                    </w:rPr>
                    <w:t>300</w:t>
                  </w:r>
                </w:p>
              </w:tc>
              <w:tc>
                <w:tcPr>
                  <w:tcW w:w="696" w:type="pct"/>
                  <w:vAlign w:val="center"/>
                </w:tcPr>
                <w:p w14:paraId="009EDA68">
                  <w:pPr>
                    <w:pStyle w:val="83"/>
                    <w:rPr>
                      <w:rFonts w:hint="default" w:eastAsia="宋体"/>
                      <w:color w:val="auto"/>
                      <w:sz w:val="21"/>
                      <w:szCs w:val="21"/>
                      <w:lang w:val="en-US" w:eastAsia="zh-CN"/>
                    </w:rPr>
                  </w:pPr>
                  <w:r>
                    <w:rPr>
                      <w:rFonts w:hint="eastAsia"/>
                      <w:color w:val="auto"/>
                      <w:sz w:val="21"/>
                      <w:szCs w:val="21"/>
                      <w:lang w:val="en-US" w:eastAsia="zh-CN"/>
                    </w:rPr>
                    <w:t>104-110</w:t>
                  </w:r>
                </w:p>
              </w:tc>
              <w:tc>
                <w:tcPr>
                  <w:tcW w:w="608" w:type="pct"/>
                  <w:vAlign w:val="center"/>
                </w:tcPr>
                <w:p w14:paraId="3C18DDEB">
                  <w:pPr>
                    <w:pStyle w:val="83"/>
                    <w:rPr>
                      <w:rFonts w:hint="default" w:eastAsia="宋体"/>
                      <w:color w:val="auto"/>
                      <w:sz w:val="21"/>
                      <w:szCs w:val="21"/>
                      <w:lang w:val="en-US" w:eastAsia="zh-CN"/>
                    </w:rPr>
                  </w:pPr>
                  <w:r>
                    <w:rPr>
                      <w:rFonts w:hint="eastAsia"/>
                      <w:color w:val="auto"/>
                      <w:sz w:val="21"/>
                      <w:szCs w:val="21"/>
                      <w:lang w:val="en-US" w:eastAsia="zh-CN"/>
                    </w:rPr>
                    <w:t>36.7</w:t>
                  </w:r>
                </w:p>
              </w:tc>
              <w:tc>
                <w:tcPr>
                  <w:tcW w:w="506" w:type="pct"/>
                  <w:vAlign w:val="center"/>
                </w:tcPr>
                <w:p w14:paraId="0F636734">
                  <w:pPr>
                    <w:pStyle w:val="83"/>
                    <w:rPr>
                      <w:color w:val="auto"/>
                      <w:sz w:val="21"/>
                      <w:szCs w:val="21"/>
                    </w:rPr>
                  </w:pPr>
                  <w:r>
                    <w:rPr>
                      <w:color w:val="auto"/>
                      <w:sz w:val="21"/>
                      <w:szCs w:val="21"/>
                    </w:rPr>
                    <w:t>0</w:t>
                  </w:r>
                </w:p>
              </w:tc>
              <w:tc>
                <w:tcPr>
                  <w:tcW w:w="582" w:type="pct"/>
                  <w:vAlign w:val="center"/>
                </w:tcPr>
                <w:p w14:paraId="030AC20C">
                  <w:pPr>
                    <w:pStyle w:val="83"/>
                    <w:rPr>
                      <w:color w:val="auto"/>
                      <w:sz w:val="21"/>
                      <w:szCs w:val="21"/>
                    </w:rPr>
                  </w:pPr>
                  <w:r>
                    <w:rPr>
                      <w:color w:val="auto"/>
                      <w:sz w:val="21"/>
                      <w:szCs w:val="21"/>
                    </w:rPr>
                    <w:t>达标</w:t>
                  </w:r>
                </w:p>
              </w:tc>
            </w:tr>
            <w:tr w14:paraId="38980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Align w:val="center"/>
                </w:tcPr>
                <w:p w14:paraId="4DBC93D2">
                  <w:pPr>
                    <w:pStyle w:val="83"/>
                    <w:rPr>
                      <w:color w:val="auto"/>
                      <w:sz w:val="21"/>
                      <w:szCs w:val="21"/>
                    </w:rPr>
                  </w:pPr>
                  <w:r>
                    <w:rPr>
                      <w:color w:val="auto"/>
                      <w:sz w:val="21"/>
                      <w:szCs w:val="21"/>
                    </w:rPr>
                    <w:t>苯并[a]芘</w:t>
                  </w:r>
                </w:p>
              </w:tc>
              <w:tc>
                <w:tcPr>
                  <w:tcW w:w="728" w:type="pct"/>
                  <w:vMerge w:val="continue"/>
                  <w:vAlign w:val="center"/>
                </w:tcPr>
                <w:p w14:paraId="25CAD59F">
                  <w:pPr>
                    <w:pStyle w:val="91"/>
                    <w:adjustRightInd w:val="0"/>
                    <w:snapToGrid w:val="0"/>
                    <w:rPr>
                      <w:rFonts w:hint="default"/>
                      <w:color w:val="auto"/>
                      <w:szCs w:val="21"/>
                    </w:rPr>
                  </w:pPr>
                </w:p>
              </w:tc>
              <w:tc>
                <w:tcPr>
                  <w:tcW w:w="770" w:type="pct"/>
                  <w:vAlign w:val="center"/>
                </w:tcPr>
                <w:p w14:paraId="505BF440">
                  <w:pPr>
                    <w:pStyle w:val="83"/>
                    <w:rPr>
                      <w:color w:val="auto"/>
                      <w:sz w:val="21"/>
                      <w:szCs w:val="21"/>
                    </w:rPr>
                  </w:pPr>
                  <w:r>
                    <w:rPr>
                      <w:color w:val="auto"/>
                      <w:sz w:val="21"/>
                      <w:szCs w:val="21"/>
                    </w:rPr>
                    <w:t>日均值</w:t>
                  </w:r>
                </w:p>
              </w:tc>
              <w:tc>
                <w:tcPr>
                  <w:tcW w:w="559" w:type="pct"/>
                  <w:vAlign w:val="center"/>
                </w:tcPr>
                <w:p w14:paraId="37CEF966">
                  <w:pPr>
                    <w:pStyle w:val="83"/>
                    <w:rPr>
                      <w:color w:val="auto"/>
                      <w:sz w:val="21"/>
                      <w:szCs w:val="21"/>
                    </w:rPr>
                  </w:pPr>
                  <w:r>
                    <w:rPr>
                      <w:color w:val="auto"/>
                      <w:sz w:val="21"/>
                      <w:szCs w:val="21"/>
                    </w:rPr>
                    <w:t>0.0025</w:t>
                  </w:r>
                </w:p>
              </w:tc>
              <w:tc>
                <w:tcPr>
                  <w:tcW w:w="696" w:type="pct"/>
                  <w:vAlign w:val="center"/>
                </w:tcPr>
                <w:p w14:paraId="477B7A34">
                  <w:pPr>
                    <w:pStyle w:val="83"/>
                    <w:rPr>
                      <w:color w:val="auto"/>
                      <w:sz w:val="21"/>
                      <w:szCs w:val="21"/>
                    </w:rPr>
                  </w:pPr>
                  <w:r>
                    <w:rPr>
                      <w:rFonts w:hint="eastAsia"/>
                      <w:color w:val="auto"/>
                      <w:sz w:val="21"/>
                      <w:szCs w:val="21"/>
                    </w:rPr>
                    <w:t>未检出</w:t>
                  </w:r>
                </w:p>
              </w:tc>
              <w:tc>
                <w:tcPr>
                  <w:tcW w:w="608" w:type="pct"/>
                  <w:vAlign w:val="center"/>
                </w:tcPr>
                <w:p w14:paraId="7C00AA5F">
                  <w:pPr>
                    <w:pStyle w:val="83"/>
                    <w:rPr>
                      <w:color w:val="auto"/>
                      <w:sz w:val="21"/>
                      <w:szCs w:val="21"/>
                    </w:rPr>
                  </w:pPr>
                  <w:r>
                    <w:rPr>
                      <w:rFonts w:hint="eastAsia"/>
                      <w:color w:val="auto"/>
                      <w:sz w:val="21"/>
                      <w:szCs w:val="21"/>
                    </w:rPr>
                    <w:t>/</w:t>
                  </w:r>
                </w:p>
              </w:tc>
              <w:tc>
                <w:tcPr>
                  <w:tcW w:w="506" w:type="pct"/>
                  <w:vAlign w:val="center"/>
                </w:tcPr>
                <w:p w14:paraId="7E5324D0">
                  <w:pPr>
                    <w:pStyle w:val="83"/>
                    <w:rPr>
                      <w:color w:val="auto"/>
                      <w:sz w:val="21"/>
                      <w:szCs w:val="21"/>
                    </w:rPr>
                  </w:pPr>
                  <w:r>
                    <w:rPr>
                      <w:rFonts w:hint="eastAsia"/>
                      <w:color w:val="auto"/>
                      <w:sz w:val="21"/>
                      <w:szCs w:val="21"/>
                    </w:rPr>
                    <w:t>/</w:t>
                  </w:r>
                </w:p>
              </w:tc>
              <w:tc>
                <w:tcPr>
                  <w:tcW w:w="582" w:type="pct"/>
                  <w:vAlign w:val="center"/>
                </w:tcPr>
                <w:p w14:paraId="7746493A">
                  <w:pPr>
                    <w:pStyle w:val="83"/>
                    <w:rPr>
                      <w:color w:val="auto"/>
                      <w:sz w:val="21"/>
                      <w:szCs w:val="21"/>
                    </w:rPr>
                  </w:pPr>
                  <w:r>
                    <w:rPr>
                      <w:rFonts w:hint="eastAsia"/>
                      <w:color w:val="auto"/>
                      <w:sz w:val="21"/>
                      <w:szCs w:val="21"/>
                    </w:rPr>
                    <w:t>/</w:t>
                  </w:r>
                </w:p>
              </w:tc>
            </w:tr>
            <w:bookmarkEnd w:id="15"/>
          </w:tbl>
          <w:p w14:paraId="3D62355C">
            <w:pPr>
              <w:spacing w:line="360" w:lineRule="auto"/>
              <w:ind w:firstLine="480" w:firstLineChars="200"/>
              <w:rPr>
                <w:snapToGrid w:val="0"/>
                <w:color w:val="auto"/>
                <w:kern w:val="0"/>
                <w:sz w:val="24"/>
              </w:rPr>
            </w:pPr>
            <w:bookmarkStart w:id="16" w:name="_Hlk71807269"/>
            <w:r>
              <w:rPr>
                <w:snapToGrid w:val="0"/>
                <w:color w:val="auto"/>
                <w:kern w:val="0"/>
                <w:sz w:val="24"/>
              </w:rPr>
              <w:t>（5）环境空气补充监测评价结论</w:t>
            </w:r>
          </w:p>
          <w:p w14:paraId="3F6D6FCA">
            <w:pPr>
              <w:spacing w:line="360" w:lineRule="auto"/>
              <w:ind w:firstLine="480" w:firstLineChars="200"/>
              <w:contextualSpacing/>
              <w:rPr>
                <w:rFonts w:hAnsi="宋体"/>
                <w:color w:val="auto"/>
                <w:sz w:val="24"/>
              </w:rPr>
            </w:pPr>
            <w:r>
              <w:rPr>
                <w:snapToGrid w:val="0"/>
                <w:color w:val="auto"/>
                <w:sz w:val="24"/>
                <w:lang w:val="en-GB"/>
              </w:rPr>
              <w:t>根据表</w:t>
            </w:r>
            <w:r>
              <w:rPr>
                <w:rFonts w:hint="eastAsia"/>
                <w:snapToGrid w:val="0"/>
                <w:color w:val="auto"/>
                <w:sz w:val="24"/>
                <w:lang w:val="en-US" w:eastAsia="zh-CN"/>
              </w:rPr>
              <w:t>3</w:t>
            </w:r>
            <w:r>
              <w:rPr>
                <w:snapToGrid w:val="0"/>
                <w:color w:val="auto"/>
                <w:sz w:val="24"/>
                <w:lang w:val="en-GB"/>
              </w:rPr>
              <w:t>-</w:t>
            </w:r>
            <w:r>
              <w:rPr>
                <w:rFonts w:hint="eastAsia"/>
                <w:snapToGrid w:val="0"/>
                <w:color w:val="auto"/>
                <w:sz w:val="24"/>
                <w:lang w:val="en-US" w:eastAsia="zh-CN"/>
              </w:rPr>
              <w:t>4</w:t>
            </w:r>
            <w:r>
              <w:rPr>
                <w:snapToGrid w:val="0"/>
                <w:color w:val="auto"/>
                <w:sz w:val="24"/>
                <w:lang w:val="en-GB"/>
              </w:rPr>
              <w:t>，本项目补充监测的</w:t>
            </w:r>
            <w:bookmarkEnd w:id="14"/>
            <w:bookmarkEnd w:id="16"/>
            <w:r>
              <w:rPr>
                <w:color w:val="auto"/>
                <w:sz w:val="24"/>
              </w:rPr>
              <w:t>TSP24小时平均浓度满足《环境空气质量标准》（GB3095-2012）及修改单中的二级标准要求。</w:t>
            </w:r>
            <w:r>
              <w:rPr>
                <w:snapToGrid w:val="0"/>
                <w:color w:val="auto"/>
                <w:sz w:val="24"/>
                <w:lang w:val="en-GB"/>
              </w:rPr>
              <w:t>本项目</w:t>
            </w:r>
            <w:r>
              <w:rPr>
                <w:rFonts w:hint="eastAsia"/>
                <w:snapToGrid w:val="0"/>
                <w:color w:val="auto"/>
                <w:sz w:val="24"/>
                <w:lang w:val="en-GB"/>
              </w:rPr>
              <w:t>所在区域大气环境</w:t>
            </w:r>
            <w:r>
              <w:rPr>
                <w:bCs/>
                <w:snapToGrid w:val="0"/>
                <w:color w:val="auto"/>
                <w:sz w:val="24"/>
              </w:rPr>
              <w:t>苯并[a]芘</w:t>
            </w:r>
            <w:r>
              <w:rPr>
                <w:rFonts w:hint="eastAsia"/>
                <w:snapToGrid w:val="0"/>
                <w:color w:val="auto"/>
                <w:sz w:val="24"/>
                <w:lang w:val="en-GB"/>
              </w:rPr>
              <w:t>均未检出，</w:t>
            </w:r>
            <w:r>
              <w:rPr>
                <w:rFonts w:hAnsi="宋体"/>
                <w:color w:val="auto"/>
                <w:sz w:val="24"/>
              </w:rPr>
              <w:t>满足《环境空气质量标准》（</w:t>
            </w:r>
            <w:r>
              <w:rPr>
                <w:color w:val="auto"/>
                <w:sz w:val="24"/>
              </w:rPr>
              <w:t>GB3095</w:t>
            </w:r>
            <w:r>
              <w:rPr>
                <w:color w:val="auto"/>
                <w:sz w:val="24"/>
              </w:rPr>
              <w:sym w:font="Symbol" w:char="F02D"/>
            </w:r>
            <w:r>
              <w:rPr>
                <w:color w:val="auto"/>
                <w:sz w:val="24"/>
              </w:rPr>
              <w:t>2012</w:t>
            </w:r>
            <w:r>
              <w:rPr>
                <w:rFonts w:hAnsi="宋体"/>
                <w:color w:val="auto"/>
                <w:sz w:val="24"/>
              </w:rPr>
              <w:t>）二级标准的浓度限值。</w:t>
            </w:r>
          </w:p>
          <w:p w14:paraId="6E270613">
            <w:pPr>
              <w:pStyle w:val="59"/>
              <w:spacing w:beforeLines="0" w:afterLines="0" w:line="360" w:lineRule="auto"/>
              <w:ind w:firstLine="482"/>
              <w:contextualSpacing/>
              <w:rPr>
                <w:b/>
                <w:color w:val="auto"/>
              </w:rPr>
            </w:pPr>
            <w:r>
              <w:rPr>
                <w:b/>
                <w:color w:val="auto"/>
              </w:rPr>
              <w:t>2、地表水环境</w:t>
            </w:r>
          </w:p>
          <w:p w14:paraId="22A896E3">
            <w:pPr>
              <w:widowControl/>
              <w:adjustRightInd w:val="0"/>
              <w:snapToGrid w:val="0"/>
              <w:spacing w:line="360" w:lineRule="auto"/>
              <w:ind w:firstLine="480" w:firstLineChars="200"/>
              <w:jc w:val="left"/>
              <w:rPr>
                <w:rFonts w:hint="eastAsia" w:ascii="Times New Roman" w:hAnsi="Times New Roman" w:eastAsia="宋体" w:cs="Times New Roman"/>
                <w:snapToGrid w:val="0"/>
                <w:color w:val="auto"/>
                <w:sz w:val="24"/>
                <w:szCs w:val="24"/>
                <w:highlight w:val="none"/>
                <w:u w:val="none"/>
                <w:lang w:val="zh-CN" w:eastAsia="zh-CN"/>
              </w:rPr>
            </w:pPr>
            <w:r>
              <w:rPr>
                <w:rFonts w:hint="default" w:ascii="Times New Roman" w:hAnsi="Times New Roman" w:eastAsia="宋体" w:cs="Times New Roman"/>
                <w:snapToGrid w:val="0"/>
                <w:color w:val="auto"/>
                <w:sz w:val="24"/>
                <w:szCs w:val="24"/>
                <w:highlight w:val="none"/>
                <w:u w:val="none"/>
                <w:lang w:val="en-US" w:eastAsia="zh-CN"/>
              </w:rPr>
              <w:t>根据伊春市生态环境局公布的《2022年伊春市生态环境质量公报》，2022年，伊春市有监测断面的数据为13个，Ⅰ-Ⅲ类水质断面比例为69.2%，同比升高7.7%，达到年度考核目标61.5%，劣Ⅴ类水体比例为0。根据监测结果，汤旺河友好断面水体满足Ⅴ类地表水环境质量标准，其中高锰酸盐指数及化学需氧量超标，超标倍数分别为0.7和0.4；汤旺河苗圃断面水体满足Ⅱ类地表水环境质量标准；汤旺河晨明水体满足Ⅳ类地表水环境质量标准，其中高锰酸盐指数及化学需氧量超标，超标倍数分别为0.2和0.01。</w:t>
            </w:r>
          </w:p>
          <w:p w14:paraId="77B5202B">
            <w:pPr>
              <w:pStyle w:val="59"/>
              <w:spacing w:beforeLines="0" w:afterLines="0" w:line="360" w:lineRule="auto"/>
              <w:ind w:firstLine="482"/>
              <w:contextualSpacing/>
              <w:rPr>
                <w:b/>
                <w:color w:val="auto"/>
              </w:rPr>
            </w:pPr>
            <w:r>
              <w:rPr>
                <w:b/>
                <w:color w:val="auto"/>
              </w:rPr>
              <w:t>3、声环境</w:t>
            </w:r>
          </w:p>
          <w:p w14:paraId="4F33C6FB">
            <w:pPr>
              <w:widowControl/>
              <w:adjustRightInd w:val="0"/>
              <w:snapToGrid w:val="0"/>
              <w:spacing w:line="360" w:lineRule="auto"/>
              <w:ind w:firstLine="480" w:firstLineChars="200"/>
              <w:jc w:val="left"/>
              <w:rPr>
                <w:color w:val="auto"/>
                <w:sz w:val="24"/>
                <w:szCs w:val="24"/>
              </w:rPr>
            </w:pPr>
            <w:r>
              <w:rPr>
                <w:rFonts w:hint="eastAsia" w:ascii="Times New Roman" w:hAnsi="Times New Roman" w:eastAsia="宋体" w:cs="Times New Roman"/>
                <w:snapToGrid w:val="0"/>
                <w:color w:val="auto"/>
                <w:sz w:val="24"/>
                <w:szCs w:val="24"/>
                <w:highlight w:val="none"/>
                <w:u w:val="none"/>
                <w:lang w:val="zh-CN" w:eastAsia="zh-CN"/>
              </w:rPr>
              <w:t>根据《2022年伊春市生态环境质量公报》，2022年，伊春市昼间区域环境噪声平均等效声级为50.2分贝，声环境质量为好，比去年升高了0.1分贝。伊春市昼间交通干线噪声平均等效声级为65.4分贝，声环境质量为好，比去年升高了1.1分贝。2022年度，对各功能区声环境监测点位共进行4次检测，各监测点噪声昼间等效声级达标率为95.8%，同比下降4.2%；夜间等效声级达标率为100%，同比无变化</w:t>
            </w:r>
            <w:r>
              <w:rPr>
                <w:rFonts w:hint="eastAsia"/>
                <w:color w:val="auto"/>
                <w:sz w:val="24"/>
                <w:szCs w:val="24"/>
              </w:rPr>
              <w:t>。</w:t>
            </w:r>
          </w:p>
          <w:p w14:paraId="5EBF8BB3">
            <w:pPr>
              <w:pStyle w:val="59"/>
              <w:spacing w:beforeLines="0" w:afterLines="0" w:line="360" w:lineRule="auto"/>
              <w:ind w:firstLine="482"/>
              <w:contextualSpacing/>
              <w:rPr>
                <w:b/>
                <w:color w:val="auto"/>
              </w:rPr>
            </w:pPr>
            <w:r>
              <w:rPr>
                <w:b/>
                <w:color w:val="auto"/>
              </w:rPr>
              <w:t>4、生态环境</w:t>
            </w:r>
          </w:p>
          <w:p w14:paraId="68FC334F">
            <w:pPr>
              <w:spacing w:line="360" w:lineRule="auto"/>
              <w:ind w:firstLine="480" w:firstLineChars="200"/>
              <w:contextualSpacing/>
              <w:jc w:val="left"/>
              <w:rPr>
                <w:color w:val="auto"/>
                <w:kern w:val="0"/>
                <w:sz w:val="24"/>
              </w:rPr>
            </w:pPr>
            <w:r>
              <w:rPr>
                <w:color w:val="auto"/>
                <w:kern w:val="0"/>
                <w:sz w:val="24"/>
              </w:rPr>
              <w:t>本项目建设地点属于</w:t>
            </w:r>
            <w:r>
              <w:rPr>
                <w:color w:val="auto"/>
                <w:sz w:val="24"/>
              </w:rPr>
              <w:t>黑龙江省</w:t>
            </w:r>
            <w:r>
              <w:rPr>
                <w:rFonts w:hint="eastAsia"/>
                <w:color w:val="auto"/>
                <w:sz w:val="24"/>
                <w:lang w:val="en-US" w:eastAsia="zh-CN"/>
              </w:rPr>
              <w:t>伊春市</w:t>
            </w:r>
            <w:r>
              <w:rPr>
                <w:bCs/>
                <w:color w:val="auto"/>
                <w:sz w:val="24"/>
              </w:rPr>
              <w:t>，</w:t>
            </w:r>
            <w:r>
              <w:rPr>
                <w:bCs/>
                <w:color w:val="auto"/>
                <w:sz w:val="24"/>
                <w:highlight w:val="none"/>
              </w:rPr>
              <w:t>用地性质为</w:t>
            </w:r>
            <w:r>
              <w:rPr>
                <w:rFonts w:hint="eastAsia"/>
                <w:bCs/>
                <w:color w:val="auto"/>
                <w:sz w:val="24"/>
                <w:highlight w:val="none"/>
                <w:lang w:val="en-US" w:eastAsia="zh-CN"/>
              </w:rPr>
              <w:t>临时</w:t>
            </w:r>
            <w:r>
              <w:rPr>
                <w:bCs/>
                <w:color w:val="auto"/>
                <w:sz w:val="24"/>
                <w:highlight w:val="none"/>
              </w:rPr>
              <w:t>用地，</w:t>
            </w:r>
            <w:r>
              <w:rPr>
                <w:color w:val="auto"/>
                <w:kern w:val="0"/>
                <w:sz w:val="24"/>
                <w:highlight w:val="none"/>
              </w:rPr>
              <w:t>用地范围内无生态环境保护目标，通过现状调查，</w:t>
            </w:r>
            <w:r>
              <w:rPr>
                <w:rFonts w:hint="eastAsia"/>
                <w:color w:val="auto"/>
                <w:kern w:val="0"/>
                <w:sz w:val="24"/>
                <w:highlight w:val="none"/>
              </w:rPr>
              <w:t>场地为闲置场地</w:t>
            </w:r>
            <w:r>
              <w:rPr>
                <w:color w:val="auto"/>
                <w:kern w:val="0"/>
                <w:sz w:val="24"/>
                <w:highlight w:val="none"/>
              </w:rPr>
              <w:t>。</w:t>
            </w:r>
          </w:p>
          <w:p w14:paraId="7F64DCC3">
            <w:pPr>
              <w:spacing w:line="360" w:lineRule="auto"/>
              <w:ind w:firstLine="480" w:firstLineChars="200"/>
              <w:contextualSpacing/>
              <w:jc w:val="left"/>
              <w:rPr>
                <w:color w:val="auto"/>
                <w:kern w:val="0"/>
                <w:sz w:val="24"/>
              </w:rPr>
            </w:pPr>
            <w:r>
              <w:rPr>
                <w:color w:val="auto"/>
                <w:sz w:val="24"/>
              </w:rPr>
              <w:t>通过现场踏查，本项目</w:t>
            </w:r>
            <w:r>
              <w:rPr>
                <w:rFonts w:hint="eastAsia"/>
                <w:color w:val="auto"/>
                <w:sz w:val="24"/>
              </w:rPr>
              <w:t>占地范围</w:t>
            </w:r>
            <w:r>
              <w:rPr>
                <w:color w:val="auto"/>
                <w:sz w:val="24"/>
              </w:rPr>
              <w:t>内无国家、省、市级自然保护区，无自然保护区、风景名胜区、饮用水水源地等特殊敏感区，无重要旅游景点。因此不进行生态环境现状调查。</w:t>
            </w:r>
          </w:p>
          <w:p w14:paraId="29C017D1">
            <w:pPr>
              <w:pStyle w:val="59"/>
              <w:spacing w:beforeLines="0" w:afterLines="0" w:line="360" w:lineRule="auto"/>
              <w:ind w:firstLine="482"/>
              <w:contextualSpacing/>
              <w:rPr>
                <w:b/>
                <w:color w:val="auto"/>
              </w:rPr>
            </w:pPr>
            <w:r>
              <w:rPr>
                <w:b/>
                <w:color w:val="auto"/>
              </w:rPr>
              <w:t>5、地下水</w:t>
            </w:r>
          </w:p>
          <w:p w14:paraId="7F7905EA">
            <w:pPr>
              <w:spacing w:line="360" w:lineRule="auto"/>
              <w:ind w:firstLine="480" w:firstLineChars="200"/>
              <w:contextualSpacing/>
              <w:jc w:val="left"/>
              <w:rPr>
                <w:color w:val="auto"/>
                <w:kern w:val="0"/>
                <w:sz w:val="24"/>
              </w:rPr>
            </w:pPr>
            <w:r>
              <w:rPr>
                <w:color w:val="auto"/>
                <w:kern w:val="0"/>
                <w:sz w:val="24"/>
              </w:rPr>
              <w:t>根据《建设项目环境影响报告表编制技术指南(污染影响类)(试行)》，原则上不开展地下水和土壤环境质量现状调查，</w:t>
            </w:r>
            <w:r>
              <w:rPr>
                <w:rFonts w:hint="eastAsia"/>
                <w:color w:val="auto"/>
                <w:kern w:val="0"/>
                <w:sz w:val="24"/>
                <w:lang w:val="en-US" w:eastAsia="zh-CN"/>
              </w:rPr>
              <w:t>厂区进行分区防渗</w:t>
            </w:r>
            <w:r>
              <w:rPr>
                <w:color w:val="auto"/>
                <w:kern w:val="0"/>
                <w:sz w:val="24"/>
              </w:rPr>
              <w:t>，不会对地下水环境产生影响。因此，不开展地下水环境质量现状调查。</w:t>
            </w:r>
          </w:p>
          <w:p w14:paraId="50613771">
            <w:pPr>
              <w:pStyle w:val="59"/>
              <w:spacing w:beforeLines="0" w:afterLines="0" w:line="360" w:lineRule="auto"/>
              <w:ind w:firstLine="480"/>
              <w:contextualSpacing/>
              <w:rPr>
                <w:rFonts w:hint="eastAsia" w:eastAsia="宋体"/>
                <w:color w:val="auto"/>
                <w:kern w:val="0"/>
                <w:lang w:eastAsia="zh-CN"/>
              </w:rPr>
            </w:pPr>
          </w:p>
        </w:tc>
      </w:tr>
      <w:tr w14:paraId="32D6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96" w:type="dxa"/>
            <w:vAlign w:val="center"/>
          </w:tcPr>
          <w:p w14:paraId="2C58007F">
            <w:pPr>
              <w:adjustRightInd w:val="0"/>
              <w:snapToGrid w:val="0"/>
              <w:jc w:val="center"/>
              <w:rPr>
                <w:color w:val="auto"/>
                <w:kern w:val="0"/>
                <w:sz w:val="24"/>
              </w:rPr>
            </w:pPr>
            <w:r>
              <w:rPr>
                <w:color w:val="auto"/>
                <w:kern w:val="0"/>
                <w:sz w:val="24"/>
              </w:rPr>
              <w:t>环境</w:t>
            </w:r>
          </w:p>
          <w:p w14:paraId="62D712DF">
            <w:pPr>
              <w:adjustRightInd w:val="0"/>
              <w:snapToGrid w:val="0"/>
              <w:jc w:val="center"/>
              <w:rPr>
                <w:color w:val="auto"/>
                <w:kern w:val="0"/>
                <w:sz w:val="24"/>
              </w:rPr>
            </w:pPr>
            <w:r>
              <w:rPr>
                <w:color w:val="auto"/>
                <w:kern w:val="0"/>
                <w:sz w:val="24"/>
              </w:rPr>
              <w:t>保护</w:t>
            </w:r>
          </w:p>
          <w:p w14:paraId="1784211B">
            <w:pPr>
              <w:adjustRightInd w:val="0"/>
              <w:snapToGrid w:val="0"/>
              <w:jc w:val="center"/>
              <w:rPr>
                <w:color w:val="auto"/>
                <w:kern w:val="0"/>
                <w:sz w:val="24"/>
              </w:rPr>
            </w:pPr>
            <w:r>
              <w:rPr>
                <w:color w:val="auto"/>
                <w:kern w:val="0"/>
                <w:sz w:val="24"/>
              </w:rPr>
              <w:t>目标</w:t>
            </w:r>
          </w:p>
        </w:tc>
        <w:tc>
          <w:tcPr>
            <w:tcW w:w="8329" w:type="dxa"/>
            <w:vAlign w:val="center"/>
          </w:tcPr>
          <w:p w14:paraId="4EF8D6AD">
            <w:pPr>
              <w:spacing w:line="360" w:lineRule="auto"/>
              <w:ind w:firstLine="482" w:firstLineChars="200"/>
              <w:contextualSpacing/>
              <w:rPr>
                <w:b/>
                <w:color w:val="auto"/>
                <w:kern w:val="0"/>
                <w:sz w:val="24"/>
              </w:rPr>
            </w:pPr>
            <w:r>
              <w:rPr>
                <w:b/>
                <w:color w:val="auto"/>
                <w:kern w:val="0"/>
                <w:sz w:val="24"/>
              </w:rPr>
              <w:t>1、大气环境保护目标</w:t>
            </w:r>
          </w:p>
          <w:p w14:paraId="4646A4EC">
            <w:pPr>
              <w:spacing w:line="360" w:lineRule="auto"/>
              <w:ind w:firstLine="480" w:firstLineChars="200"/>
              <w:contextualSpacing/>
              <w:rPr>
                <w:rFonts w:eastAsiaTheme="minorEastAsia"/>
                <w:color w:val="auto"/>
                <w:sz w:val="24"/>
              </w:rPr>
            </w:pPr>
            <w:r>
              <w:rPr>
                <w:color w:val="auto"/>
                <w:kern w:val="0"/>
                <w:sz w:val="24"/>
              </w:rPr>
              <w:t>本项目评价范围内无自然保护区、风景名胜区等保护目标，</w:t>
            </w:r>
            <w:r>
              <w:rPr>
                <w:rFonts w:hint="eastAsia"/>
                <w:color w:val="auto"/>
                <w:kern w:val="0"/>
                <w:sz w:val="24"/>
                <w:lang w:val="en-US" w:eastAsia="zh-CN"/>
              </w:rPr>
              <w:t>厂区周围500米范围内无</w:t>
            </w:r>
            <w:r>
              <w:rPr>
                <w:color w:val="auto"/>
                <w:kern w:val="0"/>
                <w:sz w:val="24"/>
              </w:rPr>
              <w:t>大气环境保护目标</w:t>
            </w:r>
            <w:r>
              <w:rPr>
                <w:rFonts w:eastAsiaTheme="minorEastAsia"/>
                <w:color w:val="auto"/>
                <w:sz w:val="24"/>
              </w:rPr>
              <w:t>。</w:t>
            </w:r>
          </w:p>
          <w:p w14:paraId="78C26C57">
            <w:pPr>
              <w:spacing w:line="360" w:lineRule="auto"/>
              <w:ind w:firstLine="482" w:firstLineChars="200"/>
              <w:contextualSpacing/>
              <w:rPr>
                <w:b/>
                <w:color w:val="auto"/>
                <w:kern w:val="0"/>
                <w:sz w:val="24"/>
              </w:rPr>
            </w:pPr>
            <w:r>
              <w:rPr>
                <w:b/>
                <w:color w:val="auto"/>
                <w:kern w:val="0"/>
                <w:sz w:val="24"/>
              </w:rPr>
              <w:t>2、声环境保护目标</w:t>
            </w:r>
          </w:p>
          <w:p w14:paraId="524DDDC8">
            <w:pPr>
              <w:spacing w:line="360" w:lineRule="auto"/>
              <w:ind w:firstLine="480" w:firstLineChars="200"/>
              <w:contextualSpacing/>
              <w:rPr>
                <w:rFonts w:hint="eastAsia" w:hAnsiTheme="minorEastAsia" w:eastAsiaTheme="minorEastAsia"/>
                <w:color w:val="auto"/>
                <w:kern w:val="0"/>
                <w:sz w:val="24"/>
                <w:lang w:eastAsia="zh-CN"/>
              </w:rPr>
            </w:pPr>
            <w:r>
              <w:rPr>
                <w:rFonts w:hAnsiTheme="minorEastAsia" w:eastAsiaTheme="minorEastAsia"/>
                <w:color w:val="auto"/>
                <w:kern w:val="0"/>
                <w:sz w:val="24"/>
              </w:rPr>
              <w:t>厂界外</w:t>
            </w:r>
            <w:r>
              <w:rPr>
                <w:rFonts w:eastAsiaTheme="minorEastAsia"/>
                <w:color w:val="auto"/>
                <w:kern w:val="0"/>
                <w:sz w:val="24"/>
              </w:rPr>
              <w:t>50m</w:t>
            </w:r>
            <w:r>
              <w:rPr>
                <w:rFonts w:hAnsiTheme="minorEastAsia" w:eastAsiaTheme="minorEastAsia"/>
                <w:color w:val="auto"/>
                <w:kern w:val="0"/>
                <w:sz w:val="24"/>
              </w:rPr>
              <w:t>范围</w:t>
            </w:r>
            <w:r>
              <w:rPr>
                <w:rFonts w:hint="eastAsia" w:hAnsiTheme="minorEastAsia" w:eastAsiaTheme="minorEastAsia"/>
                <w:color w:val="auto"/>
                <w:kern w:val="0"/>
                <w:sz w:val="24"/>
                <w:lang w:val="en-US" w:eastAsia="zh-CN"/>
              </w:rPr>
              <w:t>无</w:t>
            </w:r>
            <w:r>
              <w:rPr>
                <w:rFonts w:hAnsiTheme="minorEastAsia" w:eastAsiaTheme="minorEastAsia"/>
                <w:color w:val="auto"/>
                <w:kern w:val="0"/>
                <w:sz w:val="24"/>
              </w:rPr>
              <w:t>声环境保护目标</w:t>
            </w:r>
            <w:r>
              <w:rPr>
                <w:rFonts w:hint="eastAsia" w:hAnsiTheme="minorEastAsia" w:eastAsiaTheme="minorEastAsia"/>
                <w:color w:val="auto"/>
                <w:kern w:val="0"/>
                <w:sz w:val="24"/>
                <w:lang w:eastAsia="zh-CN"/>
              </w:rPr>
              <w:t>。</w:t>
            </w:r>
          </w:p>
          <w:p w14:paraId="36E4206E">
            <w:pPr>
              <w:spacing w:line="360" w:lineRule="auto"/>
              <w:ind w:firstLine="482" w:firstLineChars="200"/>
              <w:contextualSpacing/>
              <w:rPr>
                <w:b/>
                <w:color w:val="auto"/>
                <w:kern w:val="0"/>
                <w:sz w:val="24"/>
              </w:rPr>
            </w:pPr>
            <w:r>
              <w:rPr>
                <w:b/>
                <w:color w:val="auto"/>
                <w:kern w:val="0"/>
                <w:sz w:val="24"/>
              </w:rPr>
              <w:t>3、地下水环境保护目标</w:t>
            </w:r>
          </w:p>
          <w:p w14:paraId="0D1D4381">
            <w:pPr>
              <w:spacing w:line="360" w:lineRule="auto"/>
              <w:ind w:firstLine="480" w:firstLineChars="200"/>
              <w:contextualSpacing/>
              <w:rPr>
                <w:color w:val="auto"/>
                <w:kern w:val="0"/>
                <w:sz w:val="24"/>
              </w:rPr>
            </w:pPr>
            <w:r>
              <w:rPr>
                <w:color w:val="auto"/>
                <w:kern w:val="0"/>
                <w:sz w:val="24"/>
              </w:rPr>
              <w:t>厂界外500m范围内无热水、矿泉水、温泉、</w:t>
            </w:r>
            <w:r>
              <w:rPr>
                <w:rFonts w:hAnsiTheme="minorEastAsia" w:eastAsiaTheme="minorEastAsia"/>
                <w:color w:val="auto"/>
                <w:kern w:val="0"/>
                <w:sz w:val="24"/>
              </w:rPr>
              <w:t>集中式饮用水源井</w:t>
            </w:r>
            <w:r>
              <w:rPr>
                <w:color w:val="auto"/>
                <w:kern w:val="0"/>
                <w:sz w:val="24"/>
              </w:rPr>
              <w:t>等特殊地下水资源。</w:t>
            </w:r>
          </w:p>
          <w:p w14:paraId="15E0912D">
            <w:pPr>
              <w:pStyle w:val="59"/>
              <w:spacing w:beforeLines="0" w:afterLines="0" w:line="360" w:lineRule="auto"/>
              <w:ind w:firstLine="482"/>
              <w:contextualSpacing/>
              <w:rPr>
                <w:b/>
                <w:color w:val="auto"/>
              </w:rPr>
            </w:pPr>
            <w:r>
              <w:rPr>
                <w:b/>
                <w:color w:val="auto"/>
              </w:rPr>
              <w:t>4、生态环境保护目标</w:t>
            </w:r>
          </w:p>
          <w:p w14:paraId="613EBB40">
            <w:pPr>
              <w:spacing w:line="360" w:lineRule="auto"/>
              <w:ind w:firstLine="480" w:firstLineChars="200"/>
              <w:contextualSpacing/>
              <w:jc w:val="left"/>
              <w:rPr>
                <w:color w:val="auto"/>
                <w:kern w:val="0"/>
                <w:sz w:val="24"/>
              </w:rPr>
            </w:pPr>
            <w:r>
              <w:rPr>
                <w:color w:val="auto"/>
                <w:kern w:val="0"/>
                <w:sz w:val="24"/>
              </w:rPr>
              <w:t>本项目用地范围内无生态环境保护目标。</w:t>
            </w:r>
          </w:p>
        </w:tc>
      </w:tr>
      <w:tr w14:paraId="37463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96" w:type="dxa"/>
            <w:tcMar>
              <w:left w:w="28" w:type="dxa"/>
              <w:right w:w="28" w:type="dxa"/>
            </w:tcMar>
            <w:vAlign w:val="center"/>
          </w:tcPr>
          <w:p w14:paraId="056148F4">
            <w:pPr>
              <w:adjustRightInd w:val="0"/>
              <w:snapToGrid w:val="0"/>
              <w:jc w:val="center"/>
              <w:rPr>
                <w:color w:val="auto"/>
                <w:kern w:val="0"/>
                <w:sz w:val="24"/>
              </w:rPr>
            </w:pPr>
            <w:r>
              <w:rPr>
                <w:color w:val="auto"/>
                <w:kern w:val="0"/>
                <w:sz w:val="24"/>
              </w:rPr>
              <w:t>污染</w:t>
            </w:r>
          </w:p>
          <w:p w14:paraId="70FE2F1F">
            <w:pPr>
              <w:adjustRightInd w:val="0"/>
              <w:snapToGrid w:val="0"/>
              <w:jc w:val="center"/>
              <w:rPr>
                <w:color w:val="auto"/>
                <w:kern w:val="0"/>
                <w:sz w:val="24"/>
              </w:rPr>
            </w:pPr>
            <w:r>
              <w:rPr>
                <w:color w:val="auto"/>
                <w:kern w:val="0"/>
                <w:sz w:val="24"/>
              </w:rPr>
              <w:t>物排</w:t>
            </w:r>
          </w:p>
          <w:p w14:paraId="7EE32EDA">
            <w:pPr>
              <w:adjustRightInd w:val="0"/>
              <w:snapToGrid w:val="0"/>
              <w:jc w:val="center"/>
              <w:rPr>
                <w:color w:val="auto"/>
                <w:kern w:val="0"/>
                <w:sz w:val="24"/>
              </w:rPr>
            </w:pPr>
            <w:r>
              <w:rPr>
                <w:color w:val="auto"/>
                <w:kern w:val="0"/>
                <w:sz w:val="24"/>
              </w:rPr>
              <w:t>放控</w:t>
            </w:r>
          </w:p>
          <w:p w14:paraId="2D239700">
            <w:pPr>
              <w:adjustRightInd w:val="0"/>
              <w:snapToGrid w:val="0"/>
              <w:jc w:val="center"/>
              <w:rPr>
                <w:color w:val="auto"/>
                <w:kern w:val="0"/>
                <w:sz w:val="24"/>
              </w:rPr>
            </w:pPr>
            <w:r>
              <w:rPr>
                <w:color w:val="auto"/>
                <w:kern w:val="0"/>
                <w:sz w:val="24"/>
              </w:rPr>
              <w:t>制标</w:t>
            </w:r>
          </w:p>
          <w:p w14:paraId="1FBDA296">
            <w:pPr>
              <w:adjustRightInd w:val="0"/>
              <w:snapToGrid w:val="0"/>
              <w:jc w:val="center"/>
              <w:rPr>
                <w:color w:val="auto"/>
                <w:kern w:val="0"/>
                <w:sz w:val="24"/>
              </w:rPr>
            </w:pPr>
            <w:r>
              <w:rPr>
                <w:color w:val="auto"/>
                <w:kern w:val="0"/>
                <w:sz w:val="24"/>
              </w:rPr>
              <w:t>准</w:t>
            </w:r>
          </w:p>
        </w:tc>
        <w:tc>
          <w:tcPr>
            <w:tcW w:w="8329" w:type="dxa"/>
            <w:vAlign w:val="center"/>
          </w:tcPr>
          <w:p w14:paraId="32C02710">
            <w:pPr>
              <w:spacing w:line="360" w:lineRule="auto"/>
              <w:ind w:firstLine="482" w:firstLineChars="200"/>
              <w:contextualSpacing/>
              <w:rPr>
                <w:b/>
                <w:color w:val="auto"/>
                <w:kern w:val="0"/>
                <w:sz w:val="24"/>
              </w:rPr>
            </w:pPr>
            <w:r>
              <w:rPr>
                <w:b/>
                <w:color w:val="auto"/>
                <w:kern w:val="0"/>
                <w:sz w:val="24"/>
              </w:rPr>
              <w:t>1、废气</w:t>
            </w:r>
          </w:p>
          <w:p w14:paraId="2CC8E1AD">
            <w:pPr>
              <w:pStyle w:val="61"/>
              <w:snapToGrid/>
              <w:ind w:firstLine="480"/>
              <w:contextualSpacing/>
              <w:jc w:val="left"/>
              <w:rPr>
                <w:bCs/>
                <w:color w:val="auto"/>
                <w:sz w:val="24"/>
              </w:rPr>
            </w:pPr>
            <w:r>
              <w:rPr>
                <w:bCs/>
                <w:color w:val="auto"/>
                <w:sz w:val="24"/>
              </w:rPr>
              <w:t>施工期废气执行《大气污染物综合排放标准》（GB16297-1996）表</w:t>
            </w:r>
            <w:r>
              <w:rPr>
                <w:rFonts w:hint="eastAsia"/>
                <w:bCs/>
                <w:color w:val="auto"/>
                <w:sz w:val="24"/>
              </w:rPr>
              <w:t>2</w:t>
            </w:r>
            <w:r>
              <w:rPr>
                <w:bCs/>
                <w:color w:val="auto"/>
                <w:sz w:val="24"/>
              </w:rPr>
              <w:t>无组织排放监控浓度限值要求；营运期</w:t>
            </w:r>
            <w:r>
              <w:rPr>
                <w:rFonts w:eastAsiaTheme="minorEastAsia"/>
                <w:color w:val="auto"/>
                <w:sz w:val="24"/>
              </w:rPr>
              <w:t>原料堆场、铲装集堆粉尘</w:t>
            </w:r>
            <w:r>
              <w:rPr>
                <w:bCs/>
                <w:color w:val="auto"/>
                <w:sz w:val="24"/>
              </w:rPr>
              <w:t>执行《大气污染物综合排放标准》（GB16297-1996）表</w:t>
            </w:r>
            <w:r>
              <w:rPr>
                <w:rFonts w:hint="eastAsia"/>
                <w:bCs/>
                <w:color w:val="auto"/>
                <w:sz w:val="24"/>
              </w:rPr>
              <w:t>2</w:t>
            </w:r>
            <w:r>
              <w:rPr>
                <w:bCs/>
                <w:color w:val="auto"/>
                <w:sz w:val="24"/>
              </w:rPr>
              <w:t>无组织排放监控浓度限值要求。</w:t>
            </w:r>
            <w:r>
              <w:rPr>
                <w:rFonts w:eastAsiaTheme="minorEastAsia"/>
                <w:bCs/>
                <w:color w:val="auto"/>
                <w:sz w:val="24"/>
              </w:rPr>
              <w:t>非甲烷总烃、</w:t>
            </w:r>
            <w:r>
              <w:rPr>
                <w:bCs/>
                <w:color w:val="auto"/>
                <w:sz w:val="24"/>
              </w:rPr>
              <w:t>沥青烟和苯并[a]芘排放执行《大气污染物综合排放标准》（GB16297-1996）表2 中二级排放标准限值。燃</w:t>
            </w:r>
            <w:r>
              <w:rPr>
                <w:rFonts w:hint="eastAsia"/>
                <w:bCs/>
                <w:color w:val="auto"/>
                <w:sz w:val="24"/>
              </w:rPr>
              <w:t>天然气</w:t>
            </w:r>
            <w:r>
              <w:rPr>
                <w:bCs/>
                <w:color w:val="auto"/>
                <w:sz w:val="24"/>
              </w:rPr>
              <w:t>导热油炉废气执行《锅炉大气污染物排放标准》（GB13271-2014）表2燃</w:t>
            </w:r>
            <w:r>
              <w:rPr>
                <w:rFonts w:hint="eastAsia"/>
                <w:bCs/>
                <w:color w:val="auto"/>
                <w:sz w:val="24"/>
              </w:rPr>
              <w:t>气</w:t>
            </w:r>
            <w:r>
              <w:rPr>
                <w:bCs/>
                <w:color w:val="auto"/>
                <w:sz w:val="24"/>
              </w:rPr>
              <w:t>锅炉大气污染物排放限值标准。燃</w:t>
            </w:r>
            <w:r>
              <w:rPr>
                <w:rFonts w:hint="eastAsia"/>
                <w:bCs/>
                <w:color w:val="auto"/>
                <w:sz w:val="24"/>
              </w:rPr>
              <w:t>天然气</w:t>
            </w:r>
            <w:r>
              <w:rPr>
                <w:bCs/>
                <w:color w:val="auto"/>
                <w:sz w:val="24"/>
              </w:rPr>
              <w:t>燃烧器排气筒排放废气执行《大气污染物综合排放标准》（GB16297-1996）表2 中二级排放标准限值。</w:t>
            </w:r>
            <w:r>
              <w:rPr>
                <w:rFonts w:hint="eastAsia"/>
                <w:color w:val="auto"/>
                <w:sz w:val="24"/>
              </w:rPr>
              <w:t>厂区</w:t>
            </w:r>
            <w:r>
              <w:rPr>
                <w:color w:val="auto"/>
                <w:sz w:val="24"/>
              </w:rPr>
              <w:t>内无组织非甲烷总烃执行《挥发性有机物无组织排放标准》（GB</w:t>
            </w:r>
            <w:r>
              <w:rPr>
                <w:rFonts w:hint="eastAsia"/>
                <w:color w:val="auto"/>
                <w:sz w:val="24"/>
              </w:rPr>
              <w:t>37822</w:t>
            </w:r>
            <w:r>
              <w:rPr>
                <w:color w:val="auto"/>
                <w:sz w:val="24"/>
              </w:rPr>
              <w:t>-20</w:t>
            </w:r>
            <w:r>
              <w:rPr>
                <w:rFonts w:hint="eastAsia"/>
                <w:color w:val="auto"/>
                <w:sz w:val="24"/>
              </w:rPr>
              <w:t>19</w:t>
            </w:r>
            <w:r>
              <w:rPr>
                <w:color w:val="auto"/>
                <w:sz w:val="24"/>
              </w:rPr>
              <w:t>）中表</w:t>
            </w:r>
            <w:r>
              <w:rPr>
                <w:rFonts w:hint="eastAsia"/>
                <w:color w:val="auto"/>
                <w:sz w:val="24"/>
              </w:rPr>
              <w:t>A.1无组织排放限值，厂界</w:t>
            </w:r>
            <w:r>
              <w:rPr>
                <w:color w:val="auto"/>
                <w:sz w:val="24"/>
              </w:rPr>
              <w:t>非甲烷总烃、</w:t>
            </w:r>
            <w:r>
              <w:rPr>
                <w:bCs/>
                <w:color w:val="auto"/>
                <w:sz w:val="24"/>
              </w:rPr>
              <w:t>苯并[a]芘和沥青烟</w:t>
            </w:r>
            <w:r>
              <w:rPr>
                <w:rFonts w:hint="eastAsia"/>
                <w:color w:val="auto"/>
                <w:sz w:val="24"/>
              </w:rPr>
              <w:t>执行</w:t>
            </w:r>
            <w:r>
              <w:rPr>
                <w:bCs/>
                <w:color w:val="auto"/>
                <w:sz w:val="24"/>
              </w:rPr>
              <w:t>《大气污染物综合排放标准》（GB16297-1996）表2无组织排放限值要求</w:t>
            </w:r>
            <w:r>
              <w:rPr>
                <w:rFonts w:hint="eastAsia"/>
                <w:color w:val="auto"/>
                <w:sz w:val="24"/>
              </w:rPr>
              <w:t>。</w:t>
            </w:r>
          </w:p>
          <w:p w14:paraId="4226D344">
            <w:pPr>
              <w:pStyle w:val="61"/>
              <w:snapToGrid/>
              <w:ind w:firstLine="480"/>
              <w:contextualSpacing/>
              <w:jc w:val="left"/>
              <w:rPr>
                <w:rFonts w:hAnsiTheme="minorEastAsia" w:eastAsiaTheme="minorEastAsia"/>
                <w:color w:val="auto"/>
                <w:kern w:val="0"/>
                <w:sz w:val="24"/>
              </w:rPr>
            </w:pPr>
            <w:r>
              <w:rPr>
                <w:rFonts w:hAnsiTheme="minorEastAsia" w:eastAsiaTheme="minorEastAsia"/>
                <w:color w:val="auto"/>
                <w:kern w:val="0"/>
                <w:sz w:val="24"/>
              </w:rPr>
              <w:t>根据</w:t>
            </w:r>
            <w:r>
              <w:rPr>
                <w:rFonts w:hAnsiTheme="minorEastAsia" w:eastAsiaTheme="minorEastAsia"/>
                <w:bCs/>
                <w:color w:val="auto"/>
                <w:kern w:val="0"/>
                <w:sz w:val="24"/>
              </w:rPr>
              <w:t>《大气污染物综合排放标准》（</w:t>
            </w:r>
            <w:r>
              <w:rPr>
                <w:rFonts w:eastAsiaTheme="minorEastAsia"/>
                <w:bCs/>
                <w:color w:val="auto"/>
                <w:kern w:val="0"/>
                <w:sz w:val="24"/>
              </w:rPr>
              <w:t>GB16297-1996</w:t>
            </w:r>
            <w:r>
              <w:rPr>
                <w:rFonts w:hAnsiTheme="minorEastAsia" w:eastAsiaTheme="minorEastAsia"/>
                <w:bCs/>
                <w:color w:val="auto"/>
                <w:kern w:val="0"/>
                <w:sz w:val="24"/>
              </w:rPr>
              <w:t>）</w:t>
            </w:r>
            <w:r>
              <w:rPr>
                <w:rFonts w:hAnsiTheme="minorEastAsia" w:eastAsiaTheme="minorEastAsia"/>
                <w:color w:val="auto"/>
                <w:kern w:val="0"/>
                <w:sz w:val="24"/>
              </w:rPr>
              <w:t>中要求的</w:t>
            </w:r>
            <w:r>
              <w:rPr>
                <w:rFonts w:hint="eastAsia" w:eastAsiaTheme="minorEastAsia"/>
                <w:color w:val="auto"/>
                <w:kern w:val="0"/>
                <w:sz w:val="24"/>
              </w:rPr>
              <w:t>“</w:t>
            </w:r>
            <w:r>
              <w:rPr>
                <w:rFonts w:hint="eastAsia" w:hAnsiTheme="minorEastAsia" w:eastAsiaTheme="minorEastAsia"/>
                <w:color w:val="auto"/>
                <w:kern w:val="0"/>
                <w:sz w:val="24"/>
              </w:rPr>
              <w:t>排气筒</w:t>
            </w:r>
            <w:r>
              <w:rPr>
                <w:rFonts w:hAnsiTheme="minorEastAsia" w:eastAsiaTheme="minorEastAsia"/>
                <w:color w:val="auto"/>
                <w:kern w:val="0"/>
                <w:sz w:val="24"/>
              </w:rPr>
              <w:t>高度高出周围半径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5m以上”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rPr>
              <w:t>7m，本项目排气筒高度为15m和12m，满足要求</w:t>
            </w:r>
            <w:r>
              <w:rPr>
                <w:rFonts w:hAnsiTheme="minorEastAsia" w:eastAsiaTheme="minorEastAsia"/>
                <w:color w:val="auto"/>
                <w:kern w:val="0"/>
                <w:sz w:val="24"/>
              </w:rPr>
              <w:t>。根据</w:t>
            </w:r>
            <w:r>
              <w:rPr>
                <w:bCs/>
                <w:color w:val="auto"/>
                <w:sz w:val="24"/>
              </w:rPr>
              <w:t>《锅炉大气污染物排放标准》（GB13271-2014）</w:t>
            </w:r>
            <w:r>
              <w:rPr>
                <w:rFonts w:hAnsiTheme="minorEastAsia" w:eastAsiaTheme="minorEastAsia"/>
                <w:color w:val="auto"/>
                <w:kern w:val="0"/>
                <w:sz w:val="24"/>
              </w:rPr>
              <w:t>中要求的</w:t>
            </w:r>
            <w:r>
              <w:rPr>
                <w:rFonts w:hint="eastAsia" w:eastAsiaTheme="minorEastAsia"/>
                <w:color w:val="auto"/>
                <w:kern w:val="0"/>
                <w:sz w:val="24"/>
              </w:rPr>
              <w:t>“燃气锅炉烟囱不低于8m，新建锅炉房的烟囱周围</w:t>
            </w:r>
            <w:r>
              <w:rPr>
                <w:rFonts w:hAnsiTheme="minorEastAsia" w:eastAsiaTheme="minorEastAsia"/>
                <w:color w:val="auto"/>
                <w:kern w:val="0"/>
                <w:sz w:val="24"/>
              </w:rPr>
              <w:t>半径</w:t>
            </w:r>
            <w:r>
              <w:rPr>
                <w:rFonts w:eastAsiaTheme="minorEastAsia"/>
                <w:color w:val="auto"/>
                <w:kern w:val="0"/>
                <w:sz w:val="24"/>
              </w:rPr>
              <w:t>200m范围内</w:t>
            </w:r>
            <w:r>
              <w:rPr>
                <w:rFonts w:hint="eastAsia" w:eastAsiaTheme="minorEastAsia"/>
                <w:color w:val="auto"/>
                <w:kern w:val="0"/>
                <w:sz w:val="24"/>
              </w:rPr>
              <w:t>有</w:t>
            </w:r>
            <w:r>
              <w:rPr>
                <w:rFonts w:hAnsiTheme="minorEastAsia" w:eastAsiaTheme="minorEastAsia"/>
                <w:color w:val="auto"/>
                <w:kern w:val="0"/>
                <w:sz w:val="24"/>
              </w:rPr>
              <w:t>建筑物时，其烟囱高出最高建筑物</w:t>
            </w:r>
            <w:r>
              <w:rPr>
                <w:rFonts w:hint="eastAsia" w:hAnsiTheme="minorEastAsia" w:eastAsiaTheme="minorEastAsia"/>
                <w:color w:val="auto"/>
                <w:kern w:val="0"/>
                <w:sz w:val="24"/>
              </w:rPr>
              <w:t>3m以上”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rPr>
              <w:t>7m，本项目锅炉烟囱高度为12m，满足要求</w:t>
            </w:r>
            <w:r>
              <w:rPr>
                <w:rFonts w:hAnsiTheme="minorEastAsia" w:eastAsiaTheme="minorEastAsia"/>
                <w:color w:val="auto"/>
                <w:kern w:val="0"/>
                <w:sz w:val="24"/>
              </w:rPr>
              <w:t>。</w:t>
            </w:r>
          </w:p>
          <w:p w14:paraId="15B15D87">
            <w:pPr>
              <w:pStyle w:val="104"/>
              <w:adjustRightInd/>
              <w:spacing w:line="240" w:lineRule="auto"/>
              <w:ind w:firstLine="482" w:firstLineChars="200"/>
              <w:contextualSpacing/>
              <w:jc w:val="center"/>
              <w:rPr>
                <w:rFonts w:eastAsiaTheme="minorEastAsia"/>
                <w:b/>
                <w:bCs/>
                <w:color w:val="auto"/>
                <w:szCs w:val="24"/>
              </w:rPr>
            </w:pPr>
            <w:r>
              <w:rPr>
                <w:rFonts w:eastAsiaTheme="minorEastAsia"/>
                <w:b/>
                <w:bCs/>
                <w:color w:val="auto"/>
                <w:szCs w:val="24"/>
              </w:rPr>
              <w:t>表3-</w:t>
            </w:r>
            <w:r>
              <w:rPr>
                <w:rFonts w:hint="eastAsia" w:eastAsiaTheme="minorEastAsia"/>
                <w:b/>
                <w:bCs/>
                <w:color w:val="auto"/>
                <w:szCs w:val="24"/>
                <w:lang w:val="en-US" w:eastAsia="zh-CN"/>
              </w:rPr>
              <w:t>5</w:t>
            </w:r>
            <w:r>
              <w:rPr>
                <w:rFonts w:eastAsiaTheme="minorEastAsia"/>
                <w:b/>
                <w:bCs/>
                <w:color w:val="auto"/>
                <w:szCs w:val="24"/>
              </w:rPr>
              <w:t xml:space="preserve"> 锅炉大气污染物排放标准    单位：mg/m</w:t>
            </w:r>
            <w:r>
              <w:rPr>
                <w:rFonts w:eastAsiaTheme="minorEastAsia"/>
                <w:b/>
                <w:bCs/>
                <w:color w:val="auto"/>
                <w:szCs w:val="24"/>
                <w:vertAlign w:val="superscript"/>
              </w:rPr>
              <w:t>3</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0"/>
              <w:gridCol w:w="4048"/>
            </w:tblGrid>
            <w:tr w14:paraId="2132F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Merge w:val="restart"/>
                  <w:vAlign w:val="center"/>
                </w:tcPr>
                <w:p w14:paraId="52854B06">
                  <w:pPr>
                    <w:jc w:val="center"/>
                    <w:rPr>
                      <w:rFonts w:eastAsiaTheme="minorEastAsia"/>
                      <w:color w:val="auto"/>
                      <w:szCs w:val="21"/>
                    </w:rPr>
                  </w:pPr>
                  <w:r>
                    <w:rPr>
                      <w:rFonts w:eastAsiaTheme="minorEastAsia"/>
                      <w:color w:val="auto"/>
                      <w:szCs w:val="21"/>
                    </w:rPr>
                    <w:t>污染物项目</w:t>
                  </w:r>
                </w:p>
              </w:tc>
              <w:tc>
                <w:tcPr>
                  <w:tcW w:w="2496" w:type="pct"/>
                  <w:vAlign w:val="center"/>
                </w:tcPr>
                <w:p w14:paraId="248ED44A">
                  <w:pPr>
                    <w:jc w:val="center"/>
                    <w:rPr>
                      <w:rFonts w:eastAsiaTheme="minorEastAsia"/>
                      <w:color w:val="auto"/>
                      <w:szCs w:val="21"/>
                    </w:rPr>
                  </w:pPr>
                  <w:r>
                    <w:rPr>
                      <w:rFonts w:eastAsiaTheme="minorEastAsia"/>
                      <w:color w:val="auto"/>
                      <w:szCs w:val="21"/>
                    </w:rPr>
                    <w:t>排放限值</w:t>
                  </w:r>
                </w:p>
              </w:tc>
            </w:tr>
            <w:tr w14:paraId="7EC88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Merge w:val="continue"/>
                  <w:vAlign w:val="center"/>
                </w:tcPr>
                <w:p w14:paraId="2AC2B0A4">
                  <w:pPr>
                    <w:jc w:val="center"/>
                    <w:rPr>
                      <w:rFonts w:eastAsiaTheme="minorEastAsia"/>
                      <w:color w:val="auto"/>
                      <w:szCs w:val="21"/>
                    </w:rPr>
                  </w:pPr>
                </w:p>
              </w:tc>
              <w:tc>
                <w:tcPr>
                  <w:tcW w:w="2496" w:type="pct"/>
                  <w:vAlign w:val="center"/>
                </w:tcPr>
                <w:p w14:paraId="5A5037F2">
                  <w:pPr>
                    <w:jc w:val="center"/>
                    <w:rPr>
                      <w:rFonts w:eastAsiaTheme="minorEastAsia"/>
                      <w:color w:val="auto"/>
                      <w:szCs w:val="21"/>
                    </w:rPr>
                  </w:pPr>
                  <w:r>
                    <w:rPr>
                      <w:rFonts w:eastAsiaTheme="minorEastAsia"/>
                      <w:color w:val="auto"/>
                      <w:szCs w:val="21"/>
                    </w:rPr>
                    <w:t>燃</w:t>
                  </w:r>
                  <w:r>
                    <w:rPr>
                      <w:rFonts w:hint="eastAsia" w:eastAsiaTheme="minorEastAsia"/>
                      <w:color w:val="auto"/>
                      <w:szCs w:val="21"/>
                    </w:rPr>
                    <w:t>气</w:t>
                  </w:r>
                  <w:r>
                    <w:rPr>
                      <w:rFonts w:eastAsiaTheme="minorEastAsia"/>
                      <w:color w:val="auto"/>
                      <w:szCs w:val="21"/>
                    </w:rPr>
                    <w:t>锅炉</w:t>
                  </w:r>
                </w:p>
              </w:tc>
            </w:tr>
            <w:tr w14:paraId="3EF18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14:paraId="09605619">
                  <w:pPr>
                    <w:jc w:val="center"/>
                    <w:rPr>
                      <w:rFonts w:eastAsiaTheme="minorEastAsia"/>
                      <w:color w:val="auto"/>
                      <w:szCs w:val="21"/>
                    </w:rPr>
                  </w:pPr>
                  <w:r>
                    <w:rPr>
                      <w:rFonts w:eastAsiaTheme="minorEastAsia"/>
                      <w:color w:val="auto"/>
                      <w:szCs w:val="21"/>
                    </w:rPr>
                    <w:t>颗粒物</w:t>
                  </w:r>
                </w:p>
              </w:tc>
              <w:tc>
                <w:tcPr>
                  <w:tcW w:w="2496" w:type="pct"/>
                  <w:vAlign w:val="center"/>
                </w:tcPr>
                <w:p w14:paraId="06B78565">
                  <w:pPr>
                    <w:jc w:val="center"/>
                    <w:rPr>
                      <w:rFonts w:eastAsiaTheme="minorEastAsia"/>
                      <w:color w:val="auto"/>
                      <w:szCs w:val="21"/>
                    </w:rPr>
                  </w:pPr>
                  <w:r>
                    <w:rPr>
                      <w:rFonts w:hint="eastAsia" w:eastAsiaTheme="minorEastAsia"/>
                      <w:color w:val="auto"/>
                      <w:szCs w:val="21"/>
                    </w:rPr>
                    <w:t>20</w:t>
                  </w:r>
                </w:p>
              </w:tc>
            </w:tr>
            <w:tr w14:paraId="7ABE2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14:paraId="3C6A16C8">
                  <w:pPr>
                    <w:jc w:val="center"/>
                    <w:rPr>
                      <w:rFonts w:eastAsiaTheme="minorEastAsia"/>
                      <w:color w:val="auto"/>
                      <w:szCs w:val="21"/>
                    </w:rPr>
                  </w:pPr>
                  <w:r>
                    <w:rPr>
                      <w:rFonts w:eastAsiaTheme="minorEastAsia"/>
                      <w:color w:val="auto"/>
                      <w:szCs w:val="21"/>
                    </w:rPr>
                    <w:t>二氧化硫</w:t>
                  </w:r>
                </w:p>
              </w:tc>
              <w:tc>
                <w:tcPr>
                  <w:tcW w:w="2496" w:type="pct"/>
                  <w:vAlign w:val="center"/>
                </w:tcPr>
                <w:p w14:paraId="50910D9E">
                  <w:pPr>
                    <w:jc w:val="center"/>
                    <w:rPr>
                      <w:rFonts w:eastAsiaTheme="minorEastAsia"/>
                      <w:color w:val="auto"/>
                      <w:szCs w:val="21"/>
                    </w:rPr>
                  </w:pPr>
                  <w:r>
                    <w:rPr>
                      <w:rFonts w:hint="eastAsia" w:eastAsiaTheme="minorEastAsia"/>
                      <w:color w:val="auto"/>
                      <w:szCs w:val="21"/>
                    </w:rPr>
                    <w:t>50</w:t>
                  </w:r>
                </w:p>
              </w:tc>
            </w:tr>
            <w:tr w14:paraId="6BCF0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14:paraId="0E6D1D3A">
                  <w:pPr>
                    <w:jc w:val="center"/>
                    <w:rPr>
                      <w:rFonts w:eastAsiaTheme="minorEastAsia"/>
                      <w:color w:val="auto"/>
                      <w:szCs w:val="21"/>
                    </w:rPr>
                  </w:pPr>
                  <w:r>
                    <w:rPr>
                      <w:rFonts w:eastAsiaTheme="minorEastAsia"/>
                      <w:color w:val="auto"/>
                      <w:szCs w:val="21"/>
                    </w:rPr>
                    <w:t>氮氧化物</w:t>
                  </w:r>
                </w:p>
              </w:tc>
              <w:tc>
                <w:tcPr>
                  <w:tcW w:w="2496" w:type="pct"/>
                  <w:vAlign w:val="center"/>
                </w:tcPr>
                <w:p w14:paraId="717E8390">
                  <w:pPr>
                    <w:jc w:val="center"/>
                    <w:rPr>
                      <w:rFonts w:eastAsiaTheme="minorEastAsia"/>
                      <w:color w:val="auto"/>
                      <w:szCs w:val="21"/>
                    </w:rPr>
                  </w:pPr>
                  <w:r>
                    <w:rPr>
                      <w:rFonts w:hint="eastAsia" w:eastAsiaTheme="minorEastAsia"/>
                      <w:color w:val="auto"/>
                      <w:szCs w:val="21"/>
                    </w:rPr>
                    <w:t>200</w:t>
                  </w:r>
                </w:p>
              </w:tc>
            </w:tr>
            <w:tr w14:paraId="0A3AD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14:paraId="086218FE">
                  <w:pPr>
                    <w:jc w:val="center"/>
                    <w:rPr>
                      <w:rFonts w:eastAsiaTheme="minorEastAsia"/>
                      <w:color w:val="auto"/>
                      <w:szCs w:val="21"/>
                    </w:rPr>
                  </w:pPr>
                  <w:r>
                    <w:rPr>
                      <w:rFonts w:hint="eastAsia"/>
                      <w:snapToGrid w:val="0"/>
                      <w:color w:val="auto"/>
                      <w:kern w:val="0"/>
                      <w:szCs w:val="21"/>
                    </w:rPr>
                    <w:t>烟气黑度</w:t>
                  </w:r>
                </w:p>
              </w:tc>
              <w:tc>
                <w:tcPr>
                  <w:tcW w:w="2496" w:type="pct"/>
                  <w:vAlign w:val="center"/>
                </w:tcPr>
                <w:p w14:paraId="05C4EA47">
                  <w:pPr>
                    <w:jc w:val="center"/>
                    <w:rPr>
                      <w:rFonts w:eastAsiaTheme="minorEastAsia"/>
                      <w:color w:val="auto"/>
                      <w:szCs w:val="21"/>
                    </w:rPr>
                  </w:pPr>
                  <w:r>
                    <w:rPr>
                      <w:rFonts w:hint="eastAsia" w:eastAsiaTheme="minorEastAsia"/>
                      <w:color w:val="auto"/>
                      <w:szCs w:val="21"/>
                    </w:rPr>
                    <w:t>1级</w:t>
                  </w:r>
                </w:p>
              </w:tc>
            </w:tr>
          </w:tbl>
          <w:p w14:paraId="6942E128">
            <w:pPr>
              <w:pStyle w:val="104"/>
              <w:adjustRightInd/>
              <w:spacing w:line="240" w:lineRule="auto"/>
              <w:ind w:firstLine="482" w:firstLineChars="200"/>
              <w:contextualSpacing/>
              <w:jc w:val="center"/>
              <w:rPr>
                <w:rFonts w:eastAsiaTheme="minorEastAsia"/>
                <w:b/>
                <w:bCs/>
                <w:color w:val="auto"/>
                <w:szCs w:val="24"/>
              </w:rPr>
            </w:pPr>
            <w:r>
              <w:rPr>
                <w:rFonts w:eastAsiaTheme="minorEastAsia"/>
                <w:b/>
                <w:bCs/>
                <w:color w:val="auto"/>
                <w:szCs w:val="24"/>
              </w:rPr>
              <w:t>表3-</w:t>
            </w:r>
            <w:r>
              <w:rPr>
                <w:rFonts w:hint="eastAsia" w:eastAsiaTheme="minorEastAsia"/>
                <w:b/>
                <w:bCs/>
                <w:color w:val="auto"/>
                <w:szCs w:val="24"/>
                <w:lang w:val="en-US" w:eastAsia="zh-CN"/>
              </w:rPr>
              <w:t>6</w:t>
            </w:r>
            <w:r>
              <w:rPr>
                <w:rFonts w:eastAsiaTheme="minorEastAsia"/>
                <w:b/>
                <w:bCs/>
                <w:color w:val="auto"/>
                <w:szCs w:val="24"/>
              </w:rPr>
              <w:t xml:space="preserve"> 大气污染物综合排放标准</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911"/>
              <w:gridCol w:w="964"/>
              <w:gridCol w:w="1321"/>
              <w:gridCol w:w="1299"/>
              <w:gridCol w:w="1250"/>
              <w:gridCol w:w="2363"/>
            </w:tblGrid>
            <w:tr w14:paraId="4330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70" w:hRule="atLeast"/>
              </w:trPr>
              <w:tc>
                <w:tcPr>
                  <w:tcW w:w="0" w:type="auto"/>
                  <w:vMerge w:val="restart"/>
                  <w:vAlign w:val="center"/>
                </w:tcPr>
                <w:p w14:paraId="2F77F3E9">
                  <w:pPr>
                    <w:pStyle w:val="106"/>
                    <w:rPr>
                      <w:rFonts w:eastAsiaTheme="minorEastAsia"/>
                      <w:b/>
                      <w:bCs/>
                      <w:color w:val="auto"/>
                    </w:rPr>
                  </w:pPr>
                  <w:r>
                    <w:rPr>
                      <w:rFonts w:eastAsiaTheme="minorEastAsia"/>
                      <w:b/>
                      <w:bCs/>
                      <w:color w:val="auto"/>
                    </w:rPr>
                    <w:t>废气源</w:t>
                  </w:r>
                </w:p>
              </w:tc>
              <w:tc>
                <w:tcPr>
                  <w:tcW w:w="965" w:type="dxa"/>
                  <w:vMerge w:val="restart"/>
                  <w:vAlign w:val="center"/>
                </w:tcPr>
                <w:p w14:paraId="191151B9">
                  <w:pPr>
                    <w:pStyle w:val="106"/>
                    <w:rPr>
                      <w:rFonts w:eastAsiaTheme="minorEastAsia"/>
                      <w:b/>
                      <w:bCs/>
                      <w:color w:val="auto"/>
                    </w:rPr>
                  </w:pPr>
                  <w:r>
                    <w:rPr>
                      <w:rFonts w:eastAsiaTheme="minorEastAsia"/>
                      <w:b/>
                      <w:bCs/>
                      <w:color w:val="auto"/>
                    </w:rPr>
                    <w:t>污染物</w:t>
                  </w:r>
                </w:p>
              </w:tc>
              <w:tc>
                <w:tcPr>
                  <w:tcW w:w="1321" w:type="dxa"/>
                  <w:vMerge w:val="restart"/>
                  <w:vAlign w:val="center"/>
                </w:tcPr>
                <w:p w14:paraId="2FF9159B">
                  <w:pPr>
                    <w:pStyle w:val="106"/>
                    <w:rPr>
                      <w:rFonts w:eastAsiaTheme="minorEastAsia"/>
                      <w:b/>
                      <w:bCs/>
                      <w:color w:val="auto"/>
                    </w:rPr>
                  </w:pPr>
                  <w:r>
                    <w:rPr>
                      <w:rFonts w:eastAsiaTheme="minorEastAsia"/>
                      <w:b/>
                      <w:bCs/>
                      <w:color w:val="auto"/>
                    </w:rPr>
                    <w:t>最高允许</w:t>
                  </w:r>
                </w:p>
                <w:p w14:paraId="39380985">
                  <w:pPr>
                    <w:pStyle w:val="106"/>
                    <w:rPr>
                      <w:rFonts w:eastAsiaTheme="minorEastAsia"/>
                      <w:b/>
                      <w:bCs/>
                      <w:color w:val="auto"/>
                    </w:rPr>
                  </w:pPr>
                  <w:r>
                    <w:rPr>
                      <w:rFonts w:eastAsiaTheme="minorEastAsia"/>
                      <w:b/>
                      <w:bCs/>
                      <w:color w:val="auto"/>
                    </w:rPr>
                    <w:t>排放浓度（mg/m</w:t>
                  </w:r>
                  <w:r>
                    <w:rPr>
                      <w:rFonts w:eastAsiaTheme="minorEastAsia"/>
                      <w:b/>
                      <w:bCs/>
                      <w:color w:val="auto"/>
                      <w:vertAlign w:val="superscript"/>
                    </w:rPr>
                    <w:t>3</w:t>
                  </w:r>
                  <w:r>
                    <w:rPr>
                      <w:rFonts w:eastAsiaTheme="minorEastAsia"/>
                      <w:b/>
                      <w:bCs/>
                      <w:color w:val="auto"/>
                    </w:rPr>
                    <w:t>）</w:t>
                  </w:r>
                </w:p>
              </w:tc>
              <w:tc>
                <w:tcPr>
                  <w:tcW w:w="0" w:type="auto"/>
                  <w:gridSpan w:val="2"/>
                  <w:vAlign w:val="center"/>
                </w:tcPr>
                <w:p w14:paraId="3E98D77D">
                  <w:pPr>
                    <w:pStyle w:val="106"/>
                    <w:rPr>
                      <w:rFonts w:eastAsiaTheme="minorEastAsia"/>
                      <w:b/>
                      <w:bCs/>
                      <w:color w:val="auto"/>
                    </w:rPr>
                  </w:pPr>
                  <w:r>
                    <w:rPr>
                      <w:rFonts w:eastAsiaTheme="minorEastAsia"/>
                      <w:b/>
                      <w:bCs/>
                      <w:color w:val="auto"/>
                    </w:rPr>
                    <w:t>最高允许排放速率</w:t>
                  </w:r>
                </w:p>
              </w:tc>
              <w:tc>
                <w:tcPr>
                  <w:tcW w:w="0" w:type="auto"/>
                  <w:vMerge w:val="restart"/>
                  <w:vAlign w:val="center"/>
                </w:tcPr>
                <w:p w14:paraId="389DB196">
                  <w:pPr>
                    <w:pStyle w:val="106"/>
                    <w:rPr>
                      <w:rFonts w:eastAsiaTheme="minorEastAsia"/>
                      <w:b/>
                      <w:bCs/>
                      <w:color w:val="auto"/>
                    </w:rPr>
                  </w:pPr>
                  <w:r>
                    <w:rPr>
                      <w:rFonts w:eastAsiaTheme="minorEastAsia"/>
                      <w:b/>
                      <w:bCs/>
                      <w:color w:val="auto"/>
                    </w:rPr>
                    <w:t>无组织排放监控浓度限值（mg/m</w:t>
                  </w:r>
                  <w:r>
                    <w:rPr>
                      <w:rFonts w:eastAsiaTheme="minorEastAsia"/>
                      <w:b/>
                      <w:bCs/>
                      <w:color w:val="auto"/>
                      <w:vertAlign w:val="superscript"/>
                    </w:rPr>
                    <w:t>3</w:t>
                  </w:r>
                  <w:r>
                    <w:rPr>
                      <w:rFonts w:eastAsiaTheme="minorEastAsia"/>
                      <w:b/>
                      <w:bCs/>
                      <w:color w:val="auto"/>
                    </w:rPr>
                    <w:t>）</w:t>
                  </w:r>
                </w:p>
              </w:tc>
            </w:tr>
            <w:tr w14:paraId="74C64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70" w:hRule="atLeast"/>
              </w:trPr>
              <w:tc>
                <w:tcPr>
                  <w:tcW w:w="0" w:type="auto"/>
                  <w:vMerge w:val="continue"/>
                  <w:vAlign w:val="center"/>
                </w:tcPr>
                <w:p w14:paraId="740170C1">
                  <w:pPr>
                    <w:pStyle w:val="106"/>
                    <w:rPr>
                      <w:rFonts w:eastAsiaTheme="minorEastAsia"/>
                      <w:color w:val="auto"/>
                    </w:rPr>
                  </w:pPr>
                </w:p>
              </w:tc>
              <w:tc>
                <w:tcPr>
                  <w:tcW w:w="965" w:type="dxa"/>
                  <w:vMerge w:val="continue"/>
                  <w:vAlign w:val="center"/>
                </w:tcPr>
                <w:p w14:paraId="28ABF6D2">
                  <w:pPr>
                    <w:pStyle w:val="106"/>
                    <w:rPr>
                      <w:rFonts w:eastAsiaTheme="minorEastAsia"/>
                      <w:color w:val="auto"/>
                    </w:rPr>
                  </w:pPr>
                </w:p>
              </w:tc>
              <w:tc>
                <w:tcPr>
                  <w:tcW w:w="1321" w:type="dxa"/>
                  <w:vMerge w:val="continue"/>
                  <w:vAlign w:val="center"/>
                </w:tcPr>
                <w:p w14:paraId="10B8DB0B">
                  <w:pPr>
                    <w:pStyle w:val="106"/>
                    <w:rPr>
                      <w:rFonts w:eastAsiaTheme="minorEastAsia"/>
                      <w:color w:val="auto"/>
                    </w:rPr>
                  </w:pPr>
                </w:p>
              </w:tc>
              <w:tc>
                <w:tcPr>
                  <w:tcW w:w="0" w:type="auto"/>
                  <w:vAlign w:val="center"/>
                </w:tcPr>
                <w:p w14:paraId="20599224">
                  <w:pPr>
                    <w:pStyle w:val="106"/>
                    <w:rPr>
                      <w:rFonts w:eastAsiaTheme="minorEastAsia"/>
                      <w:b/>
                      <w:bCs/>
                      <w:color w:val="auto"/>
                    </w:rPr>
                  </w:pPr>
                  <w:r>
                    <w:rPr>
                      <w:rFonts w:eastAsiaTheme="minorEastAsia"/>
                      <w:b/>
                      <w:bCs/>
                      <w:color w:val="auto"/>
                    </w:rPr>
                    <w:t>排气筒高度（m）</w:t>
                  </w:r>
                </w:p>
              </w:tc>
              <w:tc>
                <w:tcPr>
                  <w:tcW w:w="0" w:type="auto"/>
                  <w:vAlign w:val="center"/>
                </w:tcPr>
                <w:p w14:paraId="3D3B1A6A">
                  <w:pPr>
                    <w:pStyle w:val="106"/>
                    <w:rPr>
                      <w:rFonts w:eastAsiaTheme="minorEastAsia"/>
                      <w:b/>
                      <w:bCs/>
                      <w:color w:val="auto"/>
                    </w:rPr>
                  </w:pPr>
                  <w:r>
                    <w:rPr>
                      <w:rFonts w:eastAsiaTheme="minorEastAsia"/>
                      <w:b/>
                      <w:bCs/>
                      <w:color w:val="auto"/>
                    </w:rPr>
                    <w:t>二级（kg/h）</w:t>
                  </w:r>
                </w:p>
              </w:tc>
              <w:tc>
                <w:tcPr>
                  <w:tcW w:w="0" w:type="auto"/>
                  <w:vMerge w:val="continue"/>
                  <w:vAlign w:val="center"/>
                </w:tcPr>
                <w:p w14:paraId="24BA2D7B">
                  <w:pPr>
                    <w:pStyle w:val="106"/>
                    <w:rPr>
                      <w:rFonts w:eastAsiaTheme="minorEastAsia"/>
                      <w:color w:val="auto"/>
                    </w:rPr>
                  </w:pPr>
                </w:p>
              </w:tc>
            </w:tr>
            <w:tr w14:paraId="6A974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251" w:hRule="atLeast"/>
              </w:trPr>
              <w:tc>
                <w:tcPr>
                  <w:tcW w:w="0" w:type="auto"/>
                  <w:vMerge w:val="restart"/>
                  <w:vAlign w:val="center"/>
                </w:tcPr>
                <w:p w14:paraId="08197983">
                  <w:pPr>
                    <w:pStyle w:val="106"/>
                    <w:rPr>
                      <w:rFonts w:eastAsiaTheme="minorEastAsia"/>
                      <w:color w:val="auto"/>
                    </w:rPr>
                  </w:pPr>
                  <w:r>
                    <w:rPr>
                      <w:rFonts w:eastAsiaTheme="minorEastAsia"/>
                      <w:color w:val="auto"/>
                    </w:rPr>
                    <w:t>沥青烟气</w:t>
                  </w:r>
                </w:p>
              </w:tc>
              <w:tc>
                <w:tcPr>
                  <w:tcW w:w="965" w:type="dxa"/>
                  <w:vAlign w:val="center"/>
                </w:tcPr>
                <w:p w14:paraId="5F5B3238">
                  <w:pPr>
                    <w:pStyle w:val="106"/>
                    <w:rPr>
                      <w:rFonts w:eastAsiaTheme="minorEastAsia"/>
                      <w:color w:val="auto"/>
                    </w:rPr>
                  </w:pPr>
                  <w:r>
                    <w:rPr>
                      <w:rFonts w:eastAsiaTheme="minorEastAsia"/>
                      <w:color w:val="auto"/>
                    </w:rPr>
                    <w:t>苯并[a]芘</w:t>
                  </w:r>
                </w:p>
              </w:tc>
              <w:tc>
                <w:tcPr>
                  <w:tcW w:w="1321" w:type="dxa"/>
                  <w:vAlign w:val="center"/>
                </w:tcPr>
                <w:p w14:paraId="68FBD9AC">
                  <w:pPr>
                    <w:pStyle w:val="106"/>
                    <w:rPr>
                      <w:rFonts w:eastAsiaTheme="minorEastAsia"/>
                      <w:color w:val="auto"/>
                    </w:rPr>
                  </w:pPr>
                  <w:r>
                    <w:rPr>
                      <w:rFonts w:eastAsiaTheme="minorEastAsia"/>
                      <w:color w:val="auto"/>
                    </w:rPr>
                    <w:t>0.30×10</w:t>
                  </w:r>
                  <w:r>
                    <w:rPr>
                      <w:rFonts w:eastAsiaTheme="minorEastAsia"/>
                      <w:color w:val="auto"/>
                      <w:vertAlign w:val="superscript"/>
                    </w:rPr>
                    <w:t>-3</w:t>
                  </w:r>
                </w:p>
              </w:tc>
              <w:tc>
                <w:tcPr>
                  <w:tcW w:w="0" w:type="auto"/>
                  <w:vAlign w:val="center"/>
                </w:tcPr>
                <w:p w14:paraId="7BE9D49E">
                  <w:pPr>
                    <w:pStyle w:val="106"/>
                    <w:rPr>
                      <w:rFonts w:eastAsiaTheme="minorEastAsia"/>
                      <w:color w:val="auto"/>
                    </w:rPr>
                  </w:pPr>
                  <w:r>
                    <w:rPr>
                      <w:rFonts w:hint="eastAsia" w:eastAsiaTheme="minorEastAsia"/>
                      <w:color w:val="auto"/>
                    </w:rPr>
                    <w:t>15</w:t>
                  </w:r>
                </w:p>
              </w:tc>
              <w:tc>
                <w:tcPr>
                  <w:tcW w:w="0" w:type="auto"/>
                  <w:vAlign w:val="center"/>
                </w:tcPr>
                <w:p w14:paraId="501FC496">
                  <w:pPr>
                    <w:pStyle w:val="106"/>
                    <w:rPr>
                      <w:rFonts w:eastAsiaTheme="minorEastAsia"/>
                      <w:color w:val="auto"/>
                    </w:rPr>
                  </w:pPr>
                  <w:r>
                    <w:rPr>
                      <w:rFonts w:eastAsiaTheme="minorEastAsia"/>
                      <w:color w:val="auto"/>
                    </w:rPr>
                    <w:t>0.0</w:t>
                  </w:r>
                  <w:r>
                    <w:rPr>
                      <w:rFonts w:hint="eastAsia" w:eastAsiaTheme="minorEastAsia"/>
                      <w:color w:val="auto"/>
                    </w:rPr>
                    <w:t>50</w:t>
                  </w:r>
                  <w:r>
                    <w:rPr>
                      <w:rFonts w:eastAsiaTheme="minorEastAsia"/>
                      <w:color w:val="auto"/>
                    </w:rPr>
                    <w:t>×10</w:t>
                  </w:r>
                  <w:r>
                    <w:rPr>
                      <w:rFonts w:eastAsiaTheme="minorEastAsia"/>
                      <w:color w:val="auto"/>
                      <w:vertAlign w:val="superscript"/>
                    </w:rPr>
                    <w:t>-3</w:t>
                  </w:r>
                </w:p>
              </w:tc>
              <w:tc>
                <w:tcPr>
                  <w:tcW w:w="0" w:type="auto"/>
                  <w:vAlign w:val="center"/>
                </w:tcPr>
                <w:p w14:paraId="563FE298">
                  <w:pPr>
                    <w:pStyle w:val="106"/>
                    <w:rPr>
                      <w:rFonts w:eastAsiaTheme="minorEastAsia"/>
                      <w:color w:val="auto"/>
                    </w:rPr>
                  </w:pPr>
                  <w:r>
                    <w:rPr>
                      <w:rFonts w:eastAsiaTheme="minorEastAsia"/>
                      <w:color w:val="auto"/>
                    </w:rPr>
                    <w:t>0.008μg/m</w:t>
                  </w:r>
                  <w:r>
                    <w:rPr>
                      <w:rFonts w:eastAsiaTheme="minorEastAsia"/>
                      <w:color w:val="auto"/>
                      <w:vertAlign w:val="superscript"/>
                    </w:rPr>
                    <w:t>3</w:t>
                  </w:r>
                </w:p>
              </w:tc>
            </w:tr>
            <w:tr w14:paraId="70141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251" w:hRule="atLeast"/>
              </w:trPr>
              <w:tc>
                <w:tcPr>
                  <w:tcW w:w="0" w:type="auto"/>
                  <w:vMerge w:val="continue"/>
                  <w:vAlign w:val="center"/>
                </w:tcPr>
                <w:p w14:paraId="781B6FB2">
                  <w:pPr>
                    <w:pStyle w:val="106"/>
                    <w:rPr>
                      <w:rFonts w:eastAsiaTheme="minorEastAsia"/>
                      <w:color w:val="auto"/>
                    </w:rPr>
                  </w:pPr>
                </w:p>
              </w:tc>
              <w:tc>
                <w:tcPr>
                  <w:tcW w:w="965" w:type="dxa"/>
                  <w:vAlign w:val="center"/>
                </w:tcPr>
                <w:p w14:paraId="576E7DDF">
                  <w:pPr>
                    <w:pStyle w:val="106"/>
                    <w:rPr>
                      <w:rFonts w:eastAsiaTheme="minorEastAsia"/>
                      <w:color w:val="auto"/>
                    </w:rPr>
                  </w:pPr>
                  <w:r>
                    <w:rPr>
                      <w:rFonts w:eastAsiaTheme="minorEastAsia"/>
                      <w:color w:val="auto"/>
                    </w:rPr>
                    <w:t>沥青烟</w:t>
                  </w:r>
                </w:p>
              </w:tc>
              <w:tc>
                <w:tcPr>
                  <w:tcW w:w="1321" w:type="dxa"/>
                  <w:vAlign w:val="center"/>
                </w:tcPr>
                <w:p w14:paraId="536B060A">
                  <w:pPr>
                    <w:pStyle w:val="106"/>
                    <w:rPr>
                      <w:rFonts w:eastAsiaTheme="minorEastAsia"/>
                      <w:color w:val="auto"/>
                    </w:rPr>
                  </w:pPr>
                  <w:r>
                    <w:rPr>
                      <w:rFonts w:eastAsiaTheme="minorEastAsia"/>
                      <w:color w:val="auto"/>
                    </w:rPr>
                    <w:t>75</w:t>
                  </w:r>
                </w:p>
              </w:tc>
              <w:tc>
                <w:tcPr>
                  <w:tcW w:w="0" w:type="auto"/>
                  <w:vAlign w:val="center"/>
                </w:tcPr>
                <w:p w14:paraId="3D581A74">
                  <w:pPr>
                    <w:pStyle w:val="106"/>
                    <w:rPr>
                      <w:rFonts w:eastAsiaTheme="minorEastAsia"/>
                      <w:color w:val="auto"/>
                    </w:rPr>
                  </w:pPr>
                  <w:r>
                    <w:rPr>
                      <w:rFonts w:hint="eastAsia" w:eastAsiaTheme="minorEastAsia"/>
                      <w:color w:val="auto"/>
                    </w:rPr>
                    <w:t>15</w:t>
                  </w:r>
                </w:p>
              </w:tc>
              <w:tc>
                <w:tcPr>
                  <w:tcW w:w="0" w:type="auto"/>
                  <w:vAlign w:val="center"/>
                </w:tcPr>
                <w:p w14:paraId="10CBFA40">
                  <w:pPr>
                    <w:pStyle w:val="106"/>
                    <w:rPr>
                      <w:rFonts w:eastAsiaTheme="minorEastAsia"/>
                      <w:color w:val="auto"/>
                    </w:rPr>
                  </w:pPr>
                  <w:r>
                    <w:rPr>
                      <w:rFonts w:hint="eastAsia" w:eastAsiaTheme="minorEastAsia"/>
                      <w:color w:val="auto"/>
                    </w:rPr>
                    <w:t>0.18</w:t>
                  </w:r>
                </w:p>
              </w:tc>
              <w:tc>
                <w:tcPr>
                  <w:tcW w:w="0" w:type="auto"/>
                  <w:vAlign w:val="center"/>
                </w:tcPr>
                <w:p w14:paraId="14C159D1">
                  <w:pPr>
                    <w:pStyle w:val="106"/>
                    <w:rPr>
                      <w:rFonts w:eastAsiaTheme="minorEastAsia"/>
                      <w:color w:val="auto"/>
                    </w:rPr>
                  </w:pPr>
                  <w:r>
                    <w:rPr>
                      <w:rFonts w:eastAsiaTheme="minorEastAsia"/>
                      <w:color w:val="auto"/>
                    </w:rPr>
                    <w:t>生产设备不得有明显无组织排放存在</w:t>
                  </w:r>
                </w:p>
              </w:tc>
            </w:tr>
            <w:tr w14:paraId="4448F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251" w:hRule="atLeast"/>
              </w:trPr>
              <w:tc>
                <w:tcPr>
                  <w:tcW w:w="0" w:type="auto"/>
                  <w:vMerge w:val="continue"/>
                  <w:vAlign w:val="center"/>
                </w:tcPr>
                <w:p w14:paraId="2C2748FC">
                  <w:pPr>
                    <w:pStyle w:val="106"/>
                    <w:rPr>
                      <w:rFonts w:eastAsiaTheme="minorEastAsia"/>
                      <w:color w:val="auto"/>
                    </w:rPr>
                  </w:pPr>
                </w:p>
              </w:tc>
              <w:tc>
                <w:tcPr>
                  <w:tcW w:w="965" w:type="dxa"/>
                  <w:vAlign w:val="center"/>
                </w:tcPr>
                <w:p w14:paraId="27D8E987">
                  <w:pPr>
                    <w:pStyle w:val="106"/>
                    <w:rPr>
                      <w:rFonts w:eastAsiaTheme="minorEastAsia"/>
                      <w:color w:val="auto"/>
                    </w:rPr>
                  </w:pPr>
                  <w:r>
                    <w:rPr>
                      <w:rFonts w:eastAsiaTheme="minorEastAsia"/>
                      <w:color w:val="auto"/>
                    </w:rPr>
                    <w:t>非甲烷总烃</w:t>
                  </w:r>
                </w:p>
              </w:tc>
              <w:tc>
                <w:tcPr>
                  <w:tcW w:w="1321" w:type="dxa"/>
                  <w:vAlign w:val="center"/>
                </w:tcPr>
                <w:p w14:paraId="52DDAF1E">
                  <w:pPr>
                    <w:pStyle w:val="106"/>
                    <w:rPr>
                      <w:rFonts w:eastAsiaTheme="minorEastAsia"/>
                      <w:color w:val="auto"/>
                    </w:rPr>
                  </w:pPr>
                  <w:r>
                    <w:rPr>
                      <w:rFonts w:hint="eastAsia" w:eastAsiaTheme="minorEastAsia"/>
                      <w:color w:val="auto"/>
                    </w:rPr>
                    <w:t>120</w:t>
                  </w:r>
                </w:p>
              </w:tc>
              <w:tc>
                <w:tcPr>
                  <w:tcW w:w="0" w:type="auto"/>
                  <w:vAlign w:val="center"/>
                </w:tcPr>
                <w:p w14:paraId="61FE42A6">
                  <w:pPr>
                    <w:pStyle w:val="106"/>
                    <w:rPr>
                      <w:rFonts w:eastAsiaTheme="minorEastAsia"/>
                      <w:color w:val="auto"/>
                    </w:rPr>
                  </w:pPr>
                  <w:r>
                    <w:rPr>
                      <w:rFonts w:hint="eastAsia" w:eastAsiaTheme="minorEastAsia"/>
                      <w:color w:val="auto"/>
                    </w:rPr>
                    <w:t>15</w:t>
                  </w:r>
                </w:p>
              </w:tc>
              <w:tc>
                <w:tcPr>
                  <w:tcW w:w="0" w:type="auto"/>
                  <w:vAlign w:val="center"/>
                </w:tcPr>
                <w:p w14:paraId="718BBB9F">
                  <w:pPr>
                    <w:pStyle w:val="106"/>
                    <w:rPr>
                      <w:rFonts w:eastAsiaTheme="minorEastAsia"/>
                      <w:color w:val="auto"/>
                    </w:rPr>
                  </w:pPr>
                  <w:r>
                    <w:rPr>
                      <w:rFonts w:hint="eastAsia" w:eastAsiaTheme="minorEastAsia"/>
                      <w:color w:val="auto"/>
                    </w:rPr>
                    <w:t>10</w:t>
                  </w:r>
                </w:p>
              </w:tc>
              <w:tc>
                <w:tcPr>
                  <w:tcW w:w="0" w:type="auto"/>
                  <w:vAlign w:val="center"/>
                </w:tcPr>
                <w:p w14:paraId="16CCF967">
                  <w:pPr>
                    <w:pStyle w:val="106"/>
                    <w:rPr>
                      <w:rFonts w:eastAsiaTheme="minorEastAsia"/>
                      <w:color w:val="auto"/>
                    </w:rPr>
                  </w:pPr>
                  <w:r>
                    <w:rPr>
                      <w:snapToGrid w:val="0"/>
                      <w:color w:val="auto"/>
                      <w:kern w:val="0"/>
                    </w:rPr>
                    <w:t>周界外浓度最高点</w:t>
                  </w:r>
                  <w:r>
                    <w:rPr>
                      <w:rFonts w:hint="eastAsia" w:eastAsiaTheme="minorEastAsia"/>
                      <w:color w:val="auto"/>
                    </w:rPr>
                    <w:t>4</w:t>
                  </w:r>
                  <w:r>
                    <w:rPr>
                      <w:rFonts w:eastAsiaTheme="minorEastAsia"/>
                      <w:color w:val="auto"/>
                    </w:rPr>
                    <w:t>.0</w:t>
                  </w:r>
                </w:p>
              </w:tc>
            </w:tr>
            <w:tr w14:paraId="615F0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0" w:type="auto"/>
                  <w:vAlign w:val="center"/>
                </w:tcPr>
                <w:p w14:paraId="3B1336A9">
                  <w:pPr>
                    <w:pStyle w:val="106"/>
                    <w:rPr>
                      <w:rFonts w:eastAsiaTheme="minorEastAsia"/>
                      <w:color w:val="auto"/>
                    </w:rPr>
                  </w:pPr>
                  <w:r>
                    <w:rPr>
                      <w:rFonts w:hint="eastAsia" w:eastAsiaTheme="minorEastAsia"/>
                      <w:color w:val="auto"/>
                    </w:rPr>
                    <w:t>无组织</w:t>
                  </w:r>
                  <w:r>
                    <w:rPr>
                      <w:rFonts w:eastAsiaTheme="minorEastAsia"/>
                      <w:color w:val="auto"/>
                    </w:rPr>
                    <w:t>粉尘</w:t>
                  </w:r>
                </w:p>
              </w:tc>
              <w:tc>
                <w:tcPr>
                  <w:tcW w:w="965" w:type="dxa"/>
                  <w:vAlign w:val="center"/>
                </w:tcPr>
                <w:p w14:paraId="0F7FCDF3">
                  <w:pPr>
                    <w:pStyle w:val="106"/>
                    <w:rPr>
                      <w:rFonts w:eastAsiaTheme="minorEastAsia"/>
                      <w:color w:val="auto"/>
                    </w:rPr>
                  </w:pPr>
                  <w:r>
                    <w:rPr>
                      <w:rFonts w:eastAsiaTheme="minorEastAsia"/>
                      <w:color w:val="auto"/>
                    </w:rPr>
                    <w:t>颗粒物</w:t>
                  </w:r>
                </w:p>
              </w:tc>
              <w:tc>
                <w:tcPr>
                  <w:tcW w:w="1321" w:type="dxa"/>
                  <w:vAlign w:val="center"/>
                </w:tcPr>
                <w:p w14:paraId="4B09BD17">
                  <w:pPr>
                    <w:pStyle w:val="106"/>
                    <w:rPr>
                      <w:rFonts w:eastAsiaTheme="minorEastAsia"/>
                      <w:color w:val="auto"/>
                    </w:rPr>
                  </w:pPr>
                  <w:r>
                    <w:rPr>
                      <w:rFonts w:hint="eastAsia" w:eastAsiaTheme="minorEastAsia"/>
                      <w:color w:val="auto"/>
                    </w:rPr>
                    <w:t>/</w:t>
                  </w:r>
                </w:p>
              </w:tc>
              <w:tc>
                <w:tcPr>
                  <w:tcW w:w="0" w:type="auto"/>
                  <w:vAlign w:val="center"/>
                </w:tcPr>
                <w:p w14:paraId="70F1DF35">
                  <w:pPr>
                    <w:pStyle w:val="106"/>
                    <w:rPr>
                      <w:rFonts w:eastAsiaTheme="minorEastAsia"/>
                      <w:color w:val="auto"/>
                    </w:rPr>
                  </w:pPr>
                  <w:r>
                    <w:rPr>
                      <w:rFonts w:hint="eastAsia" w:eastAsiaTheme="minorEastAsia"/>
                      <w:color w:val="auto"/>
                    </w:rPr>
                    <w:t>/</w:t>
                  </w:r>
                </w:p>
              </w:tc>
              <w:tc>
                <w:tcPr>
                  <w:tcW w:w="0" w:type="auto"/>
                  <w:vAlign w:val="center"/>
                </w:tcPr>
                <w:p w14:paraId="34B7D54C">
                  <w:pPr>
                    <w:pStyle w:val="106"/>
                    <w:rPr>
                      <w:rFonts w:eastAsiaTheme="minorEastAsia"/>
                      <w:color w:val="auto"/>
                    </w:rPr>
                  </w:pPr>
                  <w:r>
                    <w:rPr>
                      <w:rFonts w:hint="eastAsia" w:eastAsiaTheme="minorEastAsia"/>
                      <w:color w:val="auto"/>
                    </w:rPr>
                    <w:t>/</w:t>
                  </w:r>
                </w:p>
              </w:tc>
              <w:tc>
                <w:tcPr>
                  <w:tcW w:w="0" w:type="auto"/>
                  <w:vAlign w:val="center"/>
                </w:tcPr>
                <w:p w14:paraId="5DC1BC2B">
                  <w:pPr>
                    <w:pStyle w:val="106"/>
                    <w:rPr>
                      <w:rFonts w:eastAsiaTheme="minorEastAsia"/>
                      <w:color w:val="auto"/>
                    </w:rPr>
                  </w:pPr>
                  <w:r>
                    <w:rPr>
                      <w:snapToGrid w:val="0"/>
                      <w:color w:val="auto"/>
                      <w:kern w:val="0"/>
                    </w:rPr>
                    <w:t>周界外浓度最高点</w:t>
                  </w:r>
                  <w:r>
                    <w:rPr>
                      <w:rFonts w:eastAsiaTheme="minorEastAsia"/>
                      <w:color w:val="auto"/>
                    </w:rPr>
                    <w:t>1.0</w:t>
                  </w:r>
                </w:p>
              </w:tc>
            </w:tr>
            <w:tr w14:paraId="6F22D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0" w:type="auto"/>
                  <w:vMerge w:val="restart"/>
                  <w:vAlign w:val="center"/>
                </w:tcPr>
                <w:p w14:paraId="21A1DDB2">
                  <w:pPr>
                    <w:pStyle w:val="106"/>
                    <w:rPr>
                      <w:rFonts w:eastAsiaTheme="minorEastAsia"/>
                      <w:color w:val="auto"/>
                    </w:rPr>
                  </w:pPr>
                  <w:r>
                    <w:rPr>
                      <w:rFonts w:hint="eastAsia" w:eastAsiaTheme="minorEastAsia"/>
                      <w:color w:val="auto"/>
                    </w:rPr>
                    <w:t>除尘</w:t>
                  </w:r>
                  <w:r>
                    <w:rPr>
                      <w:rFonts w:eastAsiaTheme="minorEastAsia"/>
                      <w:color w:val="auto"/>
                    </w:rPr>
                    <w:t>系统废气</w:t>
                  </w:r>
                </w:p>
              </w:tc>
              <w:tc>
                <w:tcPr>
                  <w:tcW w:w="965" w:type="dxa"/>
                  <w:vAlign w:val="center"/>
                </w:tcPr>
                <w:p w14:paraId="79D4CFB5">
                  <w:pPr>
                    <w:pStyle w:val="106"/>
                    <w:rPr>
                      <w:rFonts w:eastAsiaTheme="minorEastAsia"/>
                      <w:color w:val="auto"/>
                    </w:rPr>
                  </w:pPr>
                  <w:r>
                    <w:rPr>
                      <w:rFonts w:eastAsiaTheme="minorEastAsia"/>
                      <w:color w:val="auto"/>
                    </w:rPr>
                    <w:t>颗粒物</w:t>
                  </w:r>
                </w:p>
              </w:tc>
              <w:tc>
                <w:tcPr>
                  <w:tcW w:w="1321" w:type="dxa"/>
                  <w:vAlign w:val="center"/>
                </w:tcPr>
                <w:p w14:paraId="578E9EA8">
                  <w:pPr>
                    <w:pStyle w:val="106"/>
                    <w:rPr>
                      <w:rFonts w:eastAsiaTheme="minorEastAsia"/>
                      <w:color w:val="auto"/>
                    </w:rPr>
                  </w:pPr>
                  <w:r>
                    <w:rPr>
                      <w:rFonts w:eastAsiaTheme="minorEastAsia"/>
                      <w:color w:val="auto"/>
                    </w:rPr>
                    <w:t>120</w:t>
                  </w:r>
                </w:p>
              </w:tc>
              <w:tc>
                <w:tcPr>
                  <w:tcW w:w="0" w:type="auto"/>
                  <w:vMerge w:val="restart"/>
                  <w:vAlign w:val="center"/>
                </w:tcPr>
                <w:p w14:paraId="5EE5ADE9">
                  <w:pPr>
                    <w:pStyle w:val="106"/>
                    <w:rPr>
                      <w:rFonts w:eastAsiaTheme="minorEastAsia"/>
                      <w:color w:val="auto"/>
                    </w:rPr>
                  </w:pPr>
                  <w:r>
                    <w:rPr>
                      <w:rFonts w:hint="eastAsia" w:eastAsiaTheme="minorEastAsia"/>
                      <w:color w:val="auto"/>
                    </w:rPr>
                    <w:t>15</w:t>
                  </w:r>
                </w:p>
              </w:tc>
              <w:tc>
                <w:tcPr>
                  <w:tcW w:w="0" w:type="auto"/>
                  <w:vAlign w:val="center"/>
                </w:tcPr>
                <w:p w14:paraId="653C60C8">
                  <w:pPr>
                    <w:pStyle w:val="106"/>
                    <w:rPr>
                      <w:rFonts w:eastAsiaTheme="minorEastAsia"/>
                      <w:color w:val="auto"/>
                    </w:rPr>
                  </w:pPr>
                  <w:r>
                    <w:rPr>
                      <w:rFonts w:hint="eastAsia" w:eastAsiaTheme="minorEastAsia"/>
                      <w:color w:val="auto"/>
                    </w:rPr>
                    <w:t>3.5</w:t>
                  </w:r>
                </w:p>
              </w:tc>
              <w:tc>
                <w:tcPr>
                  <w:tcW w:w="0" w:type="auto"/>
                  <w:vAlign w:val="center"/>
                </w:tcPr>
                <w:p w14:paraId="22787407">
                  <w:pPr>
                    <w:pStyle w:val="106"/>
                    <w:rPr>
                      <w:rFonts w:eastAsiaTheme="minorEastAsia"/>
                      <w:color w:val="auto"/>
                    </w:rPr>
                  </w:pPr>
                  <w:r>
                    <w:rPr>
                      <w:rFonts w:eastAsiaTheme="minorEastAsia"/>
                      <w:color w:val="auto"/>
                    </w:rPr>
                    <w:t>/</w:t>
                  </w:r>
                </w:p>
              </w:tc>
            </w:tr>
            <w:tr w14:paraId="4DA9E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0" w:type="auto"/>
                  <w:vMerge w:val="continue"/>
                  <w:vAlign w:val="center"/>
                </w:tcPr>
                <w:p w14:paraId="3CAE2DBF">
                  <w:pPr>
                    <w:pStyle w:val="106"/>
                    <w:rPr>
                      <w:rFonts w:eastAsiaTheme="minorEastAsia"/>
                      <w:color w:val="auto"/>
                    </w:rPr>
                  </w:pPr>
                </w:p>
              </w:tc>
              <w:tc>
                <w:tcPr>
                  <w:tcW w:w="965" w:type="dxa"/>
                  <w:vAlign w:val="center"/>
                </w:tcPr>
                <w:p w14:paraId="6774C2CF">
                  <w:pPr>
                    <w:jc w:val="center"/>
                    <w:rPr>
                      <w:rFonts w:eastAsiaTheme="minorEastAsia"/>
                      <w:color w:val="auto"/>
                      <w:szCs w:val="21"/>
                    </w:rPr>
                  </w:pPr>
                  <w:r>
                    <w:rPr>
                      <w:rFonts w:eastAsiaTheme="minorEastAsia"/>
                      <w:color w:val="auto"/>
                      <w:szCs w:val="21"/>
                    </w:rPr>
                    <w:t>二氧化硫</w:t>
                  </w:r>
                </w:p>
              </w:tc>
              <w:tc>
                <w:tcPr>
                  <w:tcW w:w="1321" w:type="dxa"/>
                  <w:vAlign w:val="center"/>
                </w:tcPr>
                <w:p w14:paraId="10CCF9FE">
                  <w:pPr>
                    <w:pStyle w:val="106"/>
                    <w:rPr>
                      <w:rFonts w:eastAsiaTheme="minorEastAsia"/>
                      <w:color w:val="auto"/>
                    </w:rPr>
                  </w:pPr>
                  <w:r>
                    <w:rPr>
                      <w:rFonts w:eastAsiaTheme="minorEastAsia"/>
                      <w:color w:val="auto"/>
                    </w:rPr>
                    <w:t>550</w:t>
                  </w:r>
                </w:p>
              </w:tc>
              <w:tc>
                <w:tcPr>
                  <w:tcW w:w="0" w:type="auto"/>
                  <w:vMerge w:val="continue"/>
                  <w:vAlign w:val="center"/>
                </w:tcPr>
                <w:p w14:paraId="21B896CB">
                  <w:pPr>
                    <w:pStyle w:val="106"/>
                    <w:rPr>
                      <w:rFonts w:eastAsiaTheme="minorEastAsia"/>
                      <w:color w:val="auto"/>
                    </w:rPr>
                  </w:pPr>
                </w:p>
              </w:tc>
              <w:tc>
                <w:tcPr>
                  <w:tcW w:w="0" w:type="auto"/>
                  <w:vAlign w:val="center"/>
                </w:tcPr>
                <w:p w14:paraId="3C1FA3FE">
                  <w:pPr>
                    <w:pStyle w:val="106"/>
                    <w:rPr>
                      <w:rFonts w:eastAsiaTheme="minorEastAsia"/>
                      <w:color w:val="auto"/>
                    </w:rPr>
                  </w:pPr>
                  <w:r>
                    <w:rPr>
                      <w:rFonts w:hint="eastAsia" w:eastAsiaTheme="minorEastAsia"/>
                      <w:color w:val="auto"/>
                    </w:rPr>
                    <w:t>2.6</w:t>
                  </w:r>
                </w:p>
              </w:tc>
              <w:tc>
                <w:tcPr>
                  <w:tcW w:w="0" w:type="auto"/>
                  <w:vAlign w:val="center"/>
                </w:tcPr>
                <w:p w14:paraId="464BC201">
                  <w:pPr>
                    <w:pStyle w:val="106"/>
                    <w:rPr>
                      <w:rFonts w:eastAsiaTheme="minorEastAsia"/>
                      <w:color w:val="auto"/>
                    </w:rPr>
                  </w:pPr>
                  <w:r>
                    <w:rPr>
                      <w:rFonts w:eastAsiaTheme="minorEastAsia"/>
                      <w:color w:val="auto"/>
                    </w:rPr>
                    <w:t>/</w:t>
                  </w:r>
                </w:p>
              </w:tc>
            </w:tr>
            <w:tr w14:paraId="6192F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0" w:type="auto"/>
                  <w:vMerge w:val="continue"/>
                  <w:vAlign w:val="center"/>
                </w:tcPr>
                <w:p w14:paraId="59E8BE6E">
                  <w:pPr>
                    <w:pStyle w:val="106"/>
                    <w:rPr>
                      <w:rFonts w:eastAsiaTheme="minorEastAsia"/>
                      <w:color w:val="auto"/>
                    </w:rPr>
                  </w:pPr>
                </w:p>
              </w:tc>
              <w:tc>
                <w:tcPr>
                  <w:tcW w:w="965" w:type="dxa"/>
                  <w:vAlign w:val="center"/>
                </w:tcPr>
                <w:p w14:paraId="67CF20F1">
                  <w:pPr>
                    <w:jc w:val="center"/>
                    <w:rPr>
                      <w:rFonts w:eastAsiaTheme="minorEastAsia"/>
                      <w:color w:val="auto"/>
                      <w:szCs w:val="21"/>
                    </w:rPr>
                  </w:pPr>
                  <w:r>
                    <w:rPr>
                      <w:rFonts w:eastAsiaTheme="minorEastAsia"/>
                      <w:color w:val="auto"/>
                      <w:szCs w:val="21"/>
                    </w:rPr>
                    <w:t>氮氧化物</w:t>
                  </w:r>
                </w:p>
              </w:tc>
              <w:tc>
                <w:tcPr>
                  <w:tcW w:w="1321" w:type="dxa"/>
                  <w:vAlign w:val="center"/>
                </w:tcPr>
                <w:p w14:paraId="7657FB45">
                  <w:pPr>
                    <w:pStyle w:val="106"/>
                    <w:rPr>
                      <w:rFonts w:eastAsiaTheme="minorEastAsia"/>
                      <w:color w:val="auto"/>
                    </w:rPr>
                  </w:pPr>
                  <w:r>
                    <w:rPr>
                      <w:rFonts w:eastAsiaTheme="minorEastAsia"/>
                      <w:color w:val="auto"/>
                    </w:rPr>
                    <w:t>240</w:t>
                  </w:r>
                </w:p>
              </w:tc>
              <w:tc>
                <w:tcPr>
                  <w:tcW w:w="0" w:type="auto"/>
                  <w:vMerge w:val="continue"/>
                  <w:vAlign w:val="center"/>
                </w:tcPr>
                <w:p w14:paraId="66D097BF">
                  <w:pPr>
                    <w:pStyle w:val="106"/>
                    <w:rPr>
                      <w:rFonts w:eastAsiaTheme="minorEastAsia"/>
                      <w:color w:val="auto"/>
                    </w:rPr>
                  </w:pPr>
                </w:p>
              </w:tc>
              <w:tc>
                <w:tcPr>
                  <w:tcW w:w="0" w:type="auto"/>
                  <w:vAlign w:val="center"/>
                </w:tcPr>
                <w:p w14:paraId="5DD3E453">
                  <w:pPr>
                    <w:pStyle w:val="106"/>
                    <w:rPr>
                      <w:rFonts w:eastAsiaTheme="minorEastAsia"/>
                      <w:color w:val="auto"/>
                    </w:rPr>
                  </w:pPr>
                  <w:r>
                    <w:rPr>
                      <w:rFonts w:hint="eastAsia" w:eastAsiaTheme="minorEastAsia"/>
                      <w:color w:val="auto"/>
                    </w:rPr>
                    <w:t>0.77</w:t>
                  </w:r>
                </w:p>
              </w:tc>
              <w:tc>
                <w:tcPr>
                  <w:tcW w:w="0" w:type="auto"/>
                  <w:vAlign w:val="center"/>
                </w:tcPr>
                <w:p w14:paraId="15C88EA5">
                  <w:pPr>
                    <w:pStyle w:val="106"/>
                    <w:rPr>
                      <w:rFonts w:eastAsiaTheme="minorEastAsia"/>
                      <w:color w:val="auto"/>
                    </w:rPr>
                  </w:pPr>
                  <w:r>
                    <w:rPr>
                      <w:rFonts w:eastAsiaTheme="minorEastAsia"/>
                      <w:color w:val="auto"/>
                    </w:rPr>
                    <w:t>/</w:t>
                  </w:r>
                </w:p>
              </w:tc>
            </w:tr>
          </w:tbl>
          <w:p w14:paraId="1ADE32B2">
            <w:pPr>
              <w:jc w:val="center"/>
              <w:rPr>
                <w:b/>
                <w:color w:val="auto"/>
                <w:sz w:val="24"/>
              </w:rPr>
            </w:pPr>
            <w:r>
              <w:rPr>
                <w:rFonts w:hint="eastAsia"/>
                <w:b/>
                <w:color w:val="auto"/>
                <w:sz w:val="24"/>
              </w:rPr>
              <w:t>表3-</w:t>
            </w:r>
            <w:r>
              <w:rPr>
                <w:rFonts w:hint="eastAsia"/>
                <w:b/>
                <w:color w:val="auto"/>
                <w:sz w:val="24"/>
                <w:lang w:val="en-US" w:eastAsia="zh-CN"/>
              </w:rPr>
              <w:t>7</w:t>
            </w:r>
            <w:r>
              <w:rPr>
                <w:rFonts w:hint="eastAsia"/>
                <w:b/>
                <w:color w:val="auto"/>
                <w:sz w:val="24"/>
              </w:rPr>
              <w:t xml:space="preserve"> 无组织非甲烷总烃排放标准</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0" w:type="dxa"/>
                <w:bottom w:w="0" w:type="dxa"/>
                <w:right w:w="60" w:type="dxa"/>
              </w:tblCellMar>
            </w:tblPr>
            <w:tblGrid>
              <w:gridCol w:w="1138"/>
              <w:gridCol w:w="1389"/>
              <w:gridCol w:w="3439"/>
              <w:gridCol w:w="2142"/>
            </w:tblGrid>
            <w:tr w14:paraId="2F5F6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62" w:hRule="atLeast"/>
                <w:jc w:val="center"/>
              </w:trPr>
              <w:tc>
                <w:tcPr>
                  <w:tcW w:w="2552" w:type="dxa"/>
                  <w:gridSpan w:val="2"/>
                  <w:vAlign w:val="center"/>
                </w:tcPr>
                <w:p w14:paraId="07AD7961">
                  <w:pPr>
                    <w:pStyle w:val="106"/>
                    <w:rPr>
                      <w:rFonts w:eastAsiaTheme="minorEastAsia"/>
                      <w:color w:val="auto"/>
                    </w:rPr>
                  </w:pPr>
                  <w:r>
                    <w:rPr>
                      <w:rFonts w:eastAsiaTheme="minorEastAsia"/>
                      <w:color w:val="auto"/>
                    </w:rPr>
                    <w:t>污染物</w:t>
                  </w:r>
                </w:p>
              </w:tc>
              <w:tc>
                <w:tcPr>
                  <w:tcW w:w="3474" w:type="dxa"/>
                  <w:vAlign w:val="center"/>
                </w:tcPr>
                <w:p w14:paraId="18958DD4">
                  <w:pPr>
                    <w:pStyle w:val="106"/>
                    <w:rPr>
                      <w:rFonts w:eastAsiaTheme="minorEastAsia"/>
                      <w:color w:val="auto"/>
                    </w:rPr>
                  </w:pPr>
                  <w:r>
                    <w:rPr>
                      <w:rFonts w:eastAsiaTheme="minorEastAsia"/>
                      <w:color w:val="auto"/>
                    </w:rPr>
                    <w:t>排放限值</w:t>
                  </w:r>
                </w:p>
              </w:tc>
              <w:tc>
                <w:tcPr>
                  <w:tcW w:w="2146" w:type="dxa"/>
                  <w:vAlign w:val="center"/>
                </w:tcPr>
                <w:p w14:paraId="3751F1DA">
                  <w:pPr>
                    <w:pStyle w:val="106"/>
                    <w:rPr>
                      <w:rFonts w:eastAsiaTheme="minorEastAsia"/>
                      <w:color w:val="auto"/>
                    </w:rPr>
                  </w:pPr>
                  <w:r>
                    <w:rPr>
                      <w:rFonts w:eastAsiaTheme="minorEastAsia"/>
                      <w:color w:val="auto"/>
                    </w:rPr>
                    <w:t>标准</w:t>
                  </w:r>
                  <w:r>
                    <w:rPr>
                      <w:rFonts w:hint="eastAsia" w:eastAsiaTheme="minorEastAsia"/>
                      <w:color w:val="auto"/>
                    </w:rPr>
                    <w:t>来源</w:t>
                  </w:r>
                </w:p>
              </w:tc>
            </w:tr>
            <w:tr w14:paraId="0F3C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84" w:hRule="atLeast"/>
                <w:jc w:val="center"/>
              </w:trPr>
              <w:tc>
                <w:tcPr>
                  <w:tcW w:w="1149" w:type="dxa"/>
                  <w:vMerge w:val="restart"/>
                  <w:vAlign w:val="center"/>
                </w:tcPr>
                <w:p w14:paraId="62A499D6">
                  <w:pPr>
                    <w:pStyle w:val="106"/>
                    <w:rPr>
                      <w:rFonts w:eastAsiaTheme="minorEastAsia"/>
                      <w:color w:val="auto"/>
                    </w:rPr>
                  </w:pPr>
                  <w:r>
                    <w:rPr>
                      <w:rFonts w:eastAsiaTheme="minorEastAsia"/>
                      <w:color w:val="auto"/>
                    </w:rPr>
                    <w:t>无</w:t>
                  </w:r>
                  <w:r>
                    <w:rPr>
                      <w:rFonts w:hint="eastAsia" w:eastAsiaTheme="minorEastAsia"/>
                      <w:color w:val="auto"/>
                    </w:rPr>
                    <w:t>组</w:t>
                  </w:r>
                  <w:r>
                    <w:rPr>
                      <w:rFonts w:eastAsiaTheme="minorEastAsia"/>
                      <w:color w:val="auto"/>
                    </w:rPr>
                    <w:t>织</w:t>
                  </w:r>
                </w:p>
              </w:tc>
              <w:tc>
                <w:tcPr>
                  <w:tcW w:w="1404" w:type="dxa"/>
                  <w:vMerge w:val="restart"/>
                  <w:vAlign w:val="center"/>
                </w:tcPr>
                <w:p w14:paraId="260C9334">
                  <w:pPr>
                    <w:pStyle w:val="106"/>
                    <w:rPr>
                      <w:rFonts w:eastAsiaTheme="minorEastAsia"/>
                      <w:color w:val="auto"/>
                    </w:rPr>
                  </w:pPr>
                  <w:r>
                    <w:rPr>
                      <w:rFonts w:hint="eastAsia" w:eastAsiaTheme="minorEastAsia"/>
                      <w:color w:val="auto"/>
                    </w:rPr>
                    <w:t>非甲烷总烃</w:t>
                  </w:r>
                </w:p>
              </w:tc>
              <w:tc>
                <w:tcPr>
                  <w:tcW w:w="3474" w:type="dxa"/>
                  <w:vAlign w:val="center"/>
                </w:tcPr>
                <w:p w14:paraId="4FA2BE63">
                  <w:pPr>
                    <w:pStyle w:val="106"/>
                    <w:rPr>
                      <w:rFonts w:eastAsiaTheme="minorEastAsia"/>
                      <w:color w:val="auto"/>
                    </w:rPr>
                  </w:pPr>
                  <w:r>
                    <w:rPr>
                      <w:rFonts w:hint="eastAsia" w:eastAsiaTheme="minorEastAsia"/>
                      <w:color w:val="auto"/>
                    </w:rPr>
                    <w:t>4.0</w:t>
                  </w:r>
                  <w:r>
                    <w:rPr>
                      <w:rFonts w:eastAsiaTheme="minorEastAsia"/>
                      <w:color w:val="auto"/>
                    </w:rPr>
                    <w:t>mg/m</w:t>
                  </w:r>
                  <w:r>
                    <w:rPr>
                      <w:rFonts w:eastAsiaTheme="minorEastAsia"/>
                      <w:color w:val="auto"/>
                      <w:vertAlign w:val="superscript"/>
                    </w:rPr>
                    <w:t>3</w:t>
                  </w:r>
                </w:p>
              </w:tc>
              <w:tc>
                <w:tcPr>
                  <w:tcW w:w="2146" w:type="dxa"/>
                  <w:vAlign w:val="center"/>
                </w:tcPr>
                <w:p w14:paraId="2072C1F6">
                  <w:pPr>
                    <w:pStyle w:val="106"/>
                    <w:rPr>
                      <w:rFonts w:eastAsiaTheme="minorEastAsia"/>
                      <w:color w:val="auto"/>
                    </w:rPr>
                  </w:pPr>
                  <w:r>
                    <w:rPr>
                      <w:rFonts w:eastAsiaTheme="minorEastAsia"/>
                      <w:color w:val="auto"/>
                    </w:rPr>
                    <w:t>（GB16297-1996）</w:t>
                  </w:r>
                </w:p>
              </w:tc>
            </w:tr>
            <w:tr w14:paraId="18F5F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84" w:hRule="atLeast"/>
                <w:jc w:val="center"/>
              </w:trPr>
              <w:tc>
                <w:tcPr>
                  <w:tcW w:w="1149" w:type="dxa"/>
                  <w:vMerge w:val="continue"/>
                  <w:vAlign w:val="center"/>
                </w:tcPr>
                <w:p w14:paraId="6BCB0C6F">
                  <w:pPr>
                    <w:pStyle w:val="106"/>
                    <w:rPr>
                      <w:rFonts w:eastAsiaTheme="minorEastAsia"/>
                      <w:color w:val="auto"/>
                    </w:rPr>
                  </w:pPr>
                </w:p>
              </w:tc>
              <w:tc>
                <w:tcPr>
                  <w:tcW w:w="1404" w:type="dxa"/>
                  <w:vMerge w:val="continue"/>
                  <w:vAlign w:val="center"/>
                </w:tcPr>
                <w:p w14:paraId="081FB5AF">
                  <w:pPr>
                    <w:pStyle w:val="106"/>
                    <w:rPr>
                      <w:rFonts w:eastAsiaTheme="minorEastAsia"/>
                      <w:color w:val="auto"/>
                    </w:rPr>
                  </w:pPr>
                </w:p>
              </w:tc>
              <w:tc>
                <w:tcPr>
                  <w:tcW w:w="3474" w:type="dxa"/>
                  <w:vAlign w:val="center"/>
                </w:tcPr>
                <w:p w14:paraId="4043A2DE">
                  <w:pPr>
                    <w:pStyle w:val="106"/>
                    <w:rPr>
                      <w:rFonts w:eastAsiaTheme="minorEastAsia"/>
                      <w:color w:val="auto"/>
                    </w:rPr>
                  </w:pPr>
                  <w:r>
                    <w:rPr>
                      <w:rFonts w:hint="eastAsia" w:eastAsiaTheme="minorEastAsia"/>
                      <w:color w:val="auto"/>
                    </w:rPr>
                    <w:t>1h平均浓度＜10mg/m</w:t>
                  </w:r>
                  <w:r>
                    <w:rPr>
                      <w:rFonts w:hint="eastAsia" w:eastAsiaTheme="minorEastAsia"/>
                      <w:color w:val="auto"/>
                      <w:vertAlign w:val="superscript"/>
                    </w:rPr>
                    <w:t>3</w:t>
                  </w:r>
                </w:p>
              </w:tc>
              <w:tc>
                <w:tcPr>
                  <w:tcW w:w="2146" w:type="dxa"/>
                  <w:vMerge w:val="restart"/>
                  <w:vAlign w:val="center"/>
                </w:tcPr>
                <w:p w14:paraId="177D1E86">
                  <w:pPr>
                    <w:pStyle w:val="106"/>
                    <w:rPr>
                      <w:rFonts w:eastAsiaTheme="minorEastAsia"/>
                      <w:color w:val="auto"/>
                    </w:rPr>
                  </w:pPr>
                  <w:r>
                    <w:rPr>
                      <w:rFonts w:eastAsiaTheme="minorEastAsia"/>
                      <w:color w:val="auto"/>
                    </w:rPr>
                    <w:t>（GB</w:t>
                  </w:r>
                  <w:r>
                    <w:rPr>
                      <w:rFonts w:hint="eastAsia" w:eastAsiaTheme="minorEastAsia"/>
                      <w:color w:val="auto"/>
                    </w:rPr>
                    <w:t>37822</w:t>
                  </w:r>
                  <w:r>
                    <w:rPr>
                      <w:rFonts w:eastAsiaTheme="minorEastAsia"/>
                      <w:color w:val="auto"/>
                    </w:rPr>
                    <w:t>-20</w:t>
                  </w:r>
                  <w:r>
                    <w:rPr>
                      <w:rFonts w:hint="eastAsia" w:eastAsiaTheme="minorEastAsia"/>
                      <w:color w:val="auto"/>
                    </w:rPr>
                    <w:t>19</w:t>
                  </w:r>
                  <w:r>
                    <w:rPr>
                      <w:rFonts w:eastAsiaTheme="minorEastAsia"/>
                      <w:color w:val="auto"/>
                    </w:rPr>
                    <w:t>）</w:t>
                  </w:r>
                </w:p>
              </w:tc>
            </w:tr>
            <w:tr w14:paraId="5BC32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84" w:hRule="atLeast"/>
                <w:jc w:val="center"/>
              </w:trPr>
              <w:tc>
                <w:tcPr>
                  <w:tcW w:w="1149" w:type="dxa"/>
                  <w:vMerge w:val="continue"/>
                  <w:vAlign w:val="center"/>
                </w:tcPr>
                <w:p w14:paraId="03A767C0">
                  <w:pPr>
                    <w:pStyle w:val="63"/>
                    <w:spacing w:before="120" w:after="120" w:line="240" w:lineRule="auto"/>
                    <w:ind w:firstLine="420"/>
                    <w:rPr>
                      <w:color w:val="auto"/>
                      <w:sz w:val="21"/>
                      <w:szCs w:val="21"/>
                    </w:rPr>
                  </w:pPr>
                </w:p>
              </w:tc>
              <w:tc>
                <w:tcPr>
                  <w:tcW w:w="1404" w:type="dxa"/>
                  <w:vMerge w:val="continue"/>
                  <w:vAlign w:val="center"/>
                </w:tcPr>
                <w:p w14:paraId="6F641A0E">
                  <w:pPr>
                    <w:pStyle w:val="106"/>
                    <w:rPr>
                      <w:rFonts w:eastAsiaTheme="minorEastAsia"/>
                      <w:color w:val="auto"/>
                    </w:rPr>
                  </w:pPr>
                </w:p>
              </w:tc>
              <w:tc>
                <w:tcPr>
                  <w:tcW w:w="3474" w:type="dxa"/>
                  <w:vAlign w:val="center"/>
                </w:tcPr>
                <w:p w14:paraId="24A1D03C">
                  <w:pPr>
                    <w:pStyle w:val="106"/>
                    <w:rPr>
                      <w:rFonts w:eastAsiaTheme="minorEastAsia"/>
                      <w:color w:val="auto"/>
                    </w:rPr>
                  </w:pPr>
                  <w:r>
                    <w:rPr>
                      <w:rFonts w:hint="eastAsia" w:eastAsiaTheme="minorEastAsia"/>
                      <w:color w:val="auto"/>
                    </w:rPr>
                    <w:t>任意一次浓度值＜30mg/m</w:t>
                  </w:r>
                  <w:r>
                    <w:rPr>
                      <w:rFonts w:hint="eastAsia" w:eastAsiaTheme="minorEastAsia"/>
                      <w:color w:val="auto"/>
                      <w:vertAlign w:val="superscript"/>
                    </w:rPr>
                    <w:t>3</w:t>
                  </w:r>
                </w:p>
              </w:tc>
              <w:tc>
                <w:tcPr>
                  <w:tcW w:w="2146" w:type="dxa"/>
                  <w:vMerge w:val="continue"/>
                  <w:vAlign w:val="center"/>
                </w:tcPr>
                <w:p w14:paraId="45CFAB27">
                  <w:pPr>
                    <w:pStyle w:val="63"/>
                    <w:spacing w:before="120" w:after="120" w:line="240" w:lineRule="auto"/>
                    <w:ind w:firstLine="420"/>
                    <w:rPr>
                      <w:bCs/>
                      <w:color w:val="auto"/>
                      <w:sz w:val="21"/>
                      <w:szCs w:val="21"/>
                    </w:rPr>
                  </w:pPr>
                </w:p>
              </w:tc>
            </w:tr>
          </w:tbl>
          <w:p w14:paraId="20F6CA1E">
            <w:pPr>
              <w:spacing w:line="360" w:lineRule="auto"/>
              <w:ind w:firstLine="482" w:firstLineChars="200"/>
              <w:contextualSpacing/>
              <w:rPr>
                <w:b/>
                <w:color w:val="auto"/>
                <w:kern w:val="0"/>
                <w:sz w:val="24"/>
              </w:rPr>
            </w:pPr>
            <w:r>
              <w:rPr>
                <w:b/>
                <w:color w:val="auto"/>
                <w:kern w:val="0"/>
                <w:sz w:val="24"/>
              </w:rPr>
              <w:t>2、噪声</w:t>
            </w:r>
          </w:p>
          <w:p w14:paraId="42A519F0">
            <w:pPr>
              <w:pStyle w:val="61"/>
              <w:ind w:firstLine="480"/>
              <w:contextualSpacing/>
              <w:jc w:val="left"/>
              <w:rPr>
                <w:bCs/>
                <w:color w:val="auto"/>
                <w:sz w:val="24"/>
              </w:rPr>
            </w:pPr>
            <w:r>
              <w:rPr>
                <w:bCs/>
                <w:color w:val="auto"/>
                <w:sz w:val="24"/>
              </w:rPr>
              <w:t>本项目施工期噪声执行《建筑施工场界环境噪声排放标准》（GB12523-2011）表</w:t>
            </w:r>
            <w:r>
              <w:rPr>
                <w:rFonts w:hint="eastAsia"/>
                <w:bCs/>
                <w:color w:val="auto"/>
                <w:sz w:val="24"/>
              </w:rPr>
              <w:t>1</w:t>
            </w:r>
            <w:r>
              <w:rPr>
                <w:bCs/>
                <w:color w:val="auto"/>
                <w:sz w:val="24"/>
              </w:rPr>
              <w:t>标准；营运期西侧厂界噪声执行《工业企业厂界环境噪声排放标准》（GB12348-2008）表1中</w:t>
            </w:r>
            <w:r>
              <w:rPr>
                <w:rFonts w:hint="eastAsia"/>
                <w:bCs/>
                <w:color w:val="auto"/>
                <w:sz w:val="24"/>
              </w:rPr>
              <w:t>4</w:t>
            </w:r>
            <w:r>
              <w:rPr>
                <w:bCs/>
                <w:color w:val="auto"/>
                <w:sz w:val="24"/>
              </w:rPr>
              <w:t>类标准，其余厂界执行《工业企业厂界环境噪声排放标准》（GB12348-2008）表1中</w:t>
            </w:r>
            <w:r>
              <w:rPr>
                <w:rFonts w:hint="eastAsia"/>
                <w:bCs/>
                <w:color w:val="auto"/>
                <w:sz w:val="24"/>
              </w:rPr>
              <w:t>2</w:t>
            </w:r>
            <w:r>
              <w:rPr>
                <w:bCs/>
                <w:color w:val="auto"/>
                <w:sz w:val="24"/>
              </w:rPr>
              <w:t>类标准</w:t>
            </w:r>
            <w:r>
              <w:rPr>
                <w:color w:val="auto"/>
                <w:sz w:val="24"/>
              </w:rPr>
              <w:t>。</w:t>
            </w:r>
          </w:p>
          <w:p w14:paraId="682E5040">
            <w:pPr>
              <w:pStyle w:val="61"/>
              <w:snapToGrid/>
              <w:spacing w:line="240" w:lineRule="auto"/>
              <w:ind w:firstLine="0" w:firstLineChars="0"/>
              <w:contextualSpacing/>
              <w:jc w:val="center"/>
              <w:rPr>
                <w:b/>
                <w:color w:val="auto"/>
                <w:sz w:val="24"/>
              </w:rPr>
            </w:pPr>
            <w:r>
              <w:rPr>
                <w:b/>
                <w:color w:val="auto"/>
                <w:sz w:val="24"/>
              </w:rPr>
              <w:t>表3-</w:t>
            </w:r>
            <w:r>
              <w:rPr>
                <w:rFonts w:hint="eastAsia"/>
                <w:b/>
                <w:color w:val="auto"/>
                <w:sz w:val="24"/>
                <w:lang w:val="en-US" w:eastAsia="zh-CN"/>
              </w:rPr>
              <w:t>8</w:t>
            </w:r>
            <w:r>
              <w:rPr>
                <w:b/>
                <w:color w:val="auto"/>
                <w:sz w:val="24"/>
              </w:rPr>
              <w:t xml:space="preserve"> 营运期噪声排放标准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517"/>
              <w:gridCol w:w="1981"/>
              <w:gridCol w:w="1673"/>
              <w:gridCol w:w="1674"/>
            </w:tblGrid>
            <w:tr w14:paraId="4D6FC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8" w:type="pct"/>
                  <w:vAlign w:val="center"/>
                </w:tcPr>
                <w:p w14:paraId="221B096B">
                  <w:pPr>
                    <w:adjustRightInd w:val="0"/>
                    <w:snapToGrid w:val="0"/>
                    <w:jc w:val="center"/>
                    <w:rPr>
                      <w:color w:val="auto"/>
                      <w:szCs w:val="21"/>
                    </w:rPr>
                  </w:pPr>
                  <w:r>
                    <w:rPr>
                      <w:color w:val="auto"/>
                      <w:szCs w:val="21"/>
                    </w:rPr>
                    <w:t>时段</w:t>
                  </w:r>
                </w:p>
              </w:tc>
              <w:tc>
                <w:tcPr>
                  <w:tcW w:w="935" w:type="pct"/>
                  <w:vAlign w:val="center"/>
                </w:tcPr>
                <w:p w14:paraId="45889CD3">
                  <w:pPr>
                    <w:adjustRightInd w:val="0"/>
                    <w:snapToGrid w:val="0"/>
                    <w:jc w:val="center"/>
                    <w:rPr>
                      <w:color w:val="auto"/>
                      <w:szCs w:val="21"/>
                    </w:rPr>
                  </w:pPr>
                  <w:r>
                    <w:rPr>
                      <w:color w:val="auto"/>
                      <w:szCs w:val="21"/>
                    </w:rPr>
                    <w:t>位置</w:t>
                  </w:r>
                </w:p>
              </w:tc>
              <w:tc>
                <w:tcPr>
                  <w:tcW w:w="1221" w:type="pct"/>
                  <w:vAlign w:val="center"/>
                </w:tcPr>
                <w:p w14:paraId="7CA24282">
                  <w:pPr>
                    <w:adjustRightInd w:val="0"/>
                    <w:snapToGrid w:val="0"/>
                    <w:jc w:val="center"/>
                    <w:rPr>
                      <w:color w:val="auto"/>
                      <w:szCs w:val="21"/>
                    </w:rPr>
                  </w:pPr>
                  <w:r>
                    <w:rPr>
                      <w:color w:val="auto"/>
                      <w:szCs w:val="21"/>
                    </w:rPr>
                    <w:t>单位</w:t>
                  </w:r>
                </w:p>
              </w:tc>
              <w:tc>
                <w:tcPr>
                  <w:tcW w:w="1031" w:type="pct"/>
                  <w:vAlign w:val="center"/>
                </w:tcPr>
                <w:p w14:paraId="58550C2F">
                  <w:pPr>
                    <w:adjustRightInd w:val="0"/>
                    <w:snapToGrid w:val="0"/>
                    <w:jc w:val="center"/>
                    <w:rPr>
                      <w:color w:val="auto"/>
                      <w:szCs w:val="21"/>
                    </w:rPr>
                  </w:pPr>
                  <w:r>
                    <w:rPr>
                      <w:color w:val="auto"/>
                      <w:szCs w:val="21"/>
                    </w:rPr>
                    <w:t>昼间</w:t>
                  </w:r>
                </w:p>
              </w:tc>
              <w:tc>
                <w:tcPr>
                  <w:tcW w:w="1031" w:type="pct"/>
                  <w:vAlign w:val="center"/>
                </w:tcPr>
                <w:p w14:paraId="57B2877D">
                  <w:pPr>
                    <w:adjustRightInd w:val="0"/>
                    <w:snapToGrid w:val="0"/>
                    <w:jc w:val="center"/>
                    <w:rPr>
                      <w:color w:val="auto"/>
                      <w:szCs w:val="21"/>
                    </w:rPr>
                  </w:pPr>
                  <w:r>
                    <w:rPr>
                      <w:color w:val="auto"/>
                      <w:szCs w:val="21"/>
                    </w:rPr>
                    <w:t>夜间</w:t>
                  </w:r>
                </w:p>
              </w:tc>
            </w:tr>
            <w:tr w14:paraId="0C741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8" w:type="pct"/>
                  <w:vAlign w:val="center"/>
                </w:tcPr>
                <w:p w14:paraId="39701076">
                  <w:pPr>
                    <w:adjustRightInd w:val="0"/>
                    <w:snapToGrid w:val="0"/>
                    <w:jc w:val="center"/>
                    <w:rPr>
                      <w:color w:val="auto"/>
                      <w:szCs w:val="21"/>
                    </w:rPr>
                  </w:pPr>
                  <w:r>
                    <w:rPr>
                      <w:color w:val="auto"/>
                      <w:szCs w:val="21"/>
                    </w:rPr>
                    <w:t>施工期</w:t>
                  </w:r>
                </w:p>
              </w:tc>
              <w:tc>
                <w:tcPr>
                  <w:tcW w:w="935" w:type="pct"/>
                  <w:vAlign w:val="center"/>
                </w:tcPr>
                <w:p w14:paraId="31582855">
                  <w:pPr>
                    <w:adjustRightInd w:val="0"/>
                    <w:snapToGrid w:val="0"/>
                    <w:jc w:val="center"/>
                    <w:rPr>
                      <w:color w:val="auto"/>
                      <w:szCs w:val="21"/>
                    </w:rPr>
                  </w:pPr>
                  <w:r>
                    <w:rPr>
                      <w:color w:val="auto"/>
                      <w:szCs w:val="21"/>
                    </w:rPr>
                    <w:t>厂界四周</w:t>
                  </w:r>
                </w:p>
              </w:tc>
              <w:tc>
                <w:tcPr>
                  <w:tcW w:w="1221" w:type="pct"/>
                  <w:vAlign w:val="center"/>
                </w:tcPr>
                <w:p w14:paraId="23CAD334">
                  <w:pPr>
                    <w:adjustRightInd w:val="0"/>
                    <w:snapToGrid w:val="0"/>
                    <w:jc w:val="center"/>
                    <w:rPr>
                      <w:color w:val="auto"/>
                      <w:szCs w:val="21"/>
                    </w:rPr>
                  </w:pPr>
                  <w:r>
                    <w:rPr>
                      <w:color w:val="auto"/>
                      <w:szCs w:val="21"/>
                    </w:rPr>
                    <w:t>dB(A)</w:t>
                  </w:r>
                </w:p>
              </w:tc>
              <w:tc>
                <w:tcPr>
                  <w:tcW w:w="1031" w:type="pct"/>
                  <w:vAlign w:val="center"/>
                </w:tcPr>
                <w:p w14:paraId="61B70EAC">
                  <w:pPr>
                    <w:adjustRightInd w:val="0"/>
                    <w:snapToGrid w:val="0"/>
                    <w:jc w:val="center"/>
                    <w:rPr>
                      <w:color w:val="auto"/>
                      <w:szCs w:val="21"/>
                    </w:rPr>
                  </w:pPr>
                  <w:r>
                    <w:rPr>
                      <w:color w:val="auto"/>
                      <w:szCs w:val="21"/>
                    </w:rPr>
                    <w:t>70</w:t>
                  </w:r>
                </w:p>
              </w:tc>
              <w:tc>
                <w:tcPr>
                  <w:tcW w:w="1031" w:type="pct"/>
                  <w:vAlign w:val="center"/>
                </w:tcPr>
                <w:p w14:paraId="58CAA527">
                  <w:pPr>
                    <w:adjustRightInd w:val="0"/>
                    <w:snapToGrid w:val="0"/>
                    <w:jc w:val="center"/>
                    <w:rPr>
                      <w:color w:val="auto"/>
                      <w:szCs w:val="21"/>
                    </w:rPr>
                  </w:pPr>
                  <w:r>
                    <w:rPr>
                      <w:color w:val="auto"/>
                      <w:szCs w:val="21"/>
                    </w:rPr>
                    <w:t>55</w:t>
                  </w:r>
                </w:p>
              </w:tc>
            </w:tr>
            <w:tr w14:paraId="0CD12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78" w:type="pct"/>
                  <w:vAlign w:val="center"/>
                </w:tcPr>
                <w:p w14:paraId="1EBA7920">
                  <w:pPr>
                    <w:adjustRightInd w:val="0"/>
                    <w:snapToGrid w:val="0"/>
                    <w:jc w:val="center"/>
                    <w:rPr>
                      <w:color w:val="auto"/>
                      <w:szCs w:val="21"/>
                    </w:rPr>
                  </w:pPr>
                  <w:r>
                    <w:rPr>
                      <w:color w:val="auto"/>
                      <w:szCs w:val="21"/>
                    </w:rPr>
                    <w:t>营运期</w:t>
                  </w:r>
                </w:p>
              </w:tc>
              <w:tc>
                <w:tcPr>
                  <w:tcW w:w="935" w:type="pct"/>
                  <w:vAlign w:val="center"/>
                </w:tcPr>
                <w:p w14:paraId="1C149E43">
                  <w:pPr>
                    <w:adjustRightInd w:val="0"/>
                    <w:snapToGrid w:val="0"/>
                    <w:jc w:val="center"/>
                    <w:rPr>
                      <w:color w:val="auto"/>
                      <w:szCs w:val="21"/>
                    </w:rPr>
                  </w:pPr>
                  <w:r>
                    <w:rPr>
                      <w:color w:val="auto"/>
                      <w:szCs w:val="21"/>
                    </w:rPr>
                    <w:t>厂界</w:t>
                  </w:r>
                </w:p>
              </w:tc>
              <w:tc>
                <w:tcPr>
                  <w:tcW w:w="1221" w:type="pct"/>
                  <w:vAlign w:val="center"/>
                </w:tcPr>
                <w:p w14:paraId="7B4E4AE1">
                  <w:pPr>
                    <w:jc w:val="center"/>
                    <w:rPr>
                      <w:color w:val="auto"/>
                      <w:szCs w:val="21"/>
                    </w:rPr>
                  </w:pPr>
                  <w:r>
                    <w:rPr>
                      <w:color w:val="auto"/>
                      <w:szCs w:val="21"/>
                    </w:rPr>
                    <w:t>dB(A)</w:t>
                  </w:r>
                </w:p>
              </w:tc>
              <w:tc>
                <w:tcPr>
                  <w:tcW w:w="1031" w:type="pct"/>
                  <w:vAlign w:val="center"/>
                </w:tcPr>
                <w:p w14:paraId="4105463E">
                  <w:pPr>
                    <w:adjustRightInd w:val="0"/>
                    <w:snapToGrid w:val="0"/>
                    <w:jc w:val="center"/>
                    <w:rPr>
                      <w:color w:val="auto"/>
                      <w:szCs w:val="21"/>
                    </w:rPr>
                  </w:pPr>
                  <w:r>
                    <w:rPr>
                      <w:rFonts w:hint="eastAsia"/>
                      <w:color w:val="auto"/>
                      <w:szCs w:val="21"/>
                    </w:rPr>
                    <w:t>60</w:t>
                  </w:r>
                </w:p>
              </w:tc>
              <w:tc>
                <w:tcPr>
                  <w:tcW w:w="1031" w:type="pct"/>
                  <w:vAlign w:val="center"/>
                </w:tcPr>
                <w:p w14:paraId="20B45D04">
                  <w:pPr>
                    <w:adjustRightInd w:val="0"/>
                    <w:snapToGrid w:val="0"/>
                    <w:jc w:val="center"/>
                    <w:rPr>
                      <w:color w:val="auto"/>
                      <w:szCs w:val="21"/>
                    </w:rPr>
                  </w:pPr>
                  <w:r>
                    <w:rPr>
                      <w:rFonts w:hint="eastAsia"/>
                      <w:color w:val="auto"/>
                      <w:szCs w:val="21"/>
                    </w:rPr>
                    <w:t>50</w:t>
                  </w:r>
                </w:p>
              </w:tc>
            </w:tr>
          </w:tbl>
          <w:p w14:paraId="2C3ACD0F">
            <w:pPr>
              <w:spacing w:line="360" w:lineRule="auto"/>
              <w:ind w:firstLine="482" w:firstLineChars="200"/>
              <w:contextualSpacing/>
              <w:rPr>
                <w:b/>
                <w:color w:val="auto"/>
                <w:sz w:val="24"/>
              </w:rPr>
            </w:pPr>
            <w:r>
              <w:rPr>
                <w:b/>
                <w:color w:val="auto"/>
                <w:sz w:val="24"/>
              </w:rPr>
              <w:t>3、固体废物</w:t>
            </w:r>
          </w:p>
          <w:p w14:paraId="0E502AB1">
            <w:pPr>
              <w:spacing w:line="360" w:lineRule="auto"/>
              <w:ind w:firstLine="480" w:firstLineChars="200"/>
              <w:contextualSpacing/>
              <w:rPr>
                <w:bCs/>
                <w:color w:val="auto"/>
                <w:kern w:val="0"/>
                <w:sz w:val="24"/>
              </w:rPr>
            </w:pPr>
            <w:r>
              <w:rPr>
                <w:rFonts w:eastAsiaTheme="minorEastAsia"/>
                <w:color w:val="auto"/>
                <w:sz w:val="24"/>
              </w:rPr>
              <w:t>一般工业固体废物按照《一般工业固体废物贮存和填埋污染控制标准》（GB18599-2020），</w:t>
            </w:r>
            <w:r>
              <w:rPr>
                <w:rFonts w:hint="eastAsia" w:hAnsiTheme="minorEastAsia" w:eastAsiaTheme="minorEastAsia"/>
                <w:bCs/>
                <w:color w:val="auto"/>
                <w:kern w:val="0"/>
                <w:sz w:val="24"/>
              </w:rPr>
              <w:t>固体废物分类代码执行《固体废物分类与代码目录》</w:t>
            </w:r>
            <w:r>
              <w:rPr>
                <w:bCs/>
                <w:color w:val="auto"/>
                <w:kern w:val="0"/>
                <w:sz w:val="24"/>
              </w:rPr>
              <w:t>。危险废物的暂存按照《危险废物贮存污染控制标准》（GB18597-20</w:t>
            </w:r>
            <w:r>
              <w:rPr>
                <w:rFonts w:hint="eastAsia"/>
                <w:bCs/>
                <w:color w:val="auto"/>
                <w:kern w:val="0"/>
                <w:sz w:val="24"/>
              </w:rPr>
              <w:t>23</w:t>
            </w:r>
            <w:r>
              <w:rPr>
                <w:bCs/>
                <w:color w:val="auto"/>
                <w:kern w:val="0"/>
                <w:sz w:val="24"/>
              </w:rPr>
              <w:t>）的规定执行。</w:t>
            </w:r>
          </w:p>
        </w:tc>
      </w:tr>
      <w:tr w14:paraId="6111B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996" w:type="dxa"/>
            <w:vAlign w:val="center"/>
          </w:tcPr>
          <w:p w14:paraId="6107E791">
            <w:pPr>
              <w:adjustRightInd w:val="0"/>
              <w:snapToGrid w:val="0"/>
              <w:jc w:val="center"/>
              <w:rPr>
                <w:color w:val="auto"/>
                <w:kern w:val="0"/>
                <w:sz w:val="24"/>
              </w:rPr>
            </w:pPr>
            <w:r>
              <w:rPr>
                <w:color w:val="auto"/>
                <w:kern w:val="0"/>
                <w:sz w:val="24"/>
              </w:rPr>
              <w:t>总量</w:t>
            </w:r>
          </w:p>
          <w:p w14:paraId="1E630D6F">
            <w:pPr>
              <w:adjustRightInd w:val="0"/>
              <w:snapToGrid w:val="0"/>
              <w:jc w:val="center"/>
              <w:rPr>
                <w:color w:val="auto"/>
                <w:kern w:val="0"/>
                <w:sz w:val="24"/>
              </w:rPr>
            </w:pPr>
            <w:r>
              <w:rPr>
                <w:color w:val="auto"/>
                <w:kern w:val="0"/>
                <w:sz w:val="24"/>
              </w:rPr>
              <w:t>控制</w:t>
            </w:r>
          </w:p>
          <w:p w14:paraId="4B11FBC5">
            <w:pPr>
              <w:adjustRightInd w:val="0"/>
              <w:snapToGrid w:val="0"/>
              <w:jc w:val="center"/>
              <w:rPr>
                <w:color w:val="auto"/>
                <w:kern w:val="0"/>
                <w:sz w:val="24"/>
              </w:rPr>
            </w:pPr>
            <w:r>
              <w:rPr>
                <w:color w:val="auto"/>
                <w:kern w:val="0"/>
                <w:sz w:val="24"/>
              </w:rPr>
              <w:t>指标</w:t>
            </w:r>
          </w:p>
        </w:tc>
        <w:tc>
          <w:tcPr>
            <w:tcW w:w="8329" w:type="dxa"/>
            <w:vAlign w:val="center"/>
          </w:tcPr>
          <w:p w14:paraId="2475B41A">
            <w:pPr>
              <w:pStyle w:val="59"/>
              <w:spacing w:beforeLines="0" w:afterLines="0" w:line="360" w:lineRule="auto"/>
              <w:ind w:firstLine="480"/>
              <w:contextualSpacing/>
              <w:jc w:val="left"/>
              <w:rPr>
                <w:color w:val="auto"/>
              </w:rPr>
            </w:pPr>
            <w:r>
              <w:rPr>
                <w:color w:val="auto"/>
              </w:rPr>
              <w:t>在满足浓度达标的前提下，实行总量控制。本项目总量控制指标如下表：</w:t>
            </w:r>
          </w:p>
          <w:p w14:paraId="18B8C79D">
            <w:pPr>
              <w:jc w:val="right"/>
              <w:rPr>
                <w:b/>
                <w:color w:val="auto"/>
                <w:sz w:val="24"/>
              </w:rPr>
            </w:pPr>
            <w:r>
              <w:rPr>
                <w:b/>
                <w:color w:val="auto"/>
                <w:sz w:val="24"/>
              </w:rPr>
              <w:t>表3-</w:t>
            </w:r>
            <w:r>
              <w:rPr>
                <w:rFonts w:hint="eastAsia"/>
                <w:b/>
                <w:color w:val="auto"/>
                <w:sz w:val="24"/>
                <w:lang w:val="en-US" w:eastAsia="zh-CN"/>
              </w:rPr>
              <w:t>9</w:t>
            </w:r>
            <w:r>
              <w:rPr>
                <w:b/>
                <w:color w:val="auto"/>
                <w:sz w:val="24"/>
              </w:rPr>
              <w:t xml:space="preserve"> 项目排放总量控制表               单位：t/a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997"/>
              <w:gridCol w:w="2859"/>
              <w:gridCol w:w="2252"/>
            </w:tblGrid>
            <w:tr w14:paraId="7F015A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1848" w:type="pct"/>
                  <w:vAlign w:val="center"/>
                </w:tcPr>
                <w:p w14:paraId="508B98E6">
                  <w:pPr>
                    <w:jc w:val="center"/>
                    <w:rPr>
                      <w:rFonts w:eastAsiaTheme="minorEastAsia"/>
                      <w:color w:val="auto"/>
                      <w:szCs w:val="21"/>
                    </w:rPr>
                  </w:pPr>
                  <w:r>
                    <w:rPr>
                      <w:rFonts w:eastAsiaTheme="minorEastAsia"/>
                      <w:color w:val="auto"/>
                      <w:szCs w:val="21"/>
                    </w:rPr>
                    <w:t>总量控制指标</w:t>
                  </w:r>
                </w:p>
              </w:tc>
              <w:tc>
                <w:tcPr>
                  <w:tcW w:w="1763" w:type="pct"/>
                  <w:tcBorders>
                    <w:right w:val="single" w:color="auto" w:sz="4" w:space="0"/>
                  </w:tcBorders>
                  <w:vAlign w:val="center"/>
                </w:tcPr>
                <w:p w14:paraId="7853E3BE">
                  <w:pPr>
                    <w:jc w:val="center"/>
                    <w:rPr>
                      <w:rFonts w:eastAsiaTheme="minorEastAsia"/>
                      <w:color w:val="auto"/>
                      <w:szCs w:val="21"/>
                    </w:rPr>
                  </w:pPr>
                  <w:r>
                    <w:rPr>
                      <w:rFonts w:eastAsiaTheme="minorEastAsia"/>
                      <w:color w:val="auto"/>
                      <w:szCs w:val="21"/>
                    </w:rPr>
                    <w:t>预测排放量</w:t>
                  </w:r>
                </w:p>
              </w:tc>
              <w:tc>
                <w:tcPr>
                  <w:tcW w:w="1389" w:type="pct"/>
                  <w:tcBorders>
                    <w:left w:val="single" w:color="auto" w:sz="4" w:space="0"/>
                  </w:tcBorders>
                  <w:vAlign w:val="center"/>
                </w:tcPr>
                <w:p w14:paraId="05154659">
                  <w:pPr>
                    <w:jc w:val="center"/>
                    <w:rPr>
                      <w:rFonts w:eastAsiaTheme="minorEastAsia"/>
                      <w:color w:val="auto"/>
                      <w:szCs w:val="21"/>
                    </w:rPr>
                  </w:pPr>
                  <w:r>
                    <w:rPr>
                      <w:rFonts w:eastAsiaTheme="minorEastAsia"/>
                      <w:color w:val="auto"/>
                      <w:szCs w:val="21"/>
                    </w:rPr>
                    <w:t>核定排放总量</w:t>
                  </w:r>
                </w:p>
              </w:tc>
            </w:tr>
            <w:tr w14:paraId="6E0B36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1848" w:type="pct"/>
                  <w:vAlign w:val="center"/>
                </w:tcPr>
                <w:p w14:paraId="7E9ED9C1">
                  <w:pPr>
                    <w:jc w:val="center"/>
                    <w:rPr>
                      <w:rFonts w:eastAsiaTheme="minorEastAsia"/>
                      <w:color w:val="auto"/>
                      <w:szCs w:val="21"/>
                    </w:rPr>
                  </w:pPr>
                  <w:r>
                    <w:rPr>
                      <w:rFonts w:eastAsiaTheme="minorEastAsia"/>
                      <w:color w:val="auto"/>
                      <w:szCs w:val="21"/>
                    </w:rPr>
                    <w:t>颗粒物</w:t>
                  </w:r>
                </w:p>
              </w:tc>
              <w:tc>
                <w:tcPr>
                  <w:tcW w:w="2958" w:type="dxa"/>
                  <w:tcBorders>
                    <w:right w:val="single" w:color="auto" w:sz="4" w:space="0"/>
                  </w:tcBorders>
                  <w:vAlign w:val="center"/>
                </w:tcPr>
                <w:p w14:paraId="6437E5E0">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4.6719</w:t>
                  </w:r>
                </w:p>
              </w:tc>
              <w:tc>
                <w:tcPr>
                  <w:tcW w:w="2330" w:type="dxa"/>
                  <w:tcBorders>
                    <w:left w:val="single" w:color="auto" w:sz="4" w:space="0"/>
                  </w:tcBorders>
                  <w:vAlign w:val="center"/>
                </w:tcPr>
                <w:p w14:paraId="753B35ED">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4.6719</w:t>
                  </w:r>
                </w:p>
              </w:tc>
            </w:tr>
            <w:tr w14:paraId="790AE5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1848" w:type="pct"/>
                  <w:vAlign w:val="center"/>
                </w:tcPr>
                <w:p w14:paraId="7A092F50">
                  <w:pPr>
                    <w:jc w:val="center"/>
                    <w:rPr>
                      <w:rFonts w:eastAsiaTheme="minorEastAsia"/>
                      <w:color w:val="auto"/>
                      <w:szCs w:val="21"/>
                    </w:rPr>
                  </w:pPr>
                  <w:r>
                    <w:rPr>
                      <w:rFonts w:eastAsiaTheme="minorEastAsia"/>
                      <w:color w:val="auto"/>
                      <w:szCs w:val="21"/>
                    </w:rPr>
                    <w:t>SO</w:t>
                  </w:r>
                  <w:r>
                    <w:rPr>
                      <w:rFonts w:eastAsiaTheme="minorEastAsia"/>
                      <w:color w:val="auto"/>
                      <w:szCs w:val="21"/>
                      <w:vertAlign w:val="subscript"/>
                    </w:rPr>
                    <w:t>2</w:t>
                  </w:r>
                </w:p>
              </w:tc>
              <w:tc>
                <w:tcPr>
                  <w:tcW w:w="2958" w:type="dxa"/>
                  <w:tcBorders>
                    <w:right w:val="single" w:color="auto" w:sz="4" w:space="0"/>
                  </w:tcBorders>
                  <w:vAlign w:val="center"/>
                </w:tcPr>
                <w:p w14:paraId="0A12EDF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0.0117</w:t>
                  </w:r>
                </w:p>
              </w:tc>
              <w:tc>
                <w:tcPr>
                  <w:tcW w:w="2330" w:type="dxa"/>
                  <w:tcBorders>
                    <w:left w:val="single" w:color="auto" w:sz="4" w:space="0"/>
                  </w:tcBorders>
                  <w:vAlign w:val="center"/>
                </w:tcPr>
                <w:p w14:paraId="3D87DC5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0.0117</w:t>
                  </w:r>
                </w:p>
              </w:tc>
            </w:tr>
            <w:tr w14:paraId="4DD207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1848" w:type="pct"/>
                  <w:vAlign w:val="center"/>
                </w:tcPr>
                <w:p w14:paraId="7D52F1BE">
                  <w:pPr>
                    <w:jc w:val="center"/>
                    <w:rPr>
                      <w:rFonts w:eastAsiaTheme="minorEastAsia"/>
                      <w:color w:val="auto"/>
                      <w:szCs w:val="21"/>
                    </w:rPr>
                  </w:pPr>
                  <w:r>
                    <w:rPr>
                      <w:rFonts w:eastAsiaTheme="minorEastAsia"/>
                      <w:color w:val="auto"/>
                      <w:szCs w:val="21"/>
                    </w:rPr>
                    <w:t>NO</w:t>
                  </w:r>
                  <w:r>
                    <w:rPr>
                      <w:rFonts w:eastAsiaTheme="minorEastAsia"/>
                      <w:color w:val="auto"/>
                      <w:szCs w:val="21"/>
                      <w:vertAlign w:val="subscript"/>
                    </w:rPr>
                    <w:t>X</w:t>
                  </w:r>
                </w:p>
              </w:tc>
              <w:tc>
                <w:tcPr>
                  <w:tcW w:w="2958" w:type="dxa"/>
                  <w:tcBorders>
                    <w:right w:val="single" w:color="auto" w:sz="4" w:space="0"/>
                  </w:tcBorders>
                  <w:vAlign w:val="center"/>
                </w:tcPr>
                <w:p w14:paraId="79A377B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3.078</w:t>
                  </w:r>
                </w:p>
              </w:tc>
              <w:tc>
                <w:tcPr>
                  <w:tcW w:w="2330" w:type="dxa"/>
                  <w:tcBorders>
                    <w:left w:val="single" w:color="auto" w:sz="4" w:space="0"/>
                  </w:tcBorders>
                  <w:vAlign w:val="center"/>
                </w:tcPr>
                <w:p w14:paraId="2F958B1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3.078</w:t>
                  </w:r>
                </w:p>
              </w:tc>
            </w:tr>
            <w:tr w14:paraId="3CDE4B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1848" w:type="pct"/>
                  <w:vAlign w:val="center"/>
                </w:tcPr>
                <w:p w14:paraId="030D298A">
                  <w:pPr>
                    <w:jc w:val="center"/>
                    <w:rPr>
                      <w:rFonts w:eastAsiaTheme="minorEastAsia"/>
                      <w:color w:val="auto"/>
                      <w:szCs w:val="21"/>
                    </w:rPr>
                  </w:pPr>
                  <w:r>
                    <w:rPr>
                      <w:rFonts w:eastAsiaTheme="minorEastAsia"/>
                      <w:color w:val="auto"/>
                      <w:szCs w:val="21"/>
                    </w:rPr>
                    <w:t>非甲烷总烃</w:t>
                  </w:r>
                </w:p>
              </w:tc>
              <w:tc>
                <w:tcPr>
                  <w:tcW w:w="2958" w:type="dxa"/>
                  <w:tcBorders>
                    <w:right w:val="single" w:color="auto" w:sz="4" w:space="0"/>
                  </w:tcBorders>
                  <w:vAlign w:val="center"/>
                </w:tcPr>
                <w:p w14:paraId="74B0246C">
                  <w:pPr>
                    <w:contextualSpacing/>
                    <w:jc w:val="center"/>
                    <w:rPr>
                      <w:color w:val="auto"/>
                      <w:szCs w:val="21"/>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087</w:t>
                  </w:r>
                </w:p>
              </w:tc>
              <w:tc>
                <w:tcPr>
                  <w:tcW w:w="2330" w:type="dxa"/>
                  <w:tcBorders>
                    <w:left w:val="single" w:color="auto" w:sz="4" w:space="0"/>
                  </w:tcBorders>
                  <w:vAlign w:val="center"/>
                </w:tcPr>
                <w:p w14:paraId="0DDF15CF">
                  <w:pPr>
                    <w:contextualSpacing/>
                    <w:jc w:val="center"/>
                    <w:rPr>
                      <w:color w:val="auto"/>
                      <w:szCs w:val="21"/>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087</w:t>
                  </w:r>
                </w:p>
              </w:tc>
            </w:tr>
          </w:tbl>
          <w:p w14:paraId="07C6D4CF">
            <w:pPr>
              <w:spacing w:line="360" w:lineRule="auto"/>
              <w:contextualSpacing/>
              <w:rPr>
                <w:color w:val="auto"/>
                <w:kern w:val="0"/>
                <w:szCs w:val="21"/>
              </w:rPr>
            </w:pPr>
          </w:p>
          <w:p w14:paraId="26EF8AE3">
            <w:pPr>
              <w:spacing w:line="360" w:lineRule="auto"/>
              <w:contextualSpacing/>
              <w:rPr>
                <w:color w:val="auto"/>
                <w:kern w:val="0"/>
                <w:szCs w:val="21"/>
              </w:rPr>
            </w:pPr>
          </w:p>
          <w:p w14:paraId="60B399F2">
            <w:pPr>
              <w:spacing w:line="360" w:lineRule="auto"/>
              <w:contextualSpacing/>
              <w:rPr>
                <w:color w:val="auto"/>
                <w:kern w:val="0"/>
                <w:szCs w:val="21"/>
              </w:rPr>
            </w:pPr>
          </w:p>
          <w:p w14:paraId="6FA7BEC8">
            <w:pPr>
              <w:spacing w:line="360" w:lineRule="auto"/>
              <w:contextualSpacing/>
              <w:rPr>
                <w:color w:val="auto"/>
                <w:kern w:val="0"/>
                <w:szCs w:val="21"/>
              </w:rPr>
            </w:pPr>
          </w:p>
        </w:tc>
      </w:tr>
    </w:tbl>
    <w:p w14:paraId="779E0C07">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17" w:name="_Toc68775755"/>
      <w:r>
        <w:rPr>
          <w:rFonts w:ascii="Times New Roman" w:hAnsi="Times New Roman" w:eastAsia="黑体"/>
          <w:snapToGrid w:val="0"/>
          <w:color w:val="auto"/>
          <w:sz w:val="30"/>
          <w:szCs w:val="30"/>
        </w:rPr>
        <w:t>四、主要环境影响和保护措施</w:t>
      </w:r>
      <w:bookmarkEnd w:id="17"/>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605"/>
      </w:tblGrid>
      <w:tr w14:paraId="15A88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19" w:hRule="atLeast"/>
          <w:jc w:val="center"/>
        </w:trPr>
        <w:tc>
          <w:tcPr>
            <w:tcW w:w="736" w:type="dxa"/>
            <w:tcMar>
              <w:left w:w="28" w:type="dxa"/>
              <w:right w:w="28" w:type="dxa"/>
            </w:tcMar>
            <w:vAlign w:val="center"/>
          </w:tcPr>
          <w:p w14:paraId="31E2FAAA">
            <w:pPr>
              <w:adjustRightInd w:val="0"/>
              <w:snapToGrid w:val="0"/>
              <w:jc w:val="center"/>
              <w:rPr>
                <w:color w:val="auto"/>
                <w:kern w:val="0"/>
                <w:sz w:val="24"/>
                <w:highlight w:val="yellow"/>
              </w:rPr>
            </w:pPr>
            <w:r>
              <w:rPr>
                <w:color w:val="auto"/>
                <w:kern w:val="0"/>
                <w:sz w:val="24"/>
              </w:rPr>
              <w:t>施工期环境保护措施</w:t>
            </w:r>
          </w:p>
        </w:tc>
        <w:tc>
          <w:tcPr>
            <w:tcW w:w="8605" w:type="dxa"/>
            <w:vAlign w:val="center"/>
          </w:tcPr>
          <w:p w14:paraId="71DB89B3">
            <w:pPr>
              <w:spacing w:line="360" w:lineRule="auto"/>
              <w:ind w:firstLine="482" w:firstLineChars="200"/>
              <w:contextualSpacing/>
              <w:rPr>
                <w:rFonts w:eastAsiaTheme="minorEastAsia"/>
                <w:b/>
                <w:bCs/>
                <w:color w:val="auto"/>
                <w:sz w:val="24"/>
              </w:rPr>
            </w:pPr>
            <w:r>
              <w:rPr>
                <w:rFonts w:hint="eastAsia" w:eastAsiaTheme="minorEastAsia"/>
                <w:b/>
                <w:bCs/>
                <w:color w:val="auto"/>
                <w:sz w:val="24"/>
              </w:rPr>
              <w:t>一、废水</w:t>
            </w:r>
          </w:p>
          <w:p w14:paraId="47679CBD">
            <w:pPr>
              <w:spacing w:line="360" w:lineRule="auto"/>
              <w:ind w:firstLine="480" w:firstLineChars="200"/>
              <w:contextualSpacing/>
              <w:rPr>
                <w:rFonts w:eastAsiaTheme="minorEastAsia"/>
                <w:bCs/>
                <w:color w:val="auto"/>
                <w:sz w:val="24"/>
              </w:rPr>
            </w:pPr>
            <w:r>
              <w:rPr>
                <w:rFonts w:hint="eastAsia" w:eastAsiaTheme="minorEastAsia"/>
                <w:bCs/>
                <w:color w:val="auto"/>
                <w:sz w:val="24"/>
              </w:rPr>
              <w:t>本项目施工期间，施工单位严格执行《建设工程施工场地文明施工及环境管理暂行规定》，对地面污水的排放进行组织设计，严禁乱排和污染道路、环境等，严禁将污水直接排放。施工时产生的泥浆水必须经沉沙池处理后回用到施工中。在回填土堆放场、施工泥浆产生点设置临时沉沙池，含泥沙雨水、泥浆水经沉沙池沉淀后用于场地洒水抑尘。施工人员生活污水排放量为</w:t>
            </w:r>
            <w:r>
              <w:rPr>
                <w:rFonts w:eastAsiaTheme="minorEastAsia"/>
                <w:bCs/>
                <w:color w:val="auto"/>
                <w:sz w:val="24"/>
              </w:rPr>
              <w:t>0.</w:t>
            </w:r>
            <w:r>
              <w:rPr>
                <w:rFonts w:hint="eastAsia" w:eastAsiaTheme="minorEastAsia"/>
                <w:bCs/>
                <w:color w:val="auto"/>
                <w:sz w:val="24"/>
              </w:rPr>
              <w:t>96</w:t>
            </w:r>
            <w:r>
              <w:rPr>
                <w:rFonts w:eastAsiaTheme="minorEastAsia"/>
                <w:bCs/>
                <w:color w:val="auto"/>
                <w:sz w:val="24"/>
              </w:rPr>
              <w:t>t/d</w:t>
            </w:r>
            <w:r>
              <w:rPr>
                <w:rFonts w:hint="eastAsia" w:eastAsiaTheme="minorEastAsia"/>
                <w:bCs/>
                <w:color w:val="auto"/>
                <w:sz w:val="24"/>
              </w:rPr>
              <w:t>，生活污水排入防渗旱厕，定期清掏，外运堆肥，不外排。由于施工期间水量小、时间短，施工废水经处理后不会对周围地表水体产生较大的不良影响。</w:t>
            </w:r>
          </w:p>
          <w:p w14:paraId="6E697B80">
            <w:pPr>
              <w:spacing w:line="360" w:lineRule="auto"/>
              <w:ind w:firstLine="482" w:firstLineChars="200"/>
              <w:contextualSpacing/>
              <w:rPr>
                <w:rFonts w:eastAsiaTheme="minorEastAsia"/>
                <w:b/>
                <w:bCs/>
                <w:color w:val="auto"/>
                <w:sz w:val="24"/>
              </w:rPr>
            </w:pPr>
            <w:r>
              <w:rPr>
                <w:rFonts w:hint="eastAsia" w:eastAsiaTheme="minorEastAsia"/>
                <w:b/>
                <w:bCs/>
                <w:color w:val="auto"/>
                <w:sz w:val="24"/>
              </w:rPr>
              <w:t>二、废气</w:t>
            </w:r>
          </w:p>
          <w:p w14:paraId="0C17064B">
            <w:pPr>
              <w:spacing w:line="360" w:lineRule="auto"/>
              <w:ind w:firstLine="480" w:firstLineChars="200"/>
              <w:contextualSpacing/>
              <w:rPr>
                <w:rFonts w:eastAsiaTheme="minorEastAsia"/>
                <w:bCs/>
                <w:color w:val="auto"/>
                <w:sz w:val="24"/>
              </w:rPr>
            </w:pPr>
            <w:r>
              <w:rPr>
                <w:rFonts w:hint="eastAsia" w:eastAsiaTheme="minorEastAsia"/>
                <w:bCs/>
                <w:color w:val="auto"/>
                <w:sz w:val="24"/>
              </w:rPr>
              <w:t>施工期主要环境空气污染物为废气和扬尘两类。为使施工过程中产生的粉尘和废气对周围环境空气的影响降低到最小程度，建议采取以下防护措施：</w:t>
            </w:r>
          </w:p>
          <w:p w14:paraId="1DB89E4D">
            <w:pPr>
              <w:spacing w:line="360" w:lineRule="auto"/>
              <w:ind w:firstLine="480" w:firstLineChars="200"/>
              <w:contextualSpacing/>
              <w:rPr>
                <w:rFonts w:eastAsiaTheme="minorEastAsia"/>
                <w:bCs/>
                <w:color w:val="auto"/>
                <w:sz w:val="24"/>
              </w:rPr>
            </w:pPr>
            <w:r>
              <w:rPr>
                <w:rFonts w:eastAsiaTheme="minorEastAsia"/>
                <w:bCs/>
                <w:color w:val="auto"/>
                <w:sz w:val="24"/>
              </w:rPr>
              <w:t>1</w:t>
            </w:r>
            <w:r>
              <w:rPr>
                <w:rFonts w:hint="eastAsia" w:eastAsiaTheme="minorEastAsia"/>
                <w:bCs/>
                <w:color w:val="auto"/>
                <w:sz w:val="24"/>
              </w:rPr>
              <w:t>、开挖过程中，洒水使作业面保持一定的湿度；对施工场地内松散、干涸的表土，也应经常洒水防止粉尘、扬尘；回填土方时，在表层土质干燥时适当洒水，防止粉尘飞扬；</w:t>
            </w:r>
          </w:p>
          <w:p w14:paraId="693B452C">
            <w:pPr>
              <w:spacing w:line="360" w:lineRule="auto"/>
              <w:ind w:firstLine="480" w:firstLineChars="200"/>
              <w:contextualSpacing/>
              <w:rPr>
                <w:rFonts w:eastAsiaTheme="minorEastAsia"/>
                <w:bCs/>
                <w:color w:val="auto"/>
                <w:sz w:val="24"/>
              </w:rPr>
            </w:pPr>
            <w:r>
              <w:rPr>
                <w:rFonts w:eastAsiaTheme="minorEastAsia"/>
                <w:bCs/>
                <w:color w:val="auto"/>
                <w:sz w:val="24"/>
              </w:rPr>
              <w:t>2</w:t>
            </w:r>
            <w:r>
              <w:rPr>
                <w:rFonts w:hint="eastAsia" w:eastAsiaTheme="minorEastAsia"/>
                <w:bCs/>
                <w:color w:val="auto"/>
                <w:sz w:val="24"/>
              </w:rPr>
              <w:t>、加强回填土方堆放场的管理，要制定土方表面压实、定期喷水、覆盖等措施；不需要的泥土，建筑材料弃渣及时运走，不宜长时间堆积；</w:t>
            </w:r>
          </w:p>
          <w:p w14:paraId="4E8DB36F">
            <w:pPr>
              <w:spacing w:line="360" w:lineRule="auto"/>
              <w:ind w:firstLine="480" w:firstLineChars="200"/>
              <w:contextualSpacing/>
              <w:rPr>
                <w:rFonts w:eastAsiaTheme="minorEastAsia"/>
                <w:bCs/>
                <w:color w:val="auto"/>
                <w:sz w:val="24"/>
              </w:rPr>
            </w:pPr>
            <w:r>
              <w:rPr>
                <w:rFonts w:eastAsiaTheme="minorEastAsia"/>
                <w:bCs/>
                <w:color w:val="auto"/>
                <w:sz w:val="24"/>
              </w:rPr>
              <w:t>3</w:t>
            </w:r>
            <w:r>
              <w:rPr>
                <w:rFonts w:hint="eastAsia" w:eastAsiaTheme="minorEastAsia"/>
                <w:bCs/>
                <w:color w:val="auto"/>
                <w:sz w:val="24"/>
              </w:rPr>
              <w:t>、运土卡车及建筑材料运输车按规定配置防洒落装备，装载不宜过满，保证运输过程中不散落；并规划好运输车辆的运行路线与时间，尽量避免在繁华区、交通集中区和居民住宅等敏感区行驶；</w:t>
            </w:r>
          </w:p>
          <w:p w14:paraId="0BB2DF49">
            <w:pPr>
              <w:spacing w:line="360" w:lineRule="auto"/>
              <w:ind w:firstLine="480" w:firstLineChars="200"/>
              <w:contextualSpacing/>
              <w:rPr>
                <w:rFonts w:eastAsiaTheme="minorEastAsia"/>
                <w:bCs/>
                <w:color w:val="auto"/>
                <w:sz w:val="24"/>
              </w:rPr>
            </w:pPr>
            <w:r>
              <w:rPr>
                <w:rFonts w:eastAsiaTheme="minorEastAsia"/>
                <w:bCs/>
                <w:color w:val="auto"/>
                <w:sz w:val="24"/>
              </w:rPr>
              <w:t>4</w:t>
            </w:r>
            <w:r>
              <w:rPr>
                <w:rFonts w:hint="eastAsia" w:eastAsiaTheme="minorEastAsia"/>
                <w:bCs/>
                <w:color w:val="auto"/>
                <w:sz w:val="24"/>
              </w:rPr>
              <w:t>、运输车辆加蓬盖，且出装、卸场地前先冲洗干净，减少车轮、底盘等携带泥土散落路面；</w:t>
            </w:r>
          </w:p>
          <w:p w14:paraId="4FA93F33">
            <w:pPr>
              <w:spacing w:line="360" w:lineRule="auto"/>
              <w:ind w:firstLine="480" w:firstLineChars="200"/>
              <w:contextualSpacing/>
              <w:rPr>
                <w:rFonts w:eastAsiaTheme="minorEastAsia"/>
                <w:bCs/>
                <w:color w:val="auto"/>
                <w:sz w:val="24"/>
              </w:rPr>
            </w:pPr>
            <w:r>
              <w:rPr>
                <w:rFonts w:eastAsiaTheme="minorEastAsia"/>
                <w:bCs/>
                <w:color w:val="auto"/>
                <w:sz w:val="24"/>
              </w:rPr>
              <w:t>5</w:t>
            </w:r>
            <w:r>
              <w:rPr>
                <w:rFonts w:hint="eastAsia" w:eastAsiaTheme="minorEastAsia"/>
                <w:bCs/>
                <w:color w:val="auto"/>
                <w:sz w:val="24"/>
              </w:rPr>
              <w:t>、对运输过程中散落在路面上的泥土要及时清扫，以减少运行过程中的扬尘；</w:t>
            </w:r>
          </w:p>
          <w:p w14:paraId="7FBA8159">
            <w:pPr>
              <w:spacing w:line="360" w:lineRule="auto"/>
              <w:ind w:firstLine="480" w:firstLineChars="200"/>
              <w:contextualSpacing/>
              <w:rPr>
                <w:rFonts w:eastAsiaTheme="minorEastAsia"/>
                <w:bCs/>
                <w:color w:val="auto"/>
                <w:sz w:val="24"/>
              </w:rPr>
            </w:pPr>
            <w:r>
              <w:rPr>
                <w:rFonts w:eastAsiaTheme="minorEastAsia"/>
                <w:bCs/>
                <w:color w:val="auto"/>
                <w:sz w:val="24"/>
              </w:rPr>
              <w:t>6</w:t>
            </w:r>
            <w:r>
              <w:rPr>
                <w:rFonts w:hint="eastAsia" w:eastAsiaTheme="minorEastAsia"/>
                <w:bCs/>
                <w:color w:val="auto"/>
                <w:sz w:val="24"/>
              </w:rPr>
              <w:t>、施工过程中，严禁将废弃的建筑材料作为燃料燃烧。</w:t>
            </w:r>
          </w:p>
          <w:p w14:paraId="61292A91">
            <w:pPr>
              <w:spacing w:line="360" w:lineRule="auto"/>
              <w:ind w:firstLine="480" w:firstLineChars="200"/>
              <w:contextualSpacing/>
              <w:rPr>
                <w:rFonts w:eastAsiaTheme="minorEastAsia"/>
                <w:bCs/>
                <w:color w:val="auto"/>
                <w:sz w:val="24"/>
              </w:rPr>
            </w:pPr>
            <w:r>
              <w:rPr>
                <w:rFonts w:hint="eastAsia" w:eastAsiaTheme="minorEastAsia"/>
                <w:bCs/>
                <w:color w:val="auto"/>
                <w:sz w:val="24"/>
              </w:rPr>
              <w:t>经上述治理后，施工期产生的粉尘、废气、扬尘将得到有效的控制，场界外可满足《大气污染物综合排放标准》（</w:t>
            </w:r>
            <w:r>
              <w:rPr>
                <w:rFonts w:eastAsiaTheme="minorEastAsia"/>
                <w:bCs/>
                <w:color w:val="auto"/>
                <w:sz w:val="24"/>
              </w:rPr>
              <w:t>GB16297-1996</w:t>
            </w:r>
            <w:r>
              <w:rPr>
                <w:rFonts w:hint="eastAsia" w:eastAsiaTheme="minorEastAsia"/>
                <w:bCs/>
                <w:color w:val="auto"/>
                <w:sz w:val="24"/>
              </w:rPr>
              <w:t>）规定的表</w:t>
            </w:r>
            <w:r>
              <w:rPr>
                <w:rFonts w:eastAsiaTheme="minorEastAsia"/>
                <w:bCs/>
                <w:color w:val="auto"/>
                <w:sz w:val="24"/>
              </w:rPr>
              <w:t>2</w:t>
            </w:r>
            <w:r>
              <w:rPr>
                <w:rFonts w:hint="eastAsia" w:eastAsiaTheme="minorEastAsia"/>
                <w:bCs/>
                <w:color w:val="auto"/>
                <w:sz w:val="24"/>
              </w:rPr>
              <w:t>颗粒物无组织排放监控浓度限值</w:t>
            </w:r>
            <w:r>
              <w:rPr>
                <w:rFonts w:eastAsiaTheme="minorEastAsia"/>
                <w:bCs/>
                <w:color w:val="auto"/>
                <w:sz w:val="24"/>
              </w:rPr>
              <w:t>1.0mg/m</w:t>
            </w:r>
            <w:r>
              <w:rPr>
                <w:rFonts w:eastAsiaTheme="minorEastAsia"/>
                <w:bCs/>
                <w:color w:val="auto"/>
                <w:sz w:val="24"/>
                <w:vertAlign w:val="superscript"/>
              </w:rPr>
              <w:t>3</w:t>
            </w:r>
            <w:r>
              <w:rPr>
                <w:rFonts w:hint="eastAsia" w:eastAsiaTheme="minorEastAsia"/>
                <w:bCs/>
                <w:color w:val="auto"/>
                <w:sz w:val="24"/>
              </w:rPr>
              <w:t>（周界外浓度最高点），可被周围环境所接受。</w:t>
            </w:r>
          </w:p>
          <w:p w14:paraId="3676133A">
            <w:pPr>
              <w:spacing w:line="360" w:lineRule="auto"/>
              <w:ind w:firstLine="482" w:firstLineChars="200"/>
              <w:contextualSpacing/>
              <w:rPr>
                <w:rFonts w:eastAsiaTheme="minorEastAsia"/>
                <w:b/>
                <w:bCs/>
                <w:color w:val="auto"/>
                <w:sz w:val="24"/>
              </w:rPr>
            </w:pPr>
            <w:r>
              <w:rPr>
                <w:rFonts w:hint="eastAsia" w:eastAsiaTheme="minorEastAsia"/>
                <w:b/>
                <w:bCs/>
                <w:color w:val="auto"/>
                <w:sz w:val="24"/>
              </w:rPr>
              <w:t>三、噪声</w:t>
            </w:r>
          </w:p>
          <w:p w14:paraId="04931852">
            <w:pPr>
              <w:spacing w:line="360" w:lineRule="auto"/>
              <w:ind w:firstLine="480" w:firstLineChars="200"/>
              <w:contextualSpacing/>
              <w:rPr>
                <w:rFonts w:eastAsiaTheme="minorEastAsia"/>
                <w:bCs/>
                <w:color w:val="auto"/>
                <w:sz w:val="24"/>
              </w:rPr>
            </w:pPr>
            <w:r>
              <w:rPr>
                <w:rFonts w:hint="eastAsia" w:eastAsiaTheme="minorEastAsia"/>
                <w:bCs/>
                <w:color w:val="auto"/>
                <w:sz w:val="24"/>
              </w:rPr>
              <w:t>噪声主要来源于施工设备和汽车运输，从规范施工秩序着手，对产生高噪声设备尽量安排在白天使用，合理安排高噪声设备远离敏感目标作业，同时夜间不施工。汽车晚间运输用灯光示警，禁鸣喇叭。此外，选用低噪声机械设备，对产生噪声的施工设备加强维护和维修工作，亦对噪声有良好作用。</w:t>
            </w:r>
          </w:p>
          <w:p w14:paraId="6275B9D1">
            <w:pPr>
              <w:spacing w:line="360" w:lineRule="auto"/>
              <w:ind w:firstLine="480" w:firstLineChars="200"/>
              <w:contextualSpacing/>
              <w:rPr>
                <w:rFonts w:eastAsiaTheme="minorEastAsia"/>
                <w:bCs/>
                <w:color w:val="auto"/>
                <w:sz w:val="24"/>
              </w:rPr>
            </w:pPr>
            <w:r>
              <w:rPr>
                <w:rFonts w:hint="eastAsia" w:eastAsiaTheme="minorEastAsia"/>
                <w:bCs/>
                <w:color w:val="auto"/>
                <w:sz w:val="24"/>
              </w:rPr>
              <w:t>经上述治理后，施工期产生的噪声满足《建筑施工场界环境噪声排放标准》（</w:t>
            </w:r>
            <w:r>
              <w:rPr>
                <w:rFonts w:eastAsiaTheme="minorEastAsia"/>
                <w:bCs/>
                <w:color w:val="auto"/>
                <w:sz w:val="24"/>
              </w:rPr>
              <w:t>GB12523-2011</w:t>
            </w:r>
            <w:r>
              <w:rPr>
                <w:rFonts w:hint="eastAsia" w:eastAsiaTheme="minorEastAsia"/>
                <w:bCs/>
                <w:color w:val="auto"/>
                <w:sz w:val="24"/>
              </w:rPr>
              <w:t>）标准要求，施工场地距离敏感目标较远，施工期对环境敏感目标的影响较小。</w:t>
            </w:r>
          </w:p>
          <w:p w14:paraId="4C00176C">
            <w:pPr>
              <w:spacing w:line="360" w:lineRule="auto"/>
              <w:ind w:firstLine="482" w:firstLineChars="200"/>
              <w:contextualSpacing/>
              <w:rPr>
                <w:rFonts w:eastAsiaTheme="minorEastAsia"/>
                <w:b/>
                <w:bCs/>
                <w:color w:val="auto"/>
                <w:sz w:val="24"/>
              </w:rPr>
            </w:pPr>
            <w:r>
              <w:rPr>
                <w:rFonts w:hint="eastAsia" w:eastAsiaTheme="minorEastAsia"/>
                <w:b/>
                <w:bCs/>
                <w:color w:val="auto"/>
                <w:sz w:val="24"/>
              </w:rPr>
              <w:t>四、固体废物</w:t>
            </w:r>
          </w:p>
          <w:p w14:paraId="09CE79FB">
            <w:pPr>
              <w:spacing w:line="360" w:lineRule="auto"/>
              <w:ind w:firstLine="480" w:firstLineChars="200"/>
              <w:contextualSpacing/>
              <w:rPr>
                <w:rFonts w:eastAsiaTheme="minorEastAsia"/>
                <w:bCs/>
                <w:color w:val="auto"/>
                <w:sz w:val="24"/>
              </w:rPr>
            </w:pPr>
            <w:r>
              <w:rPr>
                <w:rFonts w:hint="eastAsia" w:eastAsiaTheme="minorEastAsia"/>
                <w:color w:val="auto"/>
                <w:sz w:val="24"/>
              </w:rPr>
              <w:t>施工残土、建筑垃圾为主要固体废物，及时清运，并按市政部门指定地点堆放。运输车辆加盖遮挡，防止产生二次扬尘。生活垃圾统一收集后由市政统一处理</w:t>
            </w:r>
            <w:r>
              <w:rPr>
                <w:rFonts w:hint="eastAsia" w:eastAsiaTheme="minorEastAsia"/>
                <w:bCs/>
                <w:color w:val="auto"/>
                <w:sz w:val="24"/>
              </w:rPr>
              <w:t>。</w:t>
            </w:r>
          </w:p>
          <w:p w14:paraId="05AB0C09">
            <w:pPr>
              <w:spacing w:line="360" w:lineRule="auto"/>
              <w:ind w:firstLine="480" w:firstLineChars="200"/>
              <w:contextualSpacing/>
              <w:rPr>
                <w:rFonts w:eastAsiaTheme="minorEastAsia"/>
                <w:bCs/>
                <w:color w:val="auto"/>
                <w:sz w:val="24"/>
              </w:rPr>
            </w:pPr>
          </w:p>
          <w:p w14:paraId="03909194">
            <w:pPr>
              <w:spacing w:line="360" w:lineRule="auto"/>
              <w:ind w:firstLine="480" w:firstLineChars="200"/>
              <w:contextualSpacing/>
              <w:rPr>
                <w:rFonts w:eastAsiaTheme="minorEastAsia"/>
                <w:bCs/>
                <w:color w:val="auto"/>
                <w:sz w:val="24"/>
              </w:rPr>
            </w:pPr>
          </w:p>
          <w:p w14:paraId="27343FD8">
            <w:pPr>
              <w:spacing w:line="360" w:lineRule="auto"/>
              <w:ind w:firstLine="480" w:firstLineChars="200"/>
              <w:contextualSpacing/>
              <w:rPr>
                <w:rFonts w:eastAsiaTheme="minorEastAsia"/>
                <w:bCs/>
                <w:color w:val="auto"/>
                <w:sz w:val="24"/>
              </w:rPr>
            </w:pPr>
          </w:p>
          <w:p w14:paraId="544E067A">
            <w:pPr>
              <w:spacing w:line="360" w:lineRule="auto"/>
              <w:ind w:firstLine="480" w:firstLineChars="200"/>
              <w:contextualSpacing/>
              <w:rPr>
                <w:rFonts w:eastAsiaTheme="minorEastAsia"/>
                <w:bCs/>
                <w:color w:val="auto"/>
                <w:sz w:val="24"/>
              </w:rPr>
            </w:pPr>
          </w:p>
          <w:p w14:paraId="28D60745">
            <w:pPr>
              <w:spacing w:line="360" w:lineRule="auto"/>
              <w:ind w:firstLine="480" w:firstLineChars="200"/>
              <w:contextualSpacing/>
              <w:rPr>
                <w:rFonts w:eastAsiaTheme="minorEastAsia"/>
                <w:bCs/>
                <w:color w:val="auto"/>
                <w:sz w:val="24"/>
              </w:rPr>
            </w:pPr>
          </w:p>
          <w:p w14:paraId="3E7294D7">
            <w:pPr>
              <w:spacing w:line="360" w:lineRule="auto"/>
              <w:ind w:firstLine="480" w:firstLineChars="200"/>
              <w:contextualSpacing/>
              <w:rPr>
                <w:rFonts w:eastAsiaTheme="minorEastAsia"/>
                <w:bCs/>
                <w:color w:val="auto"/>
                <w:sz w:val="24"/>
              </w:rPr>
            </w:pPr>
          </w:p>
          <w:p w14:paraId="5158478A">
            <w:pPr>
              <w:spacing w:line="360" w:lineRule="auto"/>
              <w:ind w:firstLine="480" w:firstLineChars="200"/>
              <w:contextualSpacing/>
              <w:rPr>
                <w:rFonts w:eastAsiaTheme="minorEastAsia"/>
                <w:bCs/>
                <w:color w:val="auto"/>
                <w:sz w:val="24"/>
              </w:rPr>
            </w:pPr>
          </w:p>
          <w:p w14:paraId="5F495748">
            <w:pPr>
              <w:spacing w:line="360" w:lineRule="auto"/>
              <w:ind w:firstLine="480" w:firstLineChars="200"/>
              <w:contextualSpacing/>
              <w:rPr>
                <w:rFonts w:eastAsiaTheme="minorEastAsia"/>
                <w:bCs/>
                <w:color w:val="auto"/>
                <w:sz w:val="24"/>
              </w:rPr>
            </w:pPr>
          </w:p>
          <w:p w14:paraId="6C44CECF">
            <w:pPr>
              <w:spacing w:line="360" w:lineRule="auto"/>
              <w:ind w:firstLine="480" w:firstLineChars="200"/>
              <w:contextualSpacing/>
              <w:rPr>
                <w:rFonts w:eastAsiaTheme="minorEastAsia"/>
                <w:bCs/>
                <w:color w:val="auto"/>
                <w:sz w:val="24"/>
              </w:rPr>
            </w:pPr>
          </w:p>
          <w:p w14:paraId="79210D0A">
            <w:pPr>
              <w:spacing w:line="360" w:lineRule="auto"/>
              <w:ind w:firstLine="480" w:firstLineChars="200"/>
              <w:contextualSpacing/>
              <w:rPr>
                <w:rFonts w:eastAsiaTheme="minorEastAsia"/>
                <w:bCs/>
                <w:color w:val="auto"/>
                <w:sz w:val="24"/>
              </w:rPr>
            </w:pPr>
          </w:p>
          <w:p w14:paraId="297DF05D">
            <w:pPr>
              <w:spacing w:line="360" w:lineRule="auto"/>
              <w:ind w:firstLine="480" w:firstLineChars="200"/>
              <w:contextualSpacing/>
              <w:rPr>
                <w:rFonts w:eastAsiaTheme="minorEastAsia"/>
                <w:bCs/>
                <w:color w:val="auto"/>
                <w:sz w:val="24"/>
              </w:rPr>
            </w:pPr>
          </w:p>
          <w:p w14:paraId="4817D93F">
            <w:pPr>
              <w:spacing w:line="360" w:lineRule="auto"/>
              <w:ind w:firstLine="480" w:firstLineChars="200"/>
              <w:contextualSpacing/>
              <w:rPr>
                <w:rFonts w:eastAsiaTheme="minorEastAsia"/>
                <w:bCs/>
                <w:color w:val="auto"/>
                <w:sz w:val="24"/>
              </w:rPr>
            </w:pPr>
          </w:p>
          <w:p w14:paraId="7C794B5C">
            <w:pPr>
              <w:spacing w:line="360" w:lineRule="auto"/>
              <w:ind w:firstLine="480" w:firstLineChars="200"/>
              <w:contextualSpacing/>
              <w:rPr>
                <w:rFonts w:eastAsiaTheme="minorEastAsia"/>
                <w:bCs/>
                <w:color w:val="auto"/>
                <w:sz w:val="24"/>
              </w:rPr>
            </w:pPr>
          </w:p>
          <w:p w14:paraId="32CB03A2">
            <w:pPr>
              <w:spacing w:line="360" w:lineRule="auto"/>
              <w:ind w:firstLine="480" w:firstLineChars="200"/>
              <w:contextualSpacing/>
              <w:rPr>
                <w:rFonts w:eastAsiaTheme="minorEastAsia"/>
                <w:bCs/>
                <w:color w:val="auto"/>
                <w:sz w:val="24"/>
              </w:rPr>
            </w:pPr>
          </w:p>
          <w:p w14:paraId="5FB5725B">
            <w:pPr>
              <w:spacing w:line="360" w:lineRule="auto"/>
              <w:ind w:firstLine="480" w:firstLineChars="200"/>
              <w:contextualSpacing/>
              <w:rPr>
                <w:rFonts w:eastAsiaTheme="minorEastAsia"/>
                <w:bCs/>
                <w:color w:val="auto"/>
                <w:sz w:val="24"/>
              </w:rPr>
            </w:pPr>
          </w:p>
        </w:tc>
      </w:tr>
      <w:tr w14:paraId="2AE8F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1" w:hRule="atLeast"/>
          <w:jc w:val="center"/>
        </w:trPr>
        <w:tc>
          <w:tcPr>
            <w:tcW w:w="736" w:type="dxa"/>
            <w:tcMar>
              <w:left w:w="28" w:type="dxa"/>
              <w:right w:w="28" w:type="dxa"/>
            </w:tcMar>
            <w:vAlign w:val="center"/>
          </w:tcPr>
          <w:p w14:paraId="64598D4C">
            <w:pPr>
              <w:adjustRightInd w:val="0"/>
              <w:snapToGrid w:val="0"/>
              <w:jc w:val="center"/>
              <w:rPr>
                <w:color w:val="auto"/>
                <w:kern w:val="0"/>
                <w:sz w:val="24"/>
              </w:rPr>
            </w:pPr>
            <w:r>
              <w:rPr>
                <w:color w:val="auto"/>
                <w:kern w:val="0"/>
                <w:sz w:val="24"/>
              </w:rPr>
              <w:t>运营</w:t>
            </w:r>
          </w:p>
          <w:p w14:paraId="0975084A">
            <w:pPr>
              <w:adjustRightInd w:val="0"/>
              <w:snapToGrid w:val="0"/>
              <w:jc w:val="center"/>
              <w:rPr>
                <w:color w:val="auto"/>
                <w:kern w:val="0"/>
                <w:sz w:val="24"/>
              </w:rPr>
            </w:pPr>
            <w:r>
              <w:rPr>
                <w:color w:val="auto"/>
                <w:kern w:val="0"/>
                <w:sz w:val="24"/>
              </w:rPr>
              <w:t>期环</w:t>
            </w:r>
          </w:p>
          <w:p w14:paraId="47F3D20C">
            <w:pPr>
              <w:adjustRightInd w:val="0"/>
              <w:snapToGrid w:val="0"/>
              <w:jc w:val="center"/>
              <w:rPr>
                <w:color w:val="auto"/>
                <w:kern w:val="0"/>
                <w:sz w:val="24"/>
              </w:rPr>
            </w:pPr>
            <w:r>
              <w:rPr>
                <w:color w:val="auto"/>
                <w:kern w:val="0"/>
                <w:sz w:val="24"/>
              </w:rPr>
              <w:t>境影</w:t>
            </w:r>
          </w:p>
          <w:p w14:paraId="28DBD45F">
            <w:pPr>
              <w:adjustRightInd w:val="0"/>
              <w:snapToGrid w:val="0"/>
              <w:jc w:val="center"/>
              <w:rPr>
                <w:color w:val="auto"/>
                <w:kern w:val="0"/>
                <w:sz w:val="24"/>
              </w:rPr>
            </w:pPr>
            <w:r>
              <w:rPr>
                <w:color w:val="auto"/>
                <w:kern w:val="0"/>
                <w:sz w:val="24"/>
              </w:rPr>
              <w:t>响和</w:t>
            </w:r>
          </w:p>
          <w:p w14:paraId="31614384">
            <w:pPr>
              <w:adjustRightInd w:val="0"/>
              <w:snapToGrid w:val="0"/>
              <w:jc w:val="center"/>
              <w:rPr>
                <w:color w:val="auto"/>
                <w:kern w:val="0"/>
                <w:sz w:val="24"/>
              </w:rPr>
            </w:pPr>
            <w:r>
              <w:rPr>
                <w:color w:val="auto"/>
                <w:kern w:val="0"/>
                <w:sz w:val="24"/>
              </w:rPr>
              <w:t>保护</w:t>
            </w:r>
          </w:p>
          <w:p w14:paraId="5EEA36BD">
            <w:pPr>
              <w:adjustRightInd w:val="0"/>
              <w:snapToGrid w:val="0"/>
              <w:jc w:val="center"/>
              <w:rPr>
                <w:color w:val="auto"/>
                <w:kern w:val="0"/>
                <w:sz w:val="24"/>
              </w:rPr>
            </w:pPr>
            <w:r>
              <w:rPr>
                <w:color w:val="auto"/>
                <w:kern w:val="0"/>
                <w:sz w:val="24"/>
              </w:rPr>
              <w:t>措施</w:t>
            </w:r>
          </w:p>
        </w:tc>
        <w:tc>
          <w:tcPr>
            <w:tcW w:w="8605" w:type="dxa"/>
            <w:vAlign w:val="center"/>
          </w:tcPr>
          <w:p w14:paraId="498E44C5">
            <w:pPr>
              <w:spacing w:line="360" w:lineRule="auto"/>
              <w:ind w:firstLine="482" w:firstLineChars="200"/>
              <w:contextualSpacing/>
              <w:rPr>
                <w:b/>
                <w:bCs/>
                <w:color w:val="auto"/>
                <w:sz w:val="24"/>
              </w:rPr>
            </w:pPr>
            <w:r>
              <w:rPr>
                <w:b/>
                <w:bCs/>
                <w:color w:val="auto"/>
                <w:sz w:val="24"/>
              </w:rPr>
              <w:t>（一）废气</w:t>
            </w:r>
          </w:p>
          <w:p w14:paraId="485CB337">
            <w:pPr>
              <w:spacing w:line="360" w:lineRule="auto"/>
              <w:ind w:firstLine="480" w:firstLineChars="200"/>
              <w:contextualSpacing/>
              <w:rPr>
                <w:rFonts w:eastAsiaTheme="minorEastAsia"/>
                <w:bCs/>
                <w:color w:val="auto"/>
                <w:kern w:val="0"/>
                <w:sz w:val="24"/>
                <w:highlight w:val="yellow"/>
              </w:rPr>
            </w:pPr>
            <w:r>
              <w:rPr>
                <w:rFonts w:eastAsiaTheme="minorEastAsia"/>
                <w:color w:val="auto"/>
                <w:sz w:val="24"/>
              </w:rPr>
              <w:t>本项目设置一个</w:t>
            </w:r>
            <w:r>
              <w:rPr>
                <w:rFonts w:eastAsiaTheme="minorEastAsia"/>
                <w:bCs/>
                <w:color w:val="auto"/>
                <w:sz w:val="24"/>
              </w:rPr>
              <w:t>干燥筒，热量由1台</w:t>
            </w:r>
            <w:r>
              <w:rPr>
                <w:rFonts w:eastAsiaTheme="minorEastAsia"/>
                <w:color w:val="auto"/>
                <w:sz w:val="24"/>
              </w:rPr>
              <w:t>28MW燃</w:t>
            </w:r>
            <w:r>
              <w:rPr>
                <w:rFonts w:eastAsiaTheme="minorEastAsia"/>
                <w:bCs/>
                <w:color w:val="auto"/>
                <w:sz w:val="24"/>
              </w:rPr>
              <w:t>天然气</w:t>
            </w:r>
            <w:r>
              <w:rPr>
                <w:rFonts w:eastAsiaTheme="minorEastAsia"/>
                <w:color w:val="auto"/>
                <w:sz w:val="24"/>
              </w:rPr>
              <w:t>燃烧器</w:t>
            </w:r>
            <w:r>
              <w:rPr>
                <w:rFonts w:eastAsiaTheme="minorEastAsia"/>
                <w:bCs/>
                <w:color w:val="auto"/>
                <w:sz w:val="24"/>
              </w:rPr>
              <w:t>提供，用于加</w:t>
            </w:r>
            <w:r>
              <w:rPr>
                <w:rFonts w:eastAsiaTheme="minorEastAsia"/>
                <w:color w:val="auto"/>
                <w:sz w:val="24"/>
              </w:rPr>
              <w:t>热碎石，年工作</w:t>
            </w:r>
            <w:r>
              <w:rPr>
                <w:rFonts w:eastAsiaTheme="minorEastAsia"/>
                <w:color w:val="auto"/>
                <w:sz w:val="24"/>
              </w:rPr>
              <w:t>2</w:t>
            </w:r>
            <w:r>
              <w:rPr>
                <w:rFonts w:hint="eastAsia" w:eastAsiaTheme="minorEastAsia"/>
                <w:color w:val="auto"/>
                <w:sz w:val="24"/>
                <w:lang w:val="en-US" w:eastAsia="zh-CN"/>
              </w:rPr>
              <w:t>4</w:t>
            </w:r>
            <w:r>
              <w:rPr>
                <w:rFonts w:eastAsiaTheme="minorEastAsia"/>
                <w:color w:val="auto"/>
                <w:sz w:val="24"/>
              </w:rPr>
              <w:t>0</w:t>
            </w:r>
            <w:r>
              <w:rPr>
                <w:rFonts w:eastAsiaTheme="minorEastAsia"/>
                <w:color w:val="auto"/>
                <w:sz w:val="24"/>
              </w:rPr>
              <w:t>天，每天10h。</w:t>
            </w:r>
            <w:r>
              <w:rPr>
                <w:rFonts w:eastAsiaTheme="minorEastAsia"/>
                <w:bCs/>
                <w:color w:val="auto"/>
                <w:kern w:val="0"/>
                <w:sz w:val="24"/>
              </w:rPr>
              <w:t>燃天然气燃烧器出厂设计天然气使用量为1400m</w:t>
            </w:r>
            <w:r>
              <w:rPr>
                <w:rFonts w:eastAsiaTheme="minorEastAsia"/>
                <w:bCs/>
                <w:color w:val="auto"/>
                <w:kern w:val="0"/>
                <w:sz w:val="24"/>
                <w:vertAlign w:val="superscript"/>
              </w:rPr>
              <w:t>3</w:t>
            </w:r>
            <w:r>
              <w:rPr>
                <w:rFonts w:eastAsiaTheme="minorEastAsia"/>
                <w:bCs/>
                <w:color w:val="auto"/>
                <w:kern w:val="0"/>
                <w:sz w:val="24"/>
              </w:rPr>
              <w:t>/h，因此天然气使用量</w:t>
            </w:r>
            <w:r>
              <w:rPr>
                <w:rFonts w:eastAsiaTheme="minorEastAsia"/>
                <w:bCs/>
                <w:color w:val="auto"/>
                <w:kern w:val="0"/>
                <w:sz w:val="24"/>
              </w:rPr>
              <w:t>3</w:t>
            </w:r>
            <w:r>
              <w:rPr>
                <w:rFonts w:hint="eastAsia" w:eastAsiaTheme="minorEastAsia"/>
                <w:bCs/>
                <w:color w:val="auto"/>
                <w:kern w:val="0"/>
                <w:sz w:val="24"/>
                <w:lang w:val="en-US" w:eastAsia="zh-CN"/>
              </w:rPr>
              <w:t>36</w:t>
            </w:r>
            <w:r>
              <w:rPr>
                <w:rFonts w:eastAsiaTheme="minorEastAsia"/>
                <w:bCs/>
                <w:color w:val="auto"/>
                <w:kern w:val="0"/>
                <w:sz w:val="24"/>
              </w:rPr>
              <w:t>万m</w:t>
            </w:r>
            <w:r>
              <w:rPr>
                <w:rFonts w:eastAsiaTheme="minorEastAsia"/>
                <w:bCs/>
                <w:color w:val="auto"/>
                <w:kern w:val="0"/>
                <w:sz w:val="24"/>
                <w:vertAlign w:val="superscript"/>
              </w:rPr>
              <w:t>3</w:t>
            </w:r>
            <w:r>
              <w:rPr>
                <w:rFonts w:eastAsiaTheme="minorEastAsia"/>
                <w:bCs/>
                <w:color w:val="auto"/>
                <w:kern w:val="0"/>
                <w:sz w:val="24"/>
              </w:rPr>
              <w:t>/a。</w:t>
            </w:r>
          </w:p>
          <w:p w14:paraId="1566F205">
            <w:pPr>
              <w:spacing w:line="360" w:lineRule="auto"/>
              <w:ind w:firstLine="480" w:firstLineChars="200"/>
              <w:contextualSpacing/>
              <w:rPr>
                <w:rFonts w:eastAsiaTheme="minorEastAsia"/>
                <w:color w:val="auto"/>
                <w:kern w:val="0"/>
                <w:sz w:val="24"/>
              </w:rPr>
            </w:pPr>
            <w:r>
              <w:rPr>
                <w:rFonts w:eastAsiaTheme="minorEastAsia"/>
                <w:color w:val="auto"/>
                <w:sz w:val="24"/>
              </w:rPr>
              <w:t>沥青罐内的沥青通过1台</w:t>
            </w:r>
            <w:r>
              <w:rPr>
                <w:rFonts w:hint="eastAsia" w:eastAsiaTheme="minorEastAsia"/>
                <w:bCs/>
                <w:color w:val="auto"/>
                <w:kern w:val="0"/>
                <w:sz w:val="24"/>
                <w:lang w:val="en-US" w:eastAsia="zh-CN"/>
              </w:rPr>
              <w:t>1.5t</w:t>
            </w:r>
            <w:r>
              <w:rPr>
                <w:rFonts w:eastAsiaTheme="minorEastAsia"/>
                <w:bCs/>
                <w:color w:val="auto"/>
                <w:kern w:val="0"/>
                <w:sz w:val="24"/>
              </w:rPr>
              <w:t>的燃气导热油炉，</w:t>
            </w:r>
            <w:r>
              <w:rPr>
                <w:rFonts w:eastAsiaTheme="minorEastAsia"/>
                <w:color w:val="auto"/>
                <w:kern w:val="0"/>
                <w:sz w:val="24"/>
              </w:rPr>
              <w:t>燃天然气导热油炉每小时消耗天然气量=天然气锅炉功率/（天然气低位发热量×锅炉效率）× 3600（1兆瓦时=3600兆焦）</w:t>
            </w:r>
          </w:p>
          <w:p w14:paraId="4CB36753">
            <w:pPr>
              <w:spacing w:line="360" w:lineRule="auto"/>
              <w:ind w:firstLine="480" w:firstLineChars="200"/>
              <w:contextualSpacing/>
              <w:rPr>
                <w:rFonts w:eastAsiaTheme="minorEastAsia"/>
                <w:color w:val="auto"/>
                <w:kern w:val="0"/>
                <w:sz w:val="24"/>
              </w:rPr>
            </w:pPr>
            <w:r>
              <w:rPr>
                <w:rFonts w:eastAsiaTheme="minorEastAsia"/>
                <w:color w:val="auto"/>
                <w:kern w:val="0"/>
                <w:sz w:val="24"/>
              </w:rPr>
              <w:t>本项目天然气燃料分析报告中收到基低位热值为33.69MJ/m</w:t>
            </w:r>
            <w:r>
              <w:rPr>
                <w:rFonts w:eastAsiaTheme="minorEastAsia"/>
                <w:color w:val="auto"/>
                <w:kern w:val="0"/>
                <w:sz w:val="24"/>
                <w:vertAlign w:val="superscript"/>
              </w:rPr>
              <w:t>3</w:t>
            </w:r>
            <w:r>
              <w:rPr>
                <w:rFonts w:eastAsiaTheme="minorEastAsia"/>
                <w:color w:val="auto"/>
                <w:kern w:val="0"/>
                <w:sz w:val="24"/>
              </w:rPr>
              <w:t>，燃气导热油炉采用1级能效锅炉，热效率在96%以上，每小时消耗天然气量的计算过程如下：</w:t>
            </w:r>
          </w:p>
          <w:p w14:paraId="2753A9DF">
            <w:pPr>
              <w:spacing w:line="360" w:lineRule="auto"/>
              <w:ind w:firstLine="480" w:firstLineChars="200"/>
              <w:contextualSpacing/>
              <w:rPr>
                <w:rFonts w:eastAsiaTheme="minorEastAsia"/>
                <w:color w:val="auto"/>
                <w:kern w:val="0"/>
                <w:sz w:val="24"/>
              </w:rPr>
            </w:pPr>
            <w:r>
              <w:rPr>
                <w:rFonts w:eastAsiaTheme="minorEastAsia"/>
                <w:color w:val="auto"/>
                <w:kern w:val="0"/>
                <w:sz w:val="24"/>
              </w:rPr>
              <w:t>消耗天然气量=</w:t>
            </w:r>
            <w:r>
              <w:rPr>
                <w:rFonts w:eastAsiaTheme="minorEastAsia"/>
                <w:color w:val="auto"/>
                <w:kern w:val="0"/>
                <w:sz w:val="24"/>
              </w:rPr>
              <w:t>1.</w:t>
            </w:r>
            <w:r>
              <w:rPr>
                <w:rFonts w:hint="eastAsia" w:eastAsiaTheme="minorEastAsia"/>
                <w:color w:val="auto"/>
                <w:kern w:val="0"/>
                <w:sz w:val="24"/>
                <w:lang w:val="en-US" w:eastAsia="zh-CN"/>
              </w:rPr>
              <w:t>05</w:t>
            </w:r>
            <w:r>
              <w:rPr>
                <w:rFonts w:eastAsiaTheme="minorEastAsia"/>
                <w:color w:val="auto"/>
                <w:kern w:val="0"/>
                <w:sz w:val="24"/>
              </w:rPr>
              <w:t>MW/（33.69MJ/m</w:t>
            </w:r>
            <w:r>
              <w:rPr>
                <w:rFonts w:eastAsiaTheme="minorEastAsia"/>
                <w:color w:val="auto"/>
                <w:kern w:val="0"/>
                <w:sz w:val="24"/>
                <w:vertAlign w:val="superscript"/>
              </w:rPr>
              <w:t>3</w:t>
            </w:r>
            <w:r>
              <w:rPr>
                <w:rFonts w:eastAsiaTheme="minorEastAsia"/>
                <w:color w:val="auto"/>
                <w:kern w:val="0"/>
                <w:sz w:val="24"/>
              </w:rPr>
              <w:t>×96%）×3600=</w:t>
            </w:r>
            <w:r>
              <w:rPr>
                <w:rFonts w:eastAsiaTheme="minorEastAsia"/>
                <w:color w:val="auto"/>
                <w:kern w:val="0"/>
                <w:sz w:val="24"/>
              </w:rPr>
              <w:t>1</w:t>
            </w:r>
            <w:r>
              <w:rPr>
                <w:rFonts w:hint="eastAsia" w:eastAsiaTheme="minorEastAsia"/>
                <w:color w:val="auto"/>
                <w:kern w:val="0"/>
                <w:sz w:val="24"/>
                <w:lang w:val="en-US" w:eastAsia="zh-CN"/>
              </w:rPr>
              <w:t>16.87</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kern w:val="0"/>
                <w:sz w:val="24"/>
              </w:rPr>
              <w:t>/h，导热油炉运行时间为2</w:t>
            </w:r>
            <w:r>
              <w:rPr>
                <w:rFonts w:hint="eastAsia" w:eastAsiaTheme="minorEastAsia"/>
                <w:color w:val="auto"/>
                <w:kern w:val="0"/>
                <w:sz w:val="24"/>
                <w:lang w:val="en-US" w:eastAsia="zh-CN"/>
              </w:rPr>
              <w:t>4</w:t>
            </w:r>
            <w:r>
              <w:rPr>
                <w:rFonts w:eastAsiaTheme="minorEastAsia"/>
                <w:color w:val="auto"/>
                <w:kern w:val="0"/>
                <w:sz w:val="24"/>
              </w:rPr>
              <w:t>0天，每天工作10小时，共2</w:t>
            </w:r>
            <w:r>
              <w:rPr>
                <w:rFonts w:hint="eastAsia" w:eastAsiaTheme="minorEastAsia"/>
                <w:color w:val="auto"/>
                <w:kern w:val="0"/>
                <w:sz w:val="24"/>
                <w:lang w:val="en-US" w:eastAsia="zh-CN"/>
              </w:rPr>
              <w:t>4</w:t>
            </w:r>
            <w:r>
              <w:rPr>
                <w:rFonts w:eastAsiaTheme="minorEastAsia"/>
                <w:color w:val="auto"/>
                <w:kern w:val="0"/>
                <w:sz w:val="24"/>
              </w:rPr>
              <w:t>00h/a，则导热油炉天然气消耗量为</w:t>
            </w:r>
            <w:r>
              <w:rPr>
                <w:rFonts w:hint="eastAsia" w:eastAsiaTheme="minorEastAsia"/>
                <w:color w:val="auto"/>
                <w:kern w:val="0"/>
                <w:sz w:val="24"/>
                <w:lang w:val="en-US" w:eastAsia="zh-CN"/>
              </w:rPr>
              <w:t>28.05</w:t>
            </w:r>
            <w:r>
              <w:rPr>
                <w:rFonts w:eastAsiaTheme="minorEastAsia"/>
                <w:color w:val="auto"/>
                <w:kern w:val="0"/>
                <w:sz w:val="24"/>
              </w:rPr>
              <w:t>万m</w:t>
            </w:r>
            <w:r>
              <w:rPr>
                <w:rFonts w:eastAsiaTheme="minorEastAsia"/>
                <w:color w:val="auto"/>
                <w:kern w:val="0"/>
                <w:sz w:val="24"/>
                <w:vertAlign w:val="superscript"/>
              </w:rPr>
              <w:t>3</w:t>
            </w:r>
            <w:r>
              <w:rPr>
                <w:rFonts w:eastAsiaTheme="minorEastAsia"/>
                <w:color w:val="auto"/>
                <w:kern w:val="0"/>
                <w:sz w:val="24"/>
              </w:rPr>
              <w:t>/a。</w:t>
            </w:r>
          </w:p>
          <w:p w14:paraId="4D8A0A89">
            <w:pPr>
              <w:spacing w:line="360" w:lineRule="auto"/>
              <w:ind w:firstLine="480" w:firstLineChars="200"/>
              <w:contextualSpacing/>
              <w:jc w:val="left"/>
              <w:rPr>
                <w:rFonts w:eastAsiaTheme="minorEastAsia"/>
                <w:color w:val="auto"/>
                <w:sz w:val="24"/>
              </w:rPr>
            </w:pPr>
            <w:r>
              <w:rPr>
                <w:rFonts w:eastAsiaTheme="minorEastAsia"/>
                <w:color w:val="auto"/>
                <w:sz w:val="24"/>
              </w:rPr>
              <w:t>（1）上料过程粉尘</w:t>
            </w:r>
          </w:p>
          <w:p w14:paraId="1E48ACB9">
            <w:pPr>
              <w:spacing w:line="360" w:lineRule="auto"/>
              <w:ind w:firstLine="480" w:firstLineChars="200"/>
              <w:contextualSpacing/>
              <w:jc w:val="left"/>
              <w:rPr>
                <w:rFonts w:eastAsiaTheme="minorEastAsia"/>
                <w:color w:val="auto"/>
                <w:sz w:val="24"/>
              </w:rPr>
            </w:pPr>
            <w:r>
              <w:rPr>
                <w:rFonts w:eastAsiaTheme="minorEastAsia"/>
                <w:color w:val="auto"/>
                <w:sz w:val="24"/>
              </w:rPr>
              <w:t>本项目上料过程会有大量粉尘产生，年运行2</w:t>
            </w:r>
            <w:r>
              <w:rPr>
                <w:rFonts w:hint="eastAsia" w:eastAsiaTheme="minorEastAsia"/>
                <w:color w:val="auto"/>
                <w:sz w:val="24"/>
                <w:lang w:val="en-US" w:eastAsia="zh-CN"/>
              </w:rPr>
              <w:t>4</w:t>
            </w:r>
            <w:r>
              <w:rPr>
                <w:rFonts w:eastAsiaTheme="minorEastAsia"/>
                <w:color w:val="auto"/>
                <w:sz w:val="24"/>
              </w:rPr>
              <w:t>0天，每天运行10小时，参照《逸散性工业粉尘控制技术》粒料加工厂中送料上堆排放因子系数为0.0007kg/t（进料），</w:t>
            </w:r>
            <w:r>
              <w:rPr>
                <w:rFonts w:hint="eastAsia" w:eastAsiaTheme="minorEastAsia"/>
                <w:color w:val="auto"/>
                <w:sz w:val="24"/>
                <w:lang w:val="en-US" w:eastAsia="zh-CN"/>
              </w:rPr>
              <w:t>骨</w:t>
            </w:r>
            <w:r>
              <w:rPr>
                <w:rFonts w:eastAsiaTheme="minorEastAsia"/>
                <w:color w:val="auto"/>
                <w:sz w:val="24"/>
              </w:rPr>
              <w:t>料量为</w:t>
            </w:r>
            <w:r>
              <w:rPr>
                <w:rFonts w:hint="eastAsia" w:eastAsiaTheme="minorEastAsia"/>
                <w:color w:val="auto"/>
                <w:sz w:val="24"/>
                <w:lang w:val="en-US" w:eastAsia="zh-CN"/>
              </w:rPr>
              <w:t>305</w:t>
            </w:r>
            <w:r>
              <w:rPr>
                <w:rFonts w:eastAsiaTheme="minorEastAsia"/>
                <w:color w:val="auto"/>
                <w:sz w:val="24"/>
              </w:rPr>
              <w:t>000t/a，上料过程颗粒物最大产生量为0.</w:t>
            </w:r>
            <w:r>
              <w:rPr>
                <w:rFonts w:hint="eastAsia" w:eastAsiaTheme="minorEastAsia"/>
                <w:color w:val="auto"/>
                <w:sz w:val="24"/>
                <w:lang w:val="en-US" w:eastAsia="zh-CN"/>
              </w:rPr>
              <w:t>21</w:t>
            </w:r>
            <w:r>
              <w:rPr>
                <w:rFonts w:eastAsiaTheme="minorEastAsia"/>
                <w:color w:val="auto"/>
                <w:sz w:val="24"/>
              </w:rPr>
              <w:t>t/a、产生速率为0.0</w:t>
            </w:r>
            <w:r>
              <w:rPr>
                <w:rFonts w:hint="eastAsia" w:eastAsiaTheme="minorEastAsia"/>
                <w:color w:val="auto"/>
                <w:sz w:val="24"/>
                <w:lang w:val="en-US" w:eastAsia="zh-CN"/>
              </w:rPr>
              <w:t>89</w:t>
            </w:r>
            <w:r>
              <w:rPr>
                <w:rFonts w:eastAsiaTheme="minorEastAsia"/>
                <w:color w:val="auto"/>
                <w:sz w:val="24"/>
              </w:rPr>
              <w:t>kg/h，在冷料仓设置集气装置（集气效率90%），通过管道连接至除尘系统（重力+布袋），处理后经除尘系统烟囱（DA001）排放，除尘效率为99%，处理后粉尘排放量为0.001</w:t>
            </w:r>
            <w:r>
              <w:rPr>
                <w:rFonts w:hint="eastAsia" w:eastAsiaTheme="minorEastAsia"/>
                <w:color w:val="auto"/>
                <w:sz w:val="24"/>
                <w:lang w:val="en-US" w:eastAsia="zh-CN"/>
              </w:rPr>
              <w:t>9</w:t>
            </w:r>
            <w:r>
              <w:rPr>
                <w:rFonts w:eastAsiaTheme="minorEastAsia"/>
                <w:color w:val="auto"/>
                <w:sz w:val="24"/>
              </w:rPr>
              <w:t>t/a、排放速率为0.000</w:t>
            </w:r>
            <w:r>
              <w:rPr>
                <w:rFonts w:hint="eastAsia" w:eastAsiaTheme="minorEastAsia"/>
                <w:color w:val="auto"/>
                <w:sz w:val="24"/>
                <w:lang w:val="en-US" w:eastAsia="zh-CN"/>
              </w:rPr>
              <w:t>8</w:t>
            </w:r>
            <w:r>
              <w:rPr>
                <w:rFonts w:eastAsiaTheme="minorEastAsia"/>
                <w:color w:val="auto"/>
                <w:sz w:val="24"/>
              </w:rPr>
              <w:t>kg/h。</w:t>
            </w:r>
          </w:p>
          <w:p w14:paraId="12DF7E63">
            <w:pPr>
              <w:spacing w:line="360" w:lineRule="auto"/>
              <w:ind w:firstLine="480" w:firstLineChars="200"/>
              <w:contextualSpacing/>
              <w:rPr>
                <w:rFonts w:eastAsiaTheme="minorEastAsia"/>
                <w:bCs/>
                <w:color w:val="auto"/>
                <w:sz w:val="24"/>
              </w:rPr>
            </w:pPr>
            <w:r>
              <w:rPr>
                <w:rFonts w:eastAsiaTheme="minorEastAsia"/>
                <w:bCs/>
                <w:color w:val="auto"/>
                <w:sz w:val="24"/>
              </w:rPr>
              <w:t>（2）</w:t>
            </w:r>
            <w:r>
              <w:rPr>
                <w:rFonts w:hint="eastAsia" w:eastAsiaTheme="minorEastAsia"/>
                <w:bCs/>
                <w:color w:val="auto"/>
                <w:sz w:val="24"/>
                <w:lang w:val="en-US" w:eastAsia="zh-CN"/>
              </w:rPr>
              <w:t>骨料</w:t>
            </w:r>
            <w:r>
              <w:rPr>
                <w:rFonts w:eastAsiaTheme="minorEastAsia"/>
                <w:bCs/>
                <w:color w:val="auto"/>
                <w:sz w:val="24"/>
              </w:rPr>
              <w:t>烘干粉尘、</w:t>
            </w:r>
            <w:r>
              <w:rPr>
                <w:rFonts w:eastAsiaTheme="minorEastAsia"/>
                <w:color w:val="auto"/>
                <w:sz w:val="24"/>
              </w:rPr>
              <w:t>28MW燃</w:t>
            </w:r>
            <w:r>
              <w:rPr>
                <w:rFonts w:eastAsiaTheme="minorEastAsia"/>
                <w:bCs/>
                <w:color w:val="auto"/>
                <w:sz w:val="24"/>
              </w:rPr>
              <w:t>天然气</w:t>
            </w:r>
            <w:r>
              <w:rPr>
                <w:rFonts w:eastAsiaTheme="minorEastAsia"/>
                <w:color w:val="auto"/>
                <w:sz w:val="24"/>
              </w:rPr>
              <w:t>燃烧器烟气</w:t>
            </w:r>
            <w:r>
              <w:rPr>
                <w:rFonts w:eastAsiaTheme="minorEastAsia"/>
                <w:bCs/>
                <w:color w:val="auto"/>
                <w:sz w:val="24"/>
              </w:rPr>
              <w:t>、筛分粉尘、热料仓落料粉尘</w:t>
            </w:r>
          </w:p>
          <w:p w14:paraId="45484F66">
            <w:pPr>
              <w:spacing w:line="360" w:lineRule="auto"/>
              <w:ind w:firstLine="480" w:firstLineChars="200"/>
              <w:contextualSpacing/>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rFonts w:hAnsi="宋体"/>
                <w:bCs/>
                <w:color w:val="auto"/>
                <w:sz w:val="24"/>
              </w:rPr>
              <w:t>①</w:t>
            </w:r>
            <w:r>
              <w:rPr>
                <w:bCs/>
                <w:color w:val="auto"/>
                <w:sz w:val="24"/>
              </w:rPr>
              <w:fldChar w:fldCharType="end"/>
            </w:r>
            <w:r>
              <w:rPr>
                <w:rFonts w:hint="eastAsia"/>
                <w:bCs/>
                <w:color w:val="auto"/>
                <w:sz w:val="24"/>
                <w:lang w:val="en-US" w:eastAsia="zh-CN"/>
              </w:rPr>
              <w:t>冷</w:t>
            </w:r>
            <w:r>
              <w:rPr>
                <w:rFonts w:hint="eastAsia" w:eastAsiaTheme="minorEastAsia"/>
                <w:bCs/>
                <w:color w:val="auto"/>
                <w:sz w:val="24"/>
                <w:lang w:val="en-US" w:eastAsia="zh-CN"/>
              </w:rPr>
              <w:t>骨料</w:t>
            </w:r>
            <w:r>
              <w:rPr>
                <w:rFonts w:hint="eastAsia" w:hAnsi="宋体"/>
                <w:bCs/>
                <w:color w:val="auto"/>
                <w:sz w:val="24"/>
              </w:rPr>
              <w:t>烘干</w:t>
            </w:r>
            <w:r>
              <w:rPr>
                <w:rFonts w:hAnsi="宋体"/>
                <w:bCs/>
                <w:color w:val="auto"/>
                <w:sz w:val="24"/>
              </w:rPr>
              <w:t>产生的粉尘</w:t>
            </w:r>
          </w:p>
          <w:p w14:paraId="5AC18531">
            <w:pPr>
              <w:spacing w:line="360" w:lineRule="auto"/>
              <w:ind w:firstLine="480" w:firstLineChars="200"/>
              <w:contextualSpacing/>
              <w:rPr>
                <w:rFonts w:hAnsi="宋体"/>
                <w:color w:val="auto"/>
                <w:sz w:val="24"/>
              </w:rPr>
            </w:pPr>
            <w:r>
              <w:rPr>
                <w:rFonts w:hAnsi="宋体"/>
                <w:bCs/>
                <w:color w:val="auto"/>
                <w:sz w:val="24"/>
              </w:rPr>
              <w:t>项目为使沥青混凝土产品不至于因过快冷却而带来运输上的不便，</w:t>
            </w:r>
            <w:r>
              <w:rPr>
                <w:rFonts w:hint="eastAsia" w:eastAsiaTheme="minorEastAsia"/>
                <w:bCs/>
                <w:color w:val="auto"/>
                <w:sz w:val="24"/>
                <w:lang w:val="en-US" w:eastAsia="zh-CN"/>
              </w:rPr>
              <w:t>骨料</w:t>
            </w:r>
            <w:r>
              <w:rPr>
                <w:rFonts w:hAnsi="宋体"/>
                <w:bCs/>
                <w:color w:val="auto"/>
                <w:sz w:val="24"/>
              </w:rPr>
              <w:t>在上沥青前要经过加热处理，且通过密闭的干燥筒不停转动以使碎石料受热均匀，碎石料在干燥筒内加热时有粉尘产生。</w:t>
            </w:r>
            <w:r>
              <w:rPr>
                <w:rFonts w:hAnsi="宋体"/>
                <w:color w:val="auto"/>
                <w:sz w:val="24"/>
              </w:rPr>
              <w:t>年运行</w:t>
            </w:r>
            <w:r>
              <w:rPr>
                <w:rFonts w:hint="eastAsia"/>
                <w:color w:val="auto"/>
                <w:sz w:val="24"/>
              </w:rPr>
              <w:t>2</w:t>
            </w:r>
            <w:r>
              <w:rPr>
                <w:rFonts w:hint="eastAsia"/>
                <w:color w:val="auto"/>
                <w:sz w:val="24"/>
                <w:lang w:val="en-US" w:eastAsia="zh-CN"/>
              </w:rPr>
              <w:t>4</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小时，根据《逸散性工业粉尘控制技术》，粉尘产生量为</w:t>
            </w:r>
            <w:r>
              <w:rPr>
                <w:color w:val="auto"/>
                <w:sz w:val="24"/>
              </w:rPr>
              <w:t>0.25kg/t</w:t>
            </w:r>
            <w:r>
              <w:rPr>
                <w:rFonts w:hAnsi="宋体"/>
                <w:color w:val="auto"/>
                <w:sz w:val="24"/>
              </w:rPr>
              <w:t>原料，</w:t>
            </w:r>
            <w:r>
              <w:rPr>
                <w:rFonts w:hAnsi="宋体"/>
                <w:bCs/>
                <w:color w:val="auto"/>
                <w:sz w:val="24"/>
              </w:rPr>
              <w:t>则粉尘产生量</w:t>
            </w:r>
            <w:r>
              <w:rPr>
                <w:rFonts w:hint="eastAsia"/>
                <w:bCs/>
                <w:color w:val="auto"/>
                <w:sz w:val="24"/>
                <w:lang w:val="en-US" w:eastAsia="zh-CN"/>
              </w:rPr>
              <w:t>76.25</w:t>
            </w:r>
            <w:r>
              <w:rPr>
                <w:bCs/>
                <w:color w:val="auto"/>
                <w:sz w:val="24"/>
              </w:rPr>
              <w:t>t/a</w:t>
            </w:r>
            <w:r>
              <w:rPr>
                <w:rFonts w:hAnsi="宋体"/>
                <w:bCs/>
                <w:color w:val="auto"/>
                <w:sz w:val="24"/>
              </w:rPr>
              <w:t>、</w:t>
            </w:r>
            <w:r>
              <w:rPr>
                <w:rFonts w:hint="eastAsia"/>
                <w:bCs/>
                <w:color w:val="auto"/>
                <w:sz w:val="24"/>
                <w:lang w:val="en-US" w:eastAsia="zh-CN"/>
              </w:rPr>
              <w:t>31.8</w:t>
            </w:r>
            <w:r>
              <w:rPr>
                <w:bCs/>
                <w:color w:val="auto"/>
                <w:sz w:val="24"/>
              </w:rPr>
              <w:t>kg/h</w:t>
            </w:r>
            <w:r>
              <w:rPr>
                <w:rFonts w:hAnsi="宋体"/>
                <w:bCs/>
                <w:color w:val="auto"/>
                <w:sz w:val="24"/>
              </w:rPr>
              <w:t>，</w:t>
            </w:r>
            <w:r>
              <w:rPr>
                <w:rFonts w:hint="eastAsia" w:hAnsi="宋体"/>
                <w:color w:val="auto"/>
                <w:sz w:val="24"/>
              </w:rPr>
              <w:t>经</w:t>
            </w:r>
            <w:r>
              <w:rPr>
                <w:rFonts w:hint="eastAsia"/>
                <w:color w:val="auto"/>
                <w:sz w:val="24"/>
              </w:rPr>
              <w:t>除尘</w:t>
            </w:r>
            <w:r>
              <w:rPr>
                <w:color w:val="auto"/>
                <w:sz w:val="24"/>
              </w:rPr>
              <w:t>系统</w:t>
            </w:r>
            <w:r>
              <w:rPr>
                <w:rFonts w:hAnsi="宋体"/>
                <w:color w:val="auto"/>
                <w:sz w:val="24"/>
              </w:rPr>
              <w:t>（重力</w:t>
            </w:r>
            <w:r>
              <w:rPr>
                <w:rFonts w:hint="eastAsia" w:hAnsi="宋体"/>
                <w:color w:val="auto"/>
                <w:sz w:val="24"/>
              </w:rPr>
              <w:t>+布袋，</w:t>
            </w:r>
            <w:r>
              <w:rPr>
                <w:rFonts w:hAnsi="宋体"/>
                <w:color w:val="auto"/>
                <w:sz w:val="24"/>
              </w:rPr>
              <w:t>除尘效率</w:t>
            </w:r>
            <w:r>
              <w:rPr>
                <w:color w:val="auto"/>
                <w:sz w:val="24"/>
              </w:rPr>
              <w:t>99%</w:t>
            </w:r>
            <w:r>
              <w:rPr>
                <w:rFonts w:hAnsi="宋体"/>
                <w:color w:val="auto"/>
                <w:sz w:val="24"/>
              </w:rPr>
              <w:t>）处理后，由</w:t>
            </w:r>
            <w:r>
              <w:rPr>
                <w:rFonts w:hint="eastAsia"/>
                <w:color w:val="auto"/>
                <w:sz w:val="24"/>
              </w:rPr>
              <w:t>15</w:t>
            </w:r>
            <w:r>
              <w:rPr>
                <w:color w:val="auto"/>
                <w:sz w:val="24"/>
              </w:rPr>
              <w:t>m</w:t>
            </w:r>
            <w:r>
              <w:rPr>
                <w:rFonts w:hAnsi="宋体"/>
                <w:color w:val="auto"/>
                <w:sz w:val="24"/>
              </w:rPr>
              <w:t>高</w:t>
            </w:r>
            <w:r>
              <w:rPr>
                <w:rFonts w:hint="eastAsia"/>
                <w:color w:val="auto"/>
                <w:sz w:val="24"/>
              </w:rPr>
              <w:t>除尘</w:t>
            </w:r>
            <w:r>
              <w:rPr>
                <w:color w:val="auto"/>
                <w:sz w:val="24"/>
              </w:rPr>
              <w:t>系统烟囱</w:t>
            </w:r>
            <w:r>
              <w:rPr>
                <w:rFonts w:hint="eastAsia"/>
                <w:color w:val="auto"/>
                <w:sz w:val="24"/>
              </w:rPr>
              <w:t>（DA001）</w:t>
            </w:r>
            <w:r>
              <w:rPr>
                <w:rFonts w:hAnsi="宋体"/>
                <w:color w:val="auto"/>
                <w:sz w:val="24"/>
              </w:rPr>
              <w:t>排放，处理后粉尘排放量为</w:t>
            </w:r>
            <w:r>
              <w:rPr>
                <w:rFonts w:hAnsi="宋体"/>
                <w:color w:val="auto"/>
                <w:sz w:val="24"/>
              </w:rPr>
              <w:t>0.</w:t>
            </w:r>
            <w:r>
              <w:rPr>
                <w:rFonts w:hint="eastAsia" w:hAnsi="宋体"/>
                <w:color w:val="auto"/>
                <w:sz w:val="24"/>
                <w:lang w:val="en-US" w:eastAsia="zh-CN"/>
              </w:rPr>
              <w:t>76</w:t>
            </w:r>
            <w:r>
              <w:rPr>
                <w:rFonts w:hAnsi="宋体"/>
                <w:color w:val="auto"/>
                <w:sz w:val="24"/>
              </w:rPr>
              <w:t>t/a、排放速率为0.</w:t>
            </w:r>
            <w:r>
              <w:rPr>
                <w:rFonts w:hint="eastAsia" w:hAnsi="宋体"/>
                <w:color w:val="auto"/>
                <w:sz w:val="24"/>
                <w:lang w:val="en-US" w:eastAsia="zh-CN"/>
              </w:rPr>
              <w:t>318</w:t>
            </w:r>
            <w:r>
              <w:rPr>
                <w:rFonts w:hAnsi="宋体"/>
                <w:color w:val="auto"/>
                <w:sz w:val="24"/>
              </w:rPr>
              <w:t>kg/h</w:t>
            </w:r>
            <w:r>
              <w:rPr>
                <w:rFonts w:hAnsi="宋体"/>
                <w:color w:val="auto"/>
                <w:sz w:val="24"/>
              </w:rPr>
              <w:t>。</w:t>
            </w:r>
          </w:p>
          <w:p w14:paraId="4947116F">
            <w:pPr>
              <w:spacing w:line="360" w:lineRule="auto"/>
              <w:ind w:firstLine="480" w:firstLineChars="200"/>
              <w:contextualSpacing/>
              <w:rPr>
                <w:bCs/>
                <w:color w:val="auto"/>
                <w:sz w:val="24"/>
              </w:rPr>
            </w:pPr>
            <w:r>
              <w:rPr>
                <w:rFonts w:hAnsi="宋体"/>
                <w:bCs/>
                <w:color w:val="auto"/>
                <w:sz w:val="24"/>
              </w:rPr>
              <w:fldChar w:fldCharType="begin"/>
            </w:r>
            <w:r>
              <w:rPr>
                <w:rFonts w:hAnsi="宋体"/>
                <w:bCs/>
                <w:color w:val="auto"/>
                <w:sz w:val="24"/>
              </w:rPr>
              <w:instrText xml:space="preserve"> = 2 \* GB3 </w:instrText>
            </w:r>
            <w:r>
              <w:rPr>
                <w:rFonts w:hAnsi="宋体"/>
                <w:bCs/>
                <w:color w:val="auto"/>
                <w:sz w:val="24"/>
              </w:rPr>
              <w:fldChar w:fldCharType="separate"/>
            </w:r>
            <w:r>
              <w:rPr>
                <w:rFonts w:hint="eastAsia" w:hAnsi="宋体"/>
                <w:bCs/>
                <w:color w:val="auto"/>
                <w:sz w:val="24"/>
              </w:rPr>
              <w:t>②</w:t>
            </w:r>
            <w:r>
              <w:rPr>
                <w:rFonts w:hAnsi="宋体"/>
                <w:bCs/>
                <w:color w:val="auto"/>
                <w:sz w:val="24"/>
              </w:rPr>
              <w:fldChar w:fldCharType="end"/>
            </w:r>
            <w:r>
              <w:rPr>
                <w:rFonts w:hint="eastAsia"/>
                <w:color w:val="auto"/>
                <w:sz w:val="24"/>
              </w:rPr>
              <w:t>28MW</w:t>
            </w:r>
            <w:r>
              <w:rPr>
                <w:color w:val="auto"/>
                <w:sz w:val="24"/>
              </w:rPr>
              <w:t>燃</w:t>
            </w:r>
            <w:r>
              <w:rPr>
                <w:rFonts w:hint="eastAsia"/>
                <w:bCs/>
                <w:color w:val="auto"/>
                <w:sz w:val="24"/>
              </w:rPr>
              <w:t>天然气</w:t>
            </w:r>
            <w:r>
              <w:rPr>
                <w:color w:val="auto"/>
                <w:sz w:val="24"/>
              </w:rPr>
              <w:t>燃烧器</w:t>
            </w:r>
            <w:r>
              <w:rPr>
                <w:rFonts w:hAnsi="宋体"/>
                <w:bCs/>
                <w:color w:val="auto"/>
                <w:sz w:val="24"/>
              </w:rPr>
              <w:t>烟气</w:t>
            </w:r>
          </w:p>
          <w:p w14:paraId="4B10E770">
            <w:pPr>
              <w:spacing w:line="360" w:lineRule="auto"/>
              <w:ind w:firstLine="480" w:firstLineChars="200"/>
              <w:rPr>
                <w:rFonts w:hAnsi="宋体"/>
                <w:color w:val="auto"/>
                <w:sz w:val="24"/>
              </w:rPr>
            </w:pPr>
            <w:r>
              <w:rPr>
                <w:rFonts w:hAnsi="宋体"/>
                <w:color w:val="auto"/>
                <w:sz w:val="24"/>
              </w:rPr>
              <w:t>本项目骨料热处理热源为</w:t>
            </w:r>
            <w:r>
              <w:rPr>
                <w:color w:val="auto"/>
                <w:sz w:val="24"/>
              </w:rPr>
              <w:t>1</w:t>
            </w:r>
            <w:r>
              <w:rPr>
                <w:rFonts w:hAnsi="宋体"/>
                <w:color w:val="auto"/>
                <w:sz w:val="24"/>
              </w:rPr>
              <w:t>台</w:t>
            </w:r>
            <w:r>
              <w:rPr>
                <w:rFonts w:hint="eastAsia"/>
                <w:color w:val="auto"/>
                <w:sz w:val="24"/>
              </w:rPr>
              <w:t>28MW</w:t>
            </w:r>
            <w:r>
              <w:rPr>
                <w:color w:val="auto"/>
                <w:sz w:val="24"/>
              </w:rPr>
              <w:t>燃</w:t>
            </w:r>
            <w:r>
              <w:rPr>
                <w:rFonts w:hint="eastAsia"/>
                <w:bCs/>
                <w:color w:val="auto"/>
                <w:sz w:val="24"/>
              </w:rPr>
              <w:t>天然气</w:t>
            </w:r>
            <w:r>
              <w:rPr>
                <w:color w:val="auto"/>
                <w:sz w:val="24"/>
              </w:rPr>
              <w:t>燃烧器</w:t>
            </w:r>
            <w:r>
              <w:rPr>
                <w:rFonts w:hAnsi="宋体"/>
                <w:color w:val="auto"/>
                <w:sz w:val="24"/>
              </w:rPr>
              <w:t>，燃</w:t>
            </w:r>
            <w:r>
              <w:rPr>
                <w:rFonts w:hint="eastAsia" w:hAnsi="宋体"/>
                <w:color w:val="auto"/>
                <w:sz w:val="24"/>
              </w:rPr>
              <w:t>天然气</w:t>
            </w:r>
            <w:r>
              <w:rPr>
                <w:rFonts w:hAnsi="宋体"/>
                <w:color w:val="auto"/>
                <w:sz w:val="24"/>
              </w:rPr>
              <w:t>量约</w:t>
            </w:r>
            <w:r>
              <w:rPr>
                <w:rFonts w:hint="eastAsia"/>
                <w:color w:val="auto"/>
                <w:sz w:val="24"/>
              </w:rPr>
              <w:t>3</w:t>
            </w:r>
            <w:r>
              <w:rPr>
                <w:rFonts w:hint="eastAsia"/>
                <w:color w:val="auto"/>
                <w:sz w:val="24"/>
                <w:lang w:val="en-US" w:eastAsia="zh-CN"/>
              </w:rPr>
              <w:t>36</w:t>
            </w:r>
            <w:r>
              <w:rPr>
                <w:rFonts w:hint="eastAsia"/>
                <w:color w:val="auto"/>
                <w:sz w:val="24"/>
              </w:rPr>
              <w:t>万</w:t>
            </w:r>
            <w:r>
              <w:rPr>
                <w:color w:val="auto"/>
                <w:sz w:val="24"/>
              </w:rPr>
              <w:t>m³/a</w:t>
            </w:r>
            <w:r>
              <w:rPr>
                <w:rFonts w:hAnsi="宋体"/>
                <w:color w:val="auto"/>
                <w:sz w:val="24"/>
              </w:rPr>
              <w:t>，年运行</w:t>
            </w:r>
            <w:r>
              <w:rPr>
                <w:rFonts w:hint="eastAsia"/>
                <w:color w:val="auto"/>
                <w:sz w:val="24"/>
              </w:rPr>
              <w:t>2</w:t>
            </w:r>
            <w:r>
              <w:rPr>
                <w:rFonts w:hint="eastAsia"/>
                <w:color w:val="auto"/>
                <w:sz w:val="24"/>
                <w:lang w:val="en-US" w:eastAsia="zh-CN"/>
              </w:rPr>
              <w:t>4</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小时，烟气</w:t>
            </w:r>
            <w:r>
              <w:rPr>
                <w:rFonts w:hint="eastAsia" w:hAnsi="宋体"/>
                <w:color w:val="auto"/>
                <w:sz w:val="24"/>
              </w:rPr>
              <w:t>经除尘系统（重力+布袋）处理后，由15m高除尘系统排气筒（DA001）排放，除尘效率为99%。</w:t>
            </w:r>
          </w:p>
          <w:p w14:paraId="2D048099">
            <w:pPr>
              <w:spacing w:line="360" w:lineRule="auto"/>
              <w:ind w:firstLine="480" w:firstLineChars="200"/>
              <w:rPr>
                <w:color w:val="auto"/>
                <w:sz w:val="24"/>
              </w:rPr>
            </w:pPr>
            <w:r>
              <w:rPr>
                <w:color w:val="auto"/>
                <w:sz w:val="24"/>
              </w:rPr>
              <w:t>参考《未纳入排污许可管理行业适用的排污系数、物料衡算方法（试行）》中能够独立计量燃料消耗的，各污染物排放量核算方法如下：</w:t>
            </w:r>
          </w:p>
          <w:p w14:paraId="51DA0156">
            <w:pPr>
              <w:spacing w:line="360" w:lineRule="auto"/>
              <w:ind w:firstLine="480" w:firstLineChars="200"/>
              <w:rPr>
                <w:color w:val="auto"/>
                <w:sz w:val="24"/>
              </w:rPr>
            </w:pPr>
            <w:r>
              <w:rPr>
                <w:color w:val="auto"/>
                <w:sz w:val="24"/>
              </w:rPr>
              <w:t>二氧化硫排放量核算方法为：</w:t>
            </w:r>
          </w:p>
          <w:p w14:paraId="01138748">
            <w:pPr>
              <w:spacing w:line="360" w:lineRule="auto"/>
              <w:jc w:val="center"/>
              <w:rPr>
                <w:color w:val="auto"/>
                <w:sz w:val="24"/>
              </w:rPr>
            </w:pPr>
            <w:r>
              <w:rPr>
                <w:color w:val="auto"/>
                <w:sz w:val="24"/>
              </w:rPr>
              <w:t>Pso</w:t>
            </w:r>
            <w:r>
              <w:rPr>
                <w:color w:val="auto"/>
                <w:sz w:val="24"/>
                <w:vertAlign w:val="subscript"/>
              </w:rPr>
              <w:t>2</w:t>
            </w:r>
            <w:r>
              <w:rPr>
                <w:color w:val="auto"/>
                <w:sz w:val="24"/>
              </w:rPr>
              <w:t>=Q×η×0.85×2×10</w:t>
            </w:r>
          </w:p>
          <w:p w14:paraId="35EB476E">
            <w:pPr>
              <w:spacing w:line="360" w:lineRule="auto"/>
              <w:rPr>
                <w:color w:val="auto"/>
                <w:sz w:val="24"/>
              </w:rPr>
            </w:pPr>
            <w:r>
              <w:rPr>
                <w:color w:val="auto"/>
                <w:sz w:val="24"/>
              </w:rPr>
              <w:t>式中：Pso</w:t>
            </w:r>
            <w:r>
              <w:rPr>
                <w:color w:val="auto"/>
                <w:sz w:val="24"/>
                <w:vertAlign w:val="subscript"/>
              </w:rPr>
              <w:t>2</w:t>
            </w:r>
            <w:r>
              <w:rPr>
                <w:color w:val="auto"/>
                <w:sz w:val="24"/>
              </w:rPr>
              <w:t>为二氧化硫排放量（千克）；</w:t>
            </w:r>
          </w:p>
          <w:p w14:paraId="36CD279E">
            <w:pPr>
              <w:spacing w:line="360" w:lineRule="auto"/>
              <w:rPr>
                <w:color w:val="auto"/>
                <w:sz w:val="24"/>
              </w:rPr>
            </w:pPr>
            <w:r>
              <w:rPr>
                <w:color w:val="auto"/>
                <w:sz w:val="24"/>
              </w:rPr>
              <w:t xml:space="preserve">      Q为燃料消耗量（万m</w:t>
            </w:r>
            <w:r>
              <w:rPr>
                <w:color w:val="auto"/>
                <w:sz w:val="24"/>
                <w:vertAlign w:val="superscript"/>
              </w:rPr>
              <w:t>3</w:t>
            </w:r>
            <w:r>
              <w:rPr>
                <w:color w:val="auto"/>
                <w:sz w:val="24"/>
              </w:rPr>
              <w:t>），取</w:t>
            </w:r>
            <w:r>
              <w:rPr>
                <w:color w:val="auto"/>
                <w:sz w:val="24"/>
              </w:rPr>
              <w:t>3</w:t>
            </w:r>
            <w:r>
              <w:rPr>
                <w:rFonts w:hint="eastAsia"/>
                <w:color w:val="auto"/>
                <w:sz w:val="24"/>
                <w:lang w:val="en-US" w:eastAsia="zh-CN"/>
              </w:rPr>
              <w:t>36</w:t>
            </w:r>
            <w:r>
              <w:rPr>
                <w:color w:val="auto"/>
                <w:sz w:val="24"/>
              </w:rPr>
              <w:t>万m</w:t>
            </w:r>
            <w:r>
              <w:rPr>
                <w:color w:val="auto"/>
                <w:sz w:val="24"/>
                <w:vertAlign w:val="superscript"/>
              </w:rPr>
              <w:t>3</w:t>
            </w:r>
            <w:r>
              <w:rPr>
                <w:color w:val="auto"/>
                <w:sz w:val="24"/>
              </w:rPr>
              <w:t>；</w:t>
            </w:r>
          </w:p>
          <w:p w14:paraId="1476ED4E">
            <w:pPr>
              <w:spacing w:line="360" w:lineRule="auto"/>
              <w:rPr>
                <w:color w:val="auto"/>
                <w:sz w:val="24"/>
              </w:rPr>
            </w:pPr>
            <w:r>
              <w:rPr>
                <w:color w:val="auto"/>
                <w:sz w:val="24"/>
              </w:rPr>
              <w:t xml:space="preserve">      η为燃料含硫量（%），取0.0002%。</w:t>
            </w:r>
          </w:p>
          <w:p w14:paraId="5372D2CF">
            <w:pPr>
              <w:spacing w:line="360" w:lineRule="auto"/>
              <w:rPr>
                <w:color w:val="auto"/>
                <w:sz w:val="24"/>
              </w:rPr>
            </w:pPr>
            <w:r>
              <w:rPr>
                <w:color w:val="auto"/>
                <w:sz w:val="24"/>
              </w:rPr>
              <w:t>氮氧化物排放量核算方法为：</w:t>
            </w:r>
          </w:p>
          <w:p w14:paraId="20C721E6">
            <w:pPr>
              <w:spacing w:line="360" w:lineRule="auto"/>
              <w:jc w:val="center"/>
              <w:rPr>
                <w:color w:val="auto"/>
                <w:sz w:val="24"/>
              </w:rPr>
            </w:pPr>
            <w:r>
              <w:rPr>
                <w:color w:val="auto"/>
                <w:sz w:val="24"/>
              </w:rPr>
              <w:t>P</w:t>
            </w:r>
            <w:r>
              <w:rPr>
                <w:color w:val="auto"/>
                <w:sz w:val="24"/>
                <w:vertAlign w:val="subscript"/>
              </w:rPr>
              <w:t>NOx</w:t>
            </w:r>
            <w:r>
              <w:rPr>
                <w:color w:val="auto"/>
                <w:sz w:val="24"/>
              </w:rPr>
              <w:t>=Q×μ</w:t>
            </w:r>
          </w:p>
          <w:p w14:paraId="18C9BEB8">
            <w:pPr>
              <w:spacing w:line="360" w:lineRule="auto"/>
              <w:rPr>
                <w:color w:val="auto"/>
                <w:sz w:val="24"/>
              </w:rPr>
            </w:pPr>
            <w:r>
              <w:rPr>
                <w:color w:val="auto"/>
                <w:sz w:val="24"/>
              </w:rPr>
              <w:t>式中：P</w:t>
            </w:r>
            <w:r>
              <w:rPr>
                <w:color w:val="auto"/>
                <w:sz w:val="24"/>
                <w:vertAlign w:val="subscript"/>
              </w:rPr>
              <w:t>NOx</w:t>
            </w:r>
            <w:r>
              <w:rPr>
                <w:color w:val="auto"/>
                <w:sz w:val="24"/>
              </w:rPr>
              <w:t>为氮氧化物排放量（千克）；</w:t>
            </w:r>
          </w:p>
          <w:p w14:paraId="53138683">
            <w:pPr>
              <w:spacing w:line="360" w:lineRule="auto"/>
              <w:rPr>
                <w:color w:val="auto"/>
                <w:sz w:val="24"/>
              </w:rPr>
            </w:pPr>
            <w:r>
              <w:rPr>
                <w:color w:val="auto"/>
                <w:sz w:val="24"/>
              </w:rPr>
              <w:t xml:space="preserve">      Q为燃料消耗量（万m</w:t>
            </w:r>
            <w:r>
              <w:rPr>
                <w:color w:val="auto"/>
                <w:sz w:val="24"/>
                <w:vertAlign w:val="superscript"/>
              </w:rPr>
              <w:t>3</w:t>
            </w:r>
            <w:r>
              <w:rPr>
                <w:color w:val="auto"/>
                <w:sz w:val="24"/>
              </w:rPr>
              <w:t>），取</w:t>
            </w:r>
            <w:r>
              <w:rPr>
                <w:color w:val="auto"/>
                <w:sz w:val="24"/>
              </w:rPr>
              <w:t>3</w:t>
            </w:r>
            <w:r>
              <w:rPr>
                <w:rFonts w:hint="eastAsia"/>
                <w:color w:val="auto"/>
                <w:sz w:val="24"/>
                <w:lang w:val="en-US" w:eastAsia="zh-CN"/>
              </w:rPr>
              <w:t>36</w:t>
            </w:r>
            <w:r>
              <w:rPr>
                <w:color w:val="auto"/>
                <w:sz w:val="24"/>
              </w:rPr>
              <w:t>万m</w:t>
            </w:r>
            <w:r>
              <w:rPr>
                <w:color w:val="auto"/>
                <w:sz w:val="24"/>
                <w:vertAlign w:val="superscript"/>
              </w:rPr>
              <w:t>3</w:t>
            </w:r>
            <w:r>
              <w:rPr>
                <w:color w:val="auto"/>
                <w:sz w:val="24"/>
              </w:rPr>
              <w:t>；</w:t>
            </w:r>
          </w:p>
          <w:p w14:paraId="1E3819F8">
            <w:pPr>
              <w:spacing w:line="360" w:lineRule="auto"/>
              <w:ind w:firstLine="720" w:firstLineChars="300"/>
              <w:rPr>
                <w:color w:val="auto"/>
                <w:sz w:val="24"/>
              </w:rPr>
            </w:pPr>
            <w:r>
              <w:rPr>
                <w:color w:val="auto"/>
                <w:sz w:val="24"/>
              </w:rPr>
              <w:t>μ为排污系数，天然气取8千克/万立方米天然气。</w:t>
            </w:r>
          </w:p>
          <w:p w14:paraId="590997EF">
            <w:pPr>
              <w:spacing w:line="360" w:lineRule="auto"/>
              <w:rPr>
                <w:color w:val="auto"/>
                <w:sz w:val="24"/>
              </w:rPr>
            </w:pPr>
            <w:r>
              <w:rPr>
                <w:rFonts w:hint="eastAsia"/>
                <w:color w:val="auto"/>
                <w:sz w:val="24"/>
              </w:rPr>
              <w:t>烟尘排放量核算方法为：</w:t>
            </w:r>
          </w:p>
          <w:p w14:paraId="7EDCC771">
            <w:pPr>
              <w:spacing w:line="360" w:lineRule="auto"/>
              <w:jc w:val="center"/>
              <w:rPr>
                <w:color w:val="auto"/>
                <w:sz w:val="24"/>
              </w:rPr>
            </w:pPr>
            <w:r>
              <w:rPr>
                <w:rFonts w:hint="eastAsia"/>
                <w:color w:val="auto"/>
                <w:sz w:val="24"/>
              </w:rPr>
              <w:t>P</w:t>
            </w:r>
            <w:r>
              <w:rPr>
                <w:rFonts w:hint="eastAsia"/>
                <w:color w:val="auto"/>
                <w:sz w:val="24"/>
                <w:vertAlign w:val="subscript"/>
              </w:rPr>
              <w:t>烟尘</w:t>
            </w:r>
            <w:r>
              <w:rPr>
                <w:rFonts w:hint="eastAsia"/>
                <w:color w:val="auto"/>
                <w:sz w:val="24"/>
              </w:rPr>
              <w:t>=Q×</w:t>
            </w:r>
            <w:r>
              <w:rPr>
                <w:color w:val="auto"/>
                <w:sz w:val="24"/>
              </w:rPr>
              <w:t>ρ</w:t>
            </w:r>
          </w:p>
          <w:p w14:paraId="2981DED4">
            <w:pPr>
              <w:spacing w:line="360" w:lineRule="auto"/>
              <w:rPr>
                <w:color w:val="auto"/>
                <w:sz w:val="24"/>
              </w:rPr>
            </w:pPr>
            <w:r>
              <w:rPr>
                <w:color w:val="auto"/>
                <w:sz w:val="24"/>
              </w:rPr>
              <w:t>式中：P</w:t>
            </w:r>
            <w:r>
              <w:rPr>
                <w:color w:val="auto"/>
                <w:sz w:val="24"/>
                <w:vertAlign w:val="subscript"/>
              </w:rPr>
              <w:t>烟尘</w:t>
            </w:r>
            <w:r>
              <w:rPr>
                <w:color w:val="auto"/>
                <w:sz w:val="24"/>
              </w:rPr>
              <w:t>为烟尘排放量（千克）；</w:t>
            </w:r>
          </w:p>
          <w:p w14:paraId="6C3E76D6">
            <w:pPr>
              <w:spacing w:line="360" w:lineRule="auto"/>
              <w:rPr>
                <w:color w:val="auto"/>
                <w:sz w:val="24"/>
              </w:rPr>
            </w:pPr>
            <w:r>
              <w:rPr>
                <w:color w:val="auto"/>
                <w:sz w:val="24"/>
              </w:rPr>
              <w:t xml:space="preserve">      Q为燃料消耗量（万m</w:t>
            </w:r>
            <w:r>
              <w:rPr>
                <w:color w:val="auto"/>
                <w:sz w:val="24"/>
                <w:vertAlign w:val="superscript"/>
              </w:rPr>
              <w:t>3</w:t>
            </w:r>
            <w:r>
              <w:rPr>
                <w:color w:val="auto"/>
                <w:sz w:val="24"/>
              </w:rPr>
              <w:t>），取</w:t>
            </w:r>
            <w:r>
              <w:rPr>
                <w:color w:val="auto"/>
                <w:sz w:val="24"/>
              </w:rPr>
              <w:t>3</w:t>
            </w:r>
            <w:r>
              <w:rPr>
                <w:rFonts w:hint="eastAsia"/>
                <w:color w:val="auto"/>
                <w:sz w:val="24"/>
                <w:lang w:val="en-US" w:eastAsia="zh-CN"/>
              </w:rPr>
              <w:t>36</w:t>
            </w:r>
            <w:r>
              <w:rPr>
                <w:color w:val="auto"/>
                <w:sz w:val="24"/>
              </w:rPr>
              <w:t>万m</w:t>
            </w:r>
            <w:r>
              <w:rPr>
                <w:color w:val="auto"/>
                <w:sz w:val="24"/>
                <w:vertAlign w:val="superscript"/>
              </w:rPr>
              <w:t>3</w:t>
            </w:r>
            <w:r>
              <w:rPr>
                <w:color w:val="auto"/>
                <w:sz w:val="24"/>
              </w:rPr>
              <w:t>；</w:t>
            </w:r>
          </w:p>
          <w:p w14:paraId="31E018F2">
            <w:pPr>
              <w:spacing w:line="360" w:lineRule="auto"/>
              <w:ind w:firstLine="720" w:firstLineChars="300"/>
              <w:rPr>
                <w:color w:val="auto"/>
                <w:sz w:val="24"/>
              </w:rPr>
            </w:pPr>
            <w:r>
              <w:rPr>
                <w:color w:val="auto"/>
                <w:sz w:val="24"/>
              </w:rPr>
              <w:t>ρ为排污系数，根据</w:t>
            </w:r>
            <w:r>
              <w:rPr>
                <w:rFonts w:hAnsi="宋体"/>
                <w:color w:val="auto"/>
                <w:sz w:val="24"/>
              </w:rPr>
              <w:t>《建设项目环境保护</w:t>
            </w:r>
            <w:r>
              <w:rPr>
                <w:rFonts w:hint="eastAsia" w:ascii="宋体" w:hAnsi="宋体" w:cs="宋体"/>
                <w:color w:val="auto"/>
                <w:sz w:val="24"/>
              </w:rPr>
              <w:t>实用手册》（苏绍梅主编）表</w:t>
            </w:r>
            <w:r>
              <w:rPr>
                <w:color w:val="auto"/>
                <w:sz w:val="24"/>
              </w:rPr>
              <w:t>2-10</w:t>
            </w:r>
            <w:r>
              <w:rPr>
                <w:rFonts w:hint="eastAsia" w:ascii="宋体" w:hAnsi="宋体" w:cs="宋体"/>
                <w:color w:val="auto"/>
                <w:sz w:val="24"/>
              </w:rPr>
              <w:t>中，燃烧</w:t>
            </w:r>
            <w:r>
              <w:rPr>
                <w:color w:val="auto"/>
                <w:sz w:val="24"/>
              </w:rPr>
              <w:t>10</w:t>
            </w:r>
            <w:r>
              <w:rPr>
                <w:color w:val="auto"/>
                <w:sz w:val="24"/>
                <w:vertAlign w:val="superscript"/>
              </w:rPr>
              <w:t>6</w:t>
            </w:r>
            <w:r>
              <w:rPr>
                <w:color w:val="auto"/>
                <w:sz w:val="24"/>
              </w:rPr>
              <w:t>Nm</w:t>
            </w:r>
            <w:r>
              <w:rPr>
                <w:color w:val="auto"/>
                <w:sz w:val="24"/>
                <w:vertAlign w:val="superscript"/>
              </w:rPr>
              <w:t>3</w:t>
            </w:r>
            <w:r>
              <w:rPr>
                <w:rFonts w:hint="eastAsia" w:ascii="宋体" w:hAnsi="宋体" w:cs="宋体"/>
                <w:color w:val="auto"/>
                <w:sz w:val="24"/>
              </w:rPr>
              <w:t>天然气产生</w:t>
            </w:r>
            <w:r>
              <w:rPr>
                <w:color w:val="auto"/>
                <w:sz w:val="24"/>
              </w:rPr>
              <w:t>80~240kg</w:t>
            </w:r>
            <w:r>
              <w:rPr>
                <w:rFonts w:hint="eastAsia" w:ascii="宋体" w:hAnsi="宋体" w:cs="宋体"/>
                <w:color w:val="auto"/>
                <w:sz w:val="24"/>
              </w:rPr>
              <w:t>颗粒物，本项目取</w:t>
            </w:r>
            <w:r>
              <w:rPr>
                <w:color w:val="auto"/>
                <w:sz w:val="24"/>
              </w:rPr>
              <w:t>160kg/10</w:t>
            </w:r>
            <w:r>
              <w:rPr>
                <w:color w:val="auto"/>
                <w:sz w:val="24"/>
                <w:vertAlign w:val="superscript"/>
              </w:rPr>
              <w:t>6</w:t>
            </w:r>
            <w:r>
              <w:rPr>
                <w:color w:val="auto"/>
                <w:sz w:val="24"/>
              </w:rPr>
              <w:t>Nm</w:t>
            </w:r>
            <w:r>
              <w:rPr>
                <w:color w:val="auto"/>
                <w:sz w:val="24"/>
                <w:vertAlign w:val="superscript"/>
              </w:rPr>
              <w:t>3</w:t>
            </w:r>
            <w:r>
              <w:rPr>
                <w:rFonts w:hint="eastAsia"/>
                <w:color w:val="auto"/>
                <w:sz w:val="24"/>
              </w:rPr>
              <w:t>，</w:t>
            </w:r>
            <w:r>
              <w:rPr>
                <w:rFonts w:hint="eastAsia" w:ascii="宋体" w:hAnsi="宋体" w:cs="宋体"/>
                <w:color w:val="auto"/>
                <w:sz w:val="24"/>
              </w:rPr>
              <w:t>为</w:t>
            </w:r>
            <w:r>
              <w:rPr>
                <w:color w:val="auto"/>
                <w:sz w:val="24"/>
              </w:rPr>
              <w:t>1.6kg/</w:t>
            </w:r>
            <w:r>
              <w:rPr>
                <w:rFonts w:hint="eastAsia" w:ascii="宋体" w:hAnsi="宋体" w:cs="宋体"/>
                <w:color w:val="auto"/>
                <w:sz w:val="24"/>
              </w:rPr>
              <w:t>万</w:t>
            </w:r>
            <w:r>
              <w:rPr>
                <w:color w:val="auto"/>
                <w:sz w:val="24"/>
              </w:rPr>
              <w:t>m</w:t>
            </w:r>
            <w:r>
              <w:rPr>
                <w:rFonts w:hint="eastAsia"/>
                <w:color w:val="auto"/>
                <w:sz w:val="24"/>
                <w:vertAlign w:val="superscript"/>
              </w:rPr>
              <w:t>3</w:t>
            </w:r>
            <w:r>
              <w:rPr>
                <w:rFonts w:hint="eastAsia" w:ascii="宋体" w:hAnsi="宋体" w:cs="宋体"/>
                <w:color w:val="auto"/>
                <w:sz w:val="24"/>
              </w:rPr>
              <w:t>。</w:t>
            </w:r>
          </w:p>
          <w:p w14:paraId="23278DE0">
            <w:pPr>
              <w:spacing w:line="360" w:lineRule="auto"/>
              <w:ind w:firstLine="480" w:firstLineChars="200"/>
              <w:rPr>
                <w:color w:val="auto"/>
                <w:sz w:val="24"/>
              </w:rPr>
            </w:pPr>
            <w:r>
              <w:rPr>
                <w:rFonts w:hint="eastAsia" w:ascii="宋体" w:hAnsi="宋体" w:cs="宋体"/>
                <w:color w:val="auto"/>
                <w:sz w:val="24"/>
              </w:rPr>
              <w:t>本项目燃天然燃烧器风机风量</w:t>
            </w:r>
            <w:r>
              <w:rPr>
                <w:rFonts w:hAnsi="宋体"/>
                <w:color w:val="auto"/>
                <w:sz w:val="24"/>
              </w:rPr>
              <w:t>为</w:t>
            </w:r>
            <w:r>
              <w:rPr>
                <w:color w:val="auto"/>
                <w:sz w:val="24"/>
              </w:rPr>
              <w:t>14000m</w:t>
            </w:r>
            <w:r>
              <w:rPr>
                <w:color w:val="auto"/>
                <w:sz w:val="24"/>
                <w:vertAlign w:val="superscript"/>
              </w:rPr>
              <w:t>3</w:t>
            </w:r>
            <w:r>
              <w:rPr>
                <w:color w:val="auto"/>
                <w:sz w:val="24"/>
              </w:rPr>
              <w:t>/h。</w:t>
            </w:r>
          </w:p>
          <w:p w14:paraId="6BA038C7">
            <w:pPr>
              <w:spacing w:line="360" w:lineRule="auto"/>
              <w:ind w:firstLine="482"/>
              <w:jc w:val="center"/>
              <w:rPr>
                <w:rFonts w:hAnsi="宋体"/>
                <w:b/>
                <w:color w:val="auto"/>
                <w:sz w:val="24"/>
              </w:rPr>
            </w:pPr>
            <w:r>
              <w:rPr>
                <w:rFonts w:hAnsi="宋体"/>
                <w:b/>
                <w:color w:val="auto"/>
                <w:sz w:val="24"/>
              </w:rPr>
              <w:t>表</w:t>
            </w:r>
            <w:r>
              <w:rPr>
                <w:rFonts w:hint="eastAsia"/>
                <w:b/>
                <w:color w:val="auto"/>
                <w:sz w:val="24"/>
                <w:lang w:val="en-US" w:eastAsia="zh-CN"/>
              </w:rPr>
              <w:t>4</w:t>
            </w:r>
            <w:r>
              <w:rPr>
                <w:rFonts w:hint="eastAsia"/>
                <w:b/>
                <w:color w:val="auto"/>
                <w:sz w:val="24"/>
              </w:rPr>
              <w:t>-1</w:t>
            </w:r>
            <w:r>
              <w:rPr>
                <w:b/>
                <w:color w:val="auto"/>
                <w:sz w:val="24"/>
              </w:rPr>
              <w:t xml:space="preserve"> </w:t>
            </w:r>
            <w:r>
              <w:rPr>
                <w:rFonts w:hAnsi="宋体"/>
                <w:b/>
                <w:color w:val="auto"/>
                <w:sz w:val="24"/>
              </w:rPr>
              <w:t>燃</w:t>
            </w:r>
            <w:r>
              <w:rPr>
                <w:rFonts w:hint="eastAsia" w:hAnsi="宋体"/>
                <w:b/>
                <w:color w:val="auto"/>
                <w:sz w:val="24"/>
              </w:rPr>
              <w:t>天然气燃烧器</w:t>
            </w:r>
            <w:r>
              <w:rPr>
                <w:rFonts w:hAnsi="宋体"/>
                <w:b/>
                <w:color w:val="auto"/>
                <w:sz w:val="24"/>
              </w:rPr>
              <w:t>主要大气污染物产生情况一览表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993"/>
              <w:gridCol w:w="1216"/>
              <w:gridCol w:w="1216"/>
              <w:gridCol w:w="1037"/>
              <w:gridCol w:w="1568"/>
            </w:tblGrid>
            <w:tr w14:paraId="34C55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10" w:type="pct"/>
                  <w:tcBorders>
                    <w:top w:val="single" w:color="auto" w:sz="12" w:space="0"/>
                    <w:left w:val="nil"/>
                    <w:bottom w:val="single" w:color="auto" w:sz="4" w:space="0"/>
                    <w:right w:val="single" w:color="auto" w:sz="4" w:space="0"/>
                  </w:tcBorders>
                  <w:vAlign w:val="center"/>
                </w:tcPr>
                <w:p w14:paraId="3A4FEA34">
                  <w:pPr>
                    <w:jc w:val="center"/>
                    <w:rPr>
                      <w:color w:val="auto"/>
                      <w:szCs w:val="21"/>
                    </w:rPr>
                  </w:pPr>
                  <w:r>
                    <w:rPr>
                      <w:color w:val="auto"/>
                      <w:szCs w:val="21"/>
                    </w:rPr>
                    <w:t>消耗量</w:t>
                  </w:r>
                </w:p>
              </w:tc>
              <w:tc>
                <w:tcPr>
                  <w:tcW w:w="1188" w:type="pct"/>
                  <w:tcBorders>
                    <w:top w:val="single" w:color="auto" w:sz="12" w:space="0"/>
                    <w:left w:val="single" w:color="auto" w:sz="4" w:space="0"/>
                    <w:bottom w:val="single" w:color="auto" w:sz="4" w:space="0"/>
                    <w:right w:val="single" w:color="auto" w:sz="4" w:space="0"/>
                  </w:tcBorders>
                  <w:vAlign w:val="center"/>
                </w:tcPr>
                <w:p w14:paraId="69A6EA6A">
                  <w:pPr>
                    <w:jc w:val="center"/>
                    <w:rPr>
                      <w:color w:val="auto"/>
                      <w:szCs w:val="21"/>
                    </w:rPr>
                  </w:pPr>
                  <w:r>
                    <w:rPr>
                      <w:color w:val="auto"/>
                      <w:szCs w:val="21"/>
                    </w:rPr>
                    <w:t>主要污染物</w:t>
                  </w:r>
                </w:p>
              </w:tc>
              <w:tc>
                <w:tcPr>
                  <w:tcW w:w="725" w:type="pct"/>
                  <w:tcBorders>
                    <w:top w:val="single" w:color="auto" w:sz="12" w:space="0"/>
                    <w:left w:val="single" w:color="auto" w:sz="4" w:space="0"/>
                    <w:bottom w:val="single" w:color="auto" w:sz="4" w:space="0"/>
                    <w:right w:val="single" w:color="auto" w:sz="4" w:space="0"/>
                  </w:tcBorders>
                  <w:vAlign w:val="center"/>
                </w:tcPr>
                <w:p w14:paraId="129D0EA0">
                  <w:pPr>
                    <w:jc w:val="center"/>
                    <w:rPr>
                      <w:color w:val="auto"/>
                      <w:szCs w:val="21"/>
                    </w:rPr>
                  </w:pPr>
                  <w:r>
                    <w:rPr>
                      <w:color w:val="auto"/>
                      <w:szCs w:val="21"/>
                    </w:rPr>
                    <w:t>颗粒物</w:t>
                  </w:r>
                </w:p>
              </w:tc>
              <w:tc>
                <w:tcPr>
                  <w:tcW w:w="725" w:type="pct"/>
                  <w:tcBorders>
                    <w:top w:val="single" w:color="auto" w:sz="12" w:space="0"/>
                    <w:left w:val="single" w:color="auto" w:sz="4" w:space="0"/>
                    <w:bottom w:val="single" w:color="auto" w:sz="4" w:space="0"/>
                    <w:right w:val="single" w:color="auto" w:sz="4" w:space="0"/>
                  </w:tcBorders>
                  <w:vAlign w:val="center"/>
                </w:tcPr>
                <w:p w14:paraId="4827C444">
                  <w:pPr>
                    <w:jc w:val="center"/>
                    <w:rPr>
                      <w:color w:val="auto"/>
                      <w:szCs w:val="21"/>
                    </w:rPr>
                  </w:pPr>
                  <w:r>
                    <w:rPr>
                      <w:color w:val="auto"/>
                      <w:szCs w:val="21"/>
                    </w:rPr>
                    <w:t>SO</w:t>
                  </w:r>
                  <w:r>
                    <w:rPr>
                      <w:color w:val="auto"/>
                      <w:szCs w:val="21"/>
                      <w:vertAlign w:val="subscript"/>
                    </w:rPr>
                    <w:t>2</w:t>
                  </w:r>
                </w:p>
              </w:tc>
              <w:tc>
                <w:tcPr>
                  <w:tcW w:w="618" w:type="pct"/>
                  <w:tcBorders>
                    <w:top w:val="single" w:color="auto" w:sz="12" w:space="0"/>
                    <w:left w:val="single" w:color="auto" w:sz="4" w:space="0"/>
                    <w:bottom w:val="single" w:color="auto" w:sz="4" w:space="0"/>
                    <w:right w:val="single" w:color="auto" w:sz="4" w:space="0"/>
                  </w:tcBorders>
                  <w:vAlign w:val="center"/>
                </w:tcPr>
                <w:p w14:paraId="6D15EE7F">
                  <w:pPr>
                    <w:jc w:val="center"/>
                    <w:rPr>
                      <w:color w:val="auto"/>
                      <w:szCs w:val="21"/>
                    </w:rPr>
                  </w:pPr>
                  <w:r>
                    <w:rPr>
                      <w:color w:val="auto"/>
                      <w:szCs w:val="21"/>
                    </w:rPr>
                    <w:t>NO</w:t>
                  </w:r>
                  <w:r>
                    <w:rPr>
                      <w:color w:val="auto"/>
                      <w:szCs w:val="21"/>
                      <w:vertAlign w:val="subscript"/>
                    </w:rPr>
                    <w:t>X</w:t>
                  </w:r>
                </w:p>
              </w:tc>
              <w:tc>
                <w:tcPr>
                  <w:tcW w:w="934" w:type="pct"/>
                  <w:tcBorders>
                    <w:top w:val="single" w:color="auto" w:sz="12" w:space="0"/>
                    <w:left w:val="single" w:color="auto" w:sz="4" w:space="0"/>
                    <w:bottom w:val="single" w:color="auto" w:sz="4" w:space="0"/>
                    <w:right w:val="nil"/>
                  </w:tcBorders>
                  <w:vAlign w:val="center"/>
                </w:tcPr>
                <w:p w14:paraId="304BFC24">
                  <w:pPr>
                    <w:jc w:val="center"/>
                    <w:rPr>
                      <w:color w:val="auto"/>
                      <w:szCs w:val="21"/>
                    </w:rPr>
                  </w:pPr>
                  <w:r>
                    <w:rPr>
                      <w:color w:val="auto"/>
                      <w:szCs w:val="21"/>
                    </w:rPr>
                    <w:t>废气量</w:t>
                  </w:r>
                </w:p>
              </w:tc>
            </w:tr>
            <w:tr w14:paraId="6225C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10" w:type="pct"/>
                  <w:vMerge w:val="restart"/>
                  <w:tcBorders>
                    <w:top w:val="single" w:color="auto" w:sz="4" w:space="0"/>
                    <w:left w:val="nil"/>
                    <w:bottom w:val="single" w:color="auto" w:sz="4" w:space="0"/>
                    <w:right w:val="single" w:color="auto" w:sz="4" w:space="0"/>
                  </w:tcBorders>
                  <w:vAlign w:val="center"/>
                </w:tcPr>
                <w:p w14:paraId="6EE3A6D2">
                  <w:pPr>
                    <w:jc w:val="center"/>
                    <w:rPr>
                      <w:color w:val="auto"/>
                      <w:szCs w:val="21"/>
                    </w:rPr>
                  </w:pPr>
                  <w:r>
                    <w:rPr>
                      <w:color w:val="auto"/>
                      <w:sz w:val="21"/>
                      <w:szCs w:val="21"/>
                    </w:rPr>
                    <w:t>3</w:t>
                  </w:r>
                  <w:r>
                    <w:rPr>
                      <w:rFonts w:hint="eastAsia"/>
                      <w:color w:val="auto"/>
                      <w:sz w:val="21"/>
                      <w:szCs w:val="21"/>
                      <w:lang w:val="en-US" w:eastAsia="zh-CN"/>
                    </w:rPr>
                    <w:t>36</w:t>
                  </w:r>
                  <w:r>
                    <w:rPr>
                      <w:rFonts w:hint="eastAsia"/>
                      <w:color w:val="auto"/>
                      <w:szCs w:val="21"/>
                    </w:rPr>
                    <w:t>万</w:t>
                  </w:r>
                  <w:r>
                    <w:rPr>
                      <w:color w:val="auto"/>
                      <w:szCs w:val="21"/>
                    </w:rPr>
                    <w:t xml:space="preserve"> m³</w:t>
                  </w:r>
                </w:p>
              </w:tc>
              <w:tc>
                <w:tcPr>
                  <w:tcW w:w="1188" w:type="pct"/>
                  <w:tcBorders>
                    <w:top w:val="single" w:color="auto" w:sz="4" w:space="0"/>
                    <w:left w:val="single" w:color="auto" w:sz="4" w:space="0"/>
                    <w:bottom w:val="single" w:color="auto" w:sz="4" w:space="0"/>
                    <w:right w:val="single" w:color="auto" w:sz="4" w:space="0"/>
                  </w:tcBorders>
                  <w:vAlign w:val="center"/>
                </w:tcPr>
                <w:p w14:paraId="6F6F4EB5">
                  <w:pPr>
                    <w:jc w:val="center"/>
                    <w:rPr>
                      <w:color w:val="auto"/>
                      <w:szCs w:val="21"/>
                    </w:rPr>
                  </w:pPr>
                  <w:r>
                    <w:rPr>
                      <w:color w:val="auto"/>
                      <w:szCs w:val="21"/>
                    </w:rPr>
                    <w:t>产生量（t）</w:t>
                  </w:r>
                </w:p>
              </w:tc>
              <w:tc>
                <w:tcPr>
                  <w:tcW w:w="725" w:type="pct"/>
                  <w:tcBorders>
                    <w:top w:val="single" w:color="auto" w:sz="4" w:space="0"/>
                    <w:left w:val="single" w:color="auto" w:sz="4" w:space="0"/>
                    <w:bottom w:val="single" w:color="auto" w:sz="4" w:space="0"/>
                    <w:right w:val="single" w:color="auto" w:sz="4" w:space="0"/>
                  </w:tcBorders>
                  <w:vAlign w:val="center"/>
                </w:tcPr>
                <w:p w14:paraId="257AB111">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54</w:t>
                  </w:r>
                </w:p>
              </w:tc>
              <w:tc>
                <w:tcPr>
                  <w:tcW w:w="725" w:type="pct"/>
                  <w:tcBorders>
                    <w:top w:val="single" w:color="auto" w:sz="4" w:space="0"/>
                    <w:left w:val="single" w:color="auto" w:sz="4" w:space="0"/>
                    <w:bottom w:val="single" w:color="auto" w:sz="4" w:space="0"/>
                    <w:right w:val="single" w:color="auto" w:sz="4" w:space="0"/>
                  </w:tcBorders>
                  <w:vAlign w:val="center"/>
                </w:tcPr>
                <w:p w14:paraId="0DE7A740">
                  <w:pPr>
                    <w:jc w:val="center"/>
                    <w:rPr>
                      <w:rFonts w:hint="eastAsia" w:eastAsia="宋体"/>
                      <w:color w:val="auto"/>
                      <w:szCs w:val="21"/>
                      <w:lang w:eastAsia="zh-CN"/>
                    </w:rPr>
                  </w:pPr>
                  <w:r>
                    <w:rPr>
                      <w:rFonts w:hint="eastAsia"/>
                      <w:color w:val="auto"/>
                      <w:szCs w:val="21"/>
                    </w:rPr>
                    <w:t>0.01</w:t>
                  </w:r>
                  <w:r>
                    <w:rPr>
                      <w:rFonts w:hint="eastAsia"/>
                      <w:color w:val="auto"/>
                      <w:szCs w:val="21"/>
                      <w:lang w:val="en-US" w:eastAsia="zh-CN"/>
                    </w:rPr>
                    <w:t>1</w:t>
                  </w:r>
                </w:p>
              </w:tc>
              <w:tc>
                <w:tcPr>
                  <w:tcW w:w="618" w:type="pct"/>
                  <w:tcBorders>
                    <w:top w:val="single" w:color="auto" w:sz="4" w:space="0"/>
                    <w:left w:val="single" w:color="auto" w:sz="4" w:space="0"/>
                    <w:bottom w:val="single" w:color="auto" w:sz="4" w:space="0"/>
                    <w:right w:val="single" w:color="auto" w:sz="4" w:space="0"/>
                  </w:tcBorders>
                  <w:vAlign w:val="center"/>
                </w:tcPr>
                <w:p w14:paraId="3E2E4094">
                  <w:pPr>
                    <w:jc w:val="center"/>
                    <w:rPr>
                      <w:rFonts w:hint="default" w:eastAsia="宋体"/>
                      <w:color w:val="auto"/>
                      <w:szCs w:val="21"/>
                      <w:lang w:val="en-US" w:eastAsia="zh-CN"/>
                    </w:rPr>
                  </w:pPr>
                  <w:r>
                    <w:rPr>
                      <w:rFonts w:hint="eastAsia"/>
                      <w:color w:val="auto"/>
                      <w:szCs w:val="21"/>
                      <w:lang w:val="en-US" w:eastAsia="zh-CN"/>
                    </w:rPr>
                    <w:t>2.688</w:t>
                  </w:r>
                </w:p>
              </w:tc>
              <w:tc>
                <w:tcPr>
                  <w:tcW w:w="934" w:type="pct"/>
                  <w:vMerge w:val="restart"/>
                  <w:tcBorders>
                    <w:top w:val="single" w:color="auto" w:sz="4" w:space="0"/>
                    <w:left w:val="single" w:color="auto" w:sz="4" w:space="0"/>
                    <w:right w:val="nil"/>
                  </w:tcBorders>
                  <w:vAlign w:val="center"/>
                </w:tcPr>
                <w:p w14:paraId="42DB7AB0">
                  <w:pPr>
                    <w:jc w:val="center"/>
                    <w:rPr>
                      <w:color w:val="auto"/>
                      <w:szCs w:val="21"/>
                    </w:rPr>
                  </w:pPr>
                  <w:r>
                    <w:rPr>
                      <w:rFonts w:hint="eastAsia"/>
                      <w:color w:val="auto"/>
                      <w:szCs w:val="21"/>
                    </w:rPr>
                    <w:t>14000</w:t>
                  </w:r>
                  <w:r>
                    <w:rPr>
                      <w:color w:val="auto"/>
                      <w:szCs w:val="21"/>
                    </w:rPr>
                    <w:t>m</w:t>
                  </w:r>
                  <w:r>
                    <w:rPr>
                      <w:color w:val="auto"/>
                      <w:szCs w:val="21"/>
                      <w:vertAlign w:val="superscript"/>
                    </w:rPr>
                    <w:t>3</w:t>
                  </w:r>
                  <w:r>
                    <w:rPr>
                      <w:color w:val="auto"/>
                      <w:szCs w:val="21"/>
                    </w:rPr>
                    <w:t>/h</w:t>
                  </w:r>
                </w:p>
              </w:tc>
            </w:tr>
            <w:tr w14:paraId="5AC4B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10" w:type="pct"/>
                  <w:vMerge w:val="continue"/>
                  <w:tcBorders>
                    <w:top w:val="single" w:color="auto" w:sz="4" w:space="0"/>
                    <w:left w:val="nil"/>
                    <w:bottom w:val="single" w:color="auto" w:sz="4" w:space="0"/>
                    <w:right w:val="single" w:color="auto" w:sz="4" w:space="0"/>
                  </w:tcBorders>
                  <w:vAlign w:val="center"/>
                </w:tcPr>
                <w:p w14:paraId="2C5F981F">
                  <w:pPr>
                    <w:jc w:val="center"/>
                    <w:rPr>
                      <w:color w:val="auto"/>
                      <w:szCs w:val="21"/>
                    </w:rPr>
                  </w:pPr>
                </w:p>
              </w:tc>
              <w:tc>
                <w:tcPr>
                  <w:tcW w:w="1188" w:type="pct"/>
                  <w:tcBorders>
                    <w:top w:val="single" w:color="auto" w:sz="4" w:space="0"/>
                    <w:left w:val="single" w:color="auto" w:sz="4" w:space="0"/>
                    <w:bottom w:val="single" w:color="auto" w:sz="4" w:space="0"/>
                    <w:right w:val="single" w:color="auto" w:sz="4" w:space="0"/>
                  </w:tcBorders>
                  <w:vAlign w:val="center"/>
                </w:tcPr>
                <w:p w14:paraId="5D717980">
                  <w:pPr>
                    <w:jc w:val="center"/>
                    <w:rPr>
                      <w:color w:val="auto"/>
                      <w:szCs w:val="21"/>
                    </w:rPr>
                  </w:pPr>
                  <w:r>
                    <w:rPr>
                      <w:color w:val="auto"/>
                      <w:szCs w:val="21"/>
                    </w:rPr>
                    <w:t>产生速率（kg/h）</w:t>
                  </w:r>
                </w:p>
              </w:tc>
              <w:tc>
                <w:tcPr>
                  <w:tcW w:w="725" w:type="pct"/>
                  <w:tcBorders>
                    <w:top w:val="single" w:color="auto" w:sz="4" w:space="0"/>
                    <w:left w:val="single" w:color="auto" w:sz="4" w:space="0"/>
                    <w:bottom w:val="single" w:color="auto" w:sz="4" w:space="0"/>
                    <w:right w:val="single" w:color="auto" w:sz="4" w:space="0"/>
                  </w:tcBorders>
                  <w:vAlign w:val="center"/>
                </w:tcPr>
                <w:p w14:paraId="1F6D5530">
                  <w:pPr>
                    <w:jc w:val="center"/>
                    <w:rPr>
                      <w:rFonts w:hint="eastAsia" w:eastAsia="宋体"/>
                      <w:color w:val="auto"/>
                      <w:szCs w:val="21"/>
                      <w:lang w:val="en-US" w:eastAsia="zh-CN"/>
                    </w:rPr>
                  </w:pPr>
                  <w:r>
                    <w:rPr>
                      <w:rFonts w:hint="eastAsia"/>
                      <w:color w:val="auto"/>
                      <w:szCs w:val="21"/>
                    </w:rPr>
                    <w:t>0.22</w:t>
                  </w:r>
                  <w:r>
                    <w:rPr>
                      <w:rFonts w:hint="eastAsia"/>
                      <w:color w:val="auto"/>
                      <w:szCs w:val="21"/>
                      <w:lang w:val="en-US" w:eastAsia="zh-CN"/>
                    </w:rPr>
                    <w:t>4</w:t>
                  </w:r>
                </w:p>
              </w:tc>
              <w:tc>
                <w:tcPr>
                  <w:tcW w:w="725" w:type="pct"/>
                  <w:tcBorders>
                    <w:top w:val="single" w:color="auto" w:sz="4" w:space="0"/>
                    <w:left w:val="single" w:color="auto" w:sz="4" w:space="0"/>
                    <w:bottom w:val="single" w:color="auto" w:sz="4" w:space="0"/>
                    <w:right w:val="single" w:color="auto" w:sz="4" w:space="0"/>
                  </w:tcBorders>
                  <w:vAlign w:val="center"/>
                </w:tcPr>
                <w:p w14:paraId="33C5866B">
                  <w:pPr>
                    <w:jc w:val="center"/>
                    <w:rPr>
                      <w:rFonts w:hint="eastAsia" w:eastAsia="宋体"/>
                      <w:color w:val="auto"/>
                      <w:szCs w:val="21"/>
                      <w:lang w:eastAsia="zh-CN"/>
                    </w:rPr>
                  </w:pPr>
                  <w:r>
                    <w:rPr>
                      <w:rFonts w:hint="eastAsia"/>
                      <w:color w:val="auto"/>
                      <w:szCs w:val="21"/>
                    </w:rPr>
                    <w:t>0.00</w:t>
                  </w:r>
                  <w:r>
                    <w:rPr>
                      <w:rFonts w:hint="eastAsia"/>
                      <w:color w:val="auto"/>
                      <w:szCs w:val="21"/>
                      <w:lang w:val="en-US" w:eastAsia="zh-CN"/>
                    </w:rPr>
                    <w:t>5</w:t>
                  </w:r>
                </w:p>
              </w:tc>
              <w:tc>
                <w:tcPr>
                  <w:tcW w:w="618" w:type="pct"/>
                  <w:tcBorders>
                    <w:top w:val="single" w:color="auto" w:sz="4" w:space="0"/>
                    <w:left w:val="single" w:color="auto" w:sz="4" w:space="0"/>
                    <w:bottom w:val="single" w:color="auto" w:sz="4" w:space="0"/>
                    <w:right w:val="single" w:color="auto" w:sz="4" w:space="0"/>
                  </w:tcBorders>
                  <w:vAlign w:val="center"/>
                </w:tcPr>
                <w:p w14:paraId="08F1BBC7">
                  <w:pPr>
                    <w:jc w:val="center"/>
                    <w:rPr>
                      <w:color w:val="auto"/>
                      <w:szCs w:val="21"/>
                    </w:rPr>
                  </w:pPr>
                  <w:r>
                    <w:rPr>
                      <w:rFonts w:hint="eastAsia"/>
                      <w:color w:val="auto"/>
                      <w:szCs w:val="21"/>
                    </w:rPr>
                    <w:t>1.12</w:t>
                  </w:r>
                </w:p>
              </w:tc>
              <w:tc>
                <w:tcPr>
                  <w:tcW w:w="934" w:type="pct"/>
                  <w:vMerge w:val="continue"/>
                  <w:tcBorders>
                    <w:left w:val="single" w:color="auto" w:sz="4" w:space="0"/>
                    <w:right w:val="nil"/>
                  </w:tcBorders>
                  <w:vAlign w:val="center"/>
                </w:tcPr>
                <w:p w14:paraId="35810A00">
                  <w:pPr>
                    <w:ind w:firstLine="420"/>
                    <w:jc w:val="center"/>
                    <w:rPr>
                      <w:color w:val="auto"/>
                      <w:szCs w:val="21"/>
                    </w:rPr>
                  </w:pPr>
                </w:p>
              </w:tc>
            </w:tr>
            <w:tr w14:paraId="43C66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10" w:type="pct"/>
                  <w:vMerge w:val="continue"/>
                  <w:tcBorders>
                    <w:top w:val="single" w:color="auto" w:sz="4" w:space="0"/>
                    <w:left w:val="nil"/>
                    <w:bottom w:val="single" w:color="auto" w:sz="4" w:space="0"/>
                    <w:right w:val="single" w:color="auto" w:sz="4" w:space="0"/>
                  </w:tcBorders>
                  <w:vAlign w:val="center"/>
                </w:tcPr>
                <w:p w14:paraId="2982E0DF">
                  <w:pPr>
                    <w:jc w:val="center"/>
                    <w:rPr>
                      <w:color w:val="auto"/>
                      <w:szCs w:val="21"/>
                    </w:rPr>
                  </w:pPr>
                </w:p>
              </w:tc>
              <w:tc>
                <w:tcPr>
                  <w:tcW w:w="1188" w:type="pct"/>
                  <w:tcBorders>
                    <w:top w:val="single" w:color="auto" w:sz="4" w:space="0"/>
                    <w:left w:val="single" w:color="auto" w:sz="4" w:space="0"/>
                    <w:bottom w:val="single" w:color="auto" w:sz="4" w:space="0"/>
                    <w:right w:val="single" w:color="auto" w:sz="4" w:space="0"/>
                  </w:tcBorders>
                  <w:vAlign w:val="center"/>
                </w:tcPr>
                <w:p w14:paraId="7358584B">
                  <w:pPr>
                    <w:jc w:val="center"/>
                    <w:rPr>
                      <w:color w:val="auto"/>
                      <w:szCs w:val="21"/>
                    </w:rPr>
                  </w:pPr>
                  <w:r>
                    <w:rPr>
                      <w:color w:val="auto"/>
                      <w:szCs w:val="21"/>
                    </w:rPr>
                    <w:t>产生浓度（mg/m</w:t>
                  </w:r>
                  <w:r>
                    <w:rPr>
                      <w:color w:val="auto"/>
                      <w:szCs w:val="21"/>
                      <w:vertAlign w:val="superscript"/>
                    </w:rPr>
                    <w:t>3</w:t>
                  </w:r>
                  <w:r>
                    <w:rPr>
                      <w:color w:val="auto"/>
                      <w:szCs w:val="21"/>
                    </w:rPr>
                    <w:t>）</w:t>
                  </w:r>
                </w:p>
              </w:tc>
              <w:tc>
                <w:tcPr>
                  <w:tcW w:w="725" w:type="pct"/>
                  <w:tcBorders>
                    <w:top w:val="single" w:color="auto" w:sz="4" w:space="0"/>
                    <w:left w:val="single" w:color="auto" w:sz="4" w:space="0"/>
                    <w:bottom w:val="single" w:color="auto" w:sz="4" w:space="0"/>
                    <w:right w:val="single" w:color="auto" w:sz="4" w:space="0"/>
                  </w:tcBorders>
                  <w:vAlign w:val="center"/>
                </w:tcPr>
                <w:p w14:paraId="633A7D08">
                  <w:pPr>
                    <w:jc w:val="center"/>
                    <w:rPr>
                      <w:rFonts w:hint="default" w:eastAsia="宋体"/>
                      <w:color w:val="auto"/>
                      <w:szCs w:val="21"/>
                      <w:lang w:val="en-US" w:eastAsia="zh-CN"/>
                    </w:rPr>
                  </w:pPr>
                  <w:r>
                    <w:rPr>
                      <w:rFonts w:hint="eastAsia"/>
                      <w:color w:val="auto"/>
                      <w:szCs w:val="21"/>
                      <w:lang w:val="en-US" w:eastAsia="zh-CN"/>
                    </w:rPr>
                    <w:t>16</w:t>
                  </w:r>
                </w:p>
              </w:tc>
              <w:tc>
                <w:tcPr>
                  <w:tcW w:w="725" w:type="pct"/>
                  <w:tcBorders>
                    <w:top w:val="single" w:color="auto" w:sz="4" w:space="0"/>
                    <w:left w:val="single" w:color="auto" w:sz="4" w:space="0"/>
                    <w:bottom w:val="single" w:color="auto" w:sz="4" w:space="0"/>
                    <w:right w:val="single" w:color="auto" w:sz="4" w:space="0"/>
                  </w:tcBorders>
                  <w:vAlign w:val="center"/>
                </w:tcPr>
                <w:p w14:paraId="6570F3D6">
                  <w:pPr>
                    <w:jc w:val="center"/>
                    <w:rPr>
                      <w:rFonts w:hint="eastAsia" w:eastAsia="宋体"/>
                      <w:color w:val="auto"/>
                      <w:szCs w:val="21"/>
                      <w:lang w:eastAsia="zh-CN"/>
                    </w:rPr>
                  </w:pPr>
                  <w:r>
                    <w:rPr>
                      <w:rFonts w:hint="eastAsia"/>
                      <w:color w:val="auto"/>
                      <w:szCs w:val="21"/>
                    </w:rPr>
                    <w:t>0.3</w:t>
                  </w:r>
                  <w:r>
                    <w:rPr>
                      <w:rFonts w:hint="eastAsia"/>
                      <w:color w:val="auto"/>
                      <w:szCs w:val="21"/>
                      <w:lang w:val="en-US" w:eastAsia="zh-CN"/>
                    </w:rPr>
                    <w:t>4</w:t>
                  </w:r>
                </w:p>
              </w:tc>
              <w:tc>
                <w:tcPr>
                  <w:tcW w:w="618" w:type="pct"/>
                  <w:tcBorders>
                    <w:top w:val="single" w:color="auto" w:sz="4" w:space="0"/>
                    <w:left w:val="single" w:color="auto" w:sz="4" w:space="0"/>
                    <w:bottom w:val="single" w:color="auto" w:sz="4" w:space="0"/>
                    <w:right w:val="single" w:color="auto" w:sz="4" w:space="0"/>
                  </w:tcBorders>
                  <w:vAlign w:val="center"/>
                </w:tcPr>
                <w:p w14:paraId="6D4E3FEE">
                  <w:pPr>
                    <w:jc w:val="center"/>
                    <w:rPr>
                      <w:color w:val="auto"/>
                      <w:szCs w:val="21"/>
                    </w:rPr>
                  </w:pPr>
                  <w:r>
                    <w:rPr>
                      <w:rFonts w:hint="eastAsia"/>
                      <w:color w:val="auto"/>
                      <w:szCs w:val="21"/>
                    </w:rPr>
                    <w:t>80.00</w:t>
                  </w:r>
                </w:p>
              </w:tc>
              <w:tc>
                <w:tcPr>
                  <w:tcW w:w="934" w:type="pct"/>
                  <w:vMerge w:val="continue"/>
                  <w:tcBorders>
                    <w:left w:val="single" w:color="auto" w:sz="4" w:space="0"/>
                    <w:right w:val="nil"/>
                  </w:tcBorders>
                  <w:vAlign w:val="center"/>
                </w:tcPr>
                <w:p w14:paraId="6B377C27">
                  <w:pPr>
                    <w:ind w:firstLine="420"/>
                    <w:jc w:val="center"/>
                    <w:rPr>
                      <w:color w:val="auto"/>
                      <w:szCs w:val="21"/>
                    </w:rPr>
                  </w:pPr>
                </w:p>
              </w:tc>
            </w:tr>
            <w:tr w14:paraId="1BC8B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10" w:type="pct"/>
                  <w:vMerge w:val="continue"/>
                  <w:tcBorders>
                    <w:top w:val="single" w:color="auto" w:sz="4" w:space="0"/>
                    <w:left w:val="nil"/>
                    <w:bottom w:val="single" w:color="auto" w:sz="4" w:space="0"/>
                    <w:right w:val="single" w:color="auto" w:sz="4" w:space="0"/>
                  </w:tcBorders>
                  <w:vAlign w:val="center"/>
                </w:tcPr>
                <w:p w14:paraId="60959BF9">
                  <w:pPr>
                    <w:jc w:val="center"/>
                    <w:rPr>
                      <w:color w:val="auto"/>
                      <w:szCs w:val="21"/>
                    </w:rPr>
                  </w:pPr>
                </w:p>
              </w:tc>
              <w:tc>
                <w:tcPr>
                  <w:tcW w:w="1188" w:type="pct"/>
                  <w:tcBorders>
                    <w:top w:val="single" w:color="auto" w:sz="4" w:space="0"/>
                    <w:left w:val="single" w:color="auto" w:sz="4" w:space="0"/>
                    <w:bottom w:val="single" w:color="auto" w:sz="4" w:space="0"/>
                    <w:right w:val="single" w:color="auto" w:sz="4" w:space="0"/>
                  </w:tcBorders>
                  <w:vAlign w:val="center"/>
                </w:tcPr>
                <w:p w14:paraId="0398E3DE">
                  <w:pPr>
                    <w:jc w:val="center"/>
                    <w:rPr>
                      <w:color w:val="auto"/>
                      <w:szCs w:val="21"/>
                    </w:rPr>
                  </w:pPr>
                  <w:r>
                    <w:rPr>
                      <w:color w:val="auto"/>
                      <w:szCs w:val="21"/>
                    </w:rPr>
                    <w:t>排放量（t）</w:t>
                  </w:r>
                </w:p>
              </w:tc>
              <w:tc>
                <w:tcPr>
                  <w:tcW w:w="725" w:type="pct"/>
                  <w:tcBorders>
                    <w:top w:val="single" w:color="auto" w:sz="4" w:space="0"/>
                    <w:left w:val="single" w:color="auto" w:sz="4" w:space="0"/>
                    <w:bottom w:val="single" w:color="auto" w:sz="4" w:space="0"/>
                    <w:right w:val="single" w:color="auto" w:sz="4" w:space="0"/>
                  </w:tcBorders>
                  <w:vAlign w:val="center"/>
                </w:tcPr>
                <w:p w14:paraId="0D17640D">
                  <w:pPr>
                    <w:jc w:val="center"/>
                    <w:rPr>
                      <w:rFonts w:hint="eastAsia" w:eastAsia="宋体"/>
                      <w:color w:val="auto"/>
                      <w:szCs w:val="21"/>
                      <w:lang w:eastAsia="zh-CN"/>
                    </w:rPr>
                  </w:pPr>
                  <w:r>
                    <w:rPr>
                      <w:rFonts w:hint="eastAsia"/>
                      <w:color w:val="auto"/>
                      <w:szCs w:val="21"/>
                    </w:rPr>
                    <w:t>0.00</w:t>
                  </w:r>
                  <w:r>
                    <w:rPr>
                      <w:rFonts w:hint="eastAsia"/>
                      <w:color w:val="auto"/>
                      <w:szCs w:val="21"/>
                      <w:lang w:val="en-US" w:eastAsia="zh-CN"/>
                    </w:rPr>
                    <w:t>5</w:t>
                  </w:r>
                </w:p>
              </w:tc>
              <w:tc>
                <w:tcPr>
                  <w:tcW w:w="725" w:type="pct"/>
                  <w:tcBorders>
                    <w:top w:val="single" w:color="auto" w:sz="4" w:space="0"/>
                    <w:left w:val="single" w:color="auto" w:sz="4" w:space="0"/>
                    <w:bottom w:val="single" w:color="auto" w:sz="4" w:space="0"/>
                    <w:right w:val="single" w:color="auto" w:sz="4" w:space="0"/>
                  </w:tcBorders>
                  <w:vAlign w:val="center"/>
                </w:tcPr>
                <w:p w14:paraId="5AB52F14">
                  <w:pPr>
                    <w:jc w:val="center"/>
                    <w:rPr>
                      <w:color w:val="auto"/>
                      <w:szCs w:val="21"/>
                    </w:rPr>
                  </w:pPr>
                  <w:r>
                    <w:rPr>
                      <w:rFonts w:hint="eastAsia"/>
                      <w:color w:val="auto"/>
                      <w:szCs w:val="21"/>
                    </w:rPr>
                    <w:t>0.01</w:t>
                  </w:r>
                  <w:r>
                    <w:rPr>
                      <w:rFonts w:hint="eastAsia"/>
                      <w:color w:val="auto"/>
                      <w:szCs w:val="21"/>
                      <w:lang w:val="en-US" w:eastAsia="zh-CN"/>
                    </w:rPr>
                    <w:t>1</w:t>
                  </w:r>
                </w:p>
              </w:tc>
              <w:tc>
                <w:tcPr>
                  <w:tcW w:w="618" w:type="pct"/>
                  <w:tcBorders>
                    <w:top w:val="single" w:color="auto" w:sz="4" w:space="0"/>
                    <w:left w:val="single" w:color="auto" w:sz="4" w:space="0"/>
                    <w:bottom w:val="single" w:color="auto" w:sz="4" w:space="0"/>
                    <w:right w:val="single" w:color="auto" w:sz="4" w:space="0"/>
                  </w:tcBorders>
                  <w:vAlign w:val="center"/>
                </w:tcPr>
                <w:p w14:paraId="36A36F47">
                  <w:pPr>
                    <w:jc w:val="center"/>
                    <w:rPr>
                      <w:color w:val="auto"/>
                      <w:szCs w:val="21"/>
                    </w:rPr>
                  </w:pPr>
                  <w:r>
                    <w:rPr>
                      <w:rFonts w:hint="eastAsia"/>
                      <w:color w:val="auto"/>
                      <w:szCs w:val="21"/>
                      <w:lang w:val="en-US" w:eastAsia="zh-CN"/>
                    </w:rPr>
                    <w:t>2.688</w:t>
                  </w:r>
                </w:p>
              </w:tc>
              <w:tc>
                <w:tcPr>
                  <w:tcW w:w="934" w:type="pct"/>
                  <w:vMerge w:val="continue"/>
                  <w:tcBorders>
                    <w:left w:val="single" w:color="auto" w:sz="4" w:space="0"/>
                    <w:right w:val="nil"/>
                  </w:tcBorders>
                  <w:vAlign w:val="center"/>
                </w:tcPr>
                <w:p w14:paraId="200EC16F">
                  <w:pPr>
                    <w:ind w:firstLine="420"/>
                    <w:jc w:val="center"/>
                    <w:rPr>
                      <w:color w:val="auto"/>
                      <w:szCs w:val="21"/>
                    </w:rPr>
                  </w:pPr>
                </w:p>
              </w:tc>
            </w:tr>
            <w:tr w14:paraId="2D8FD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10" w:type="pct"/>
                  <w:vMerge w:val="continue"/>
                  <w:tcBorders>
                    <w:top w:val="single" w:color="auto" w:sz="4" w:space="0"/>
                    <w:left w:val="nil"/>
                    <w:bottom w:val="single" w:color="auto" w:sz="4" w:space="0"/>
                    <w:right w:val="single" w:color="auto" w:sz="4" w:space="0"/>
                  </w:tcBorders>
                  <w:vAlign w:val="center"/>
                </w:tcPr>
                <w:p w14:paraId="56496C40">
                  <w:pPr>
                    <w:jc w:val="center"/>
                    <w:rPr>
                      <w:color w:val="auto"/>
                      <w:szCs w:val="21"/>
                    </w:rPr>
                  </w:pPr>
                </w:p>
              </w:tc>
              <w:tc>
                <w:tcPr>
                  <w:tcW w:w="1188" w:type="pct"/>
                  <w:tcBorders>
                    <w:top w:val="single" w:color="auto" w:sz="4" w:space="0"/>
                    <w:left w:val="single" w:color="auto" w:sz="4" w:space="0"/>
                    <w:bottom w:val="single" w:color="auto" w:sz="4" w:space="0"/>
                    <w:right w:val="single" w:color="auto" w:sz="4" w:space="0"/>
                  </w:tcBorders>
                  <w:vAlign w:val="center"/>
                </w:tcPr>
                <w:p w14:paraId="062170A1">
                  <w:pPr>
                    <w:jc w:val="center"/>
                    <w:rPr>
                      <w:color w:val="auto"/>
                      <w:szCs w:val="21"/>
                    </w:rPr>
                  </w:pPr>
                  <w:r>
                    <w:rPr>
                      <w:rFonts w:hint="eastAsia"/>
                      <w:color w:val="auto"/>
                      <w:szCs w:val="21"/>
                    </w:rPr>
                    <w:t>排放</w:t>
                  </w:r>
                  <w:r>
                    <w:rPr>
                      <w:color w:val="auto"/>
                      <w:szCs w:val="21"/>
                    </w:rPr>
                    <w:t>速率（kg/h）</w:t>
                  </w:r>
                </w:p>
              </w:tc>
              <w:tc>
                <w:tcPr>
                  <w:tcW w:w="725" w:type="pct"/>
                  <w:tcBorders>
                    <w:top w:val="single" w:color="auto" w:sz="4" w:space="0"/>
                    <w:left w:val="single" w:color="auto" w:sz="4" w:space="0"/>
                    <w:bottom w:val="single" w:color="auto" w:sz="4" w:space="0"/>
                    <w:right w:val="single" w:color="auto" w:sz="4" w:space="0"/>
                  </w:tcBorders>
                  <w:vAlign w:val="center"/>
                </w:tcPr>
                <w:p w14:paraId="07F80129">
                  <w:pPr>
                    <w:jc w:val="center"/>
                    <w:rPr>
                      <w:color w:val="auto"/>
                      <w:szCs w:val="21"/>
                    </w:rPr>
                  </w:pPr>
                  <w:r>
                    <w:rPr>
                      <w:rFonts w:hint="eastAsia"/>
                      <w:color w:val="auto"/>
                      <w:szCs w:val="21"/>
                    </w:rPr>
                    <w:t>0.0022</w:t>
                  </w:r>
                </w:p>
              </w:tc>
              <w:tc>
                <w:tcPr>
                  <w:tcW w:w="725" w:type="pct"/>
                  <w:tcBorders>
                    <w:top w:val="single" w:color="auto" w:sz="4" w:space="0"/>
                    <w:left w:val="single" w:color="auto" w:sz="4" w:space="0"/>
                    <w:bottom w:val="single" w:color="auto" w:sz="4" w:space="0"/>
                    <w:right w:val="single" w:color="auto" w:sz="4" w:space="0"/>
                  </w:tcBorders>
                  <w:vAlign w:val="center"/>
                </w:tcPr>
                <w:p w14:paraId="63624846">
                  <w:pPr>
                    <w:jc w:val="center"/>
                    <w:rPr>
                      <w:color w:val="auto"/>
                      <w:szCs w:val="21"/>
                    </w:rPr>
                  </w:pPr>
                  <w:r>
                    <w:rPr>
                      <w:rFonts w:hint="eastAsia"/>
                      <w:color w:val="auto"/>
                      <w:szCs w:val="21"/>
                    </w:rPr>
                    <w:t>0.00</w:t>
                  </w:r>
                  <w:r>
                    <w:rPr>
                      <w:rFonts w:hint="eastAsia"/>
                      <w:color w:val="auto"/>
                      <w:szCs w:val="21"/>
                      <w:lang w:val="en-US" w:eastAsia="zh-CN"/>
                    </w:rPr>
                    <w:t>5</w:t>
                  </w:r>
                </w:p>
              </w:tc>
              <w:tc>
                <w:tcPr>
                  <w:tcW w:w="618" w:type="pct"/>
                  <w:tcBorders>
                    <w:top w:val="single" w:color="auto" w:sz="4" w:space="0"/>
                    <w:left w:val="single" w:color="auto" w:sz="4" w:space="0"/>
                    <w:bottom w:val="single" w:color="auto" w:sz="4" w:space="0"/>
                    <w:right w:val="single" w:color="auto" w:sz="4" w:space="0"/>
                  </w:tcBorders>
                  <w:vAlign w:val="center"/>
                </w:tcPr>
                <w:p w14:paraId="110CEB07">
                  <w:pPr>
                    <w:jc w:val="center"/>
                    <w:rPr>
                      <w:color w:val="auto"/>
                      <w:szCs w:val="21"/>
                    </w:rPr>
                  </w:pPr>
                  <w:r>
                    <w:rPr>
                      <w:rFonts w:hint="eastAsia"/>
                      <w:color w:val="auto"/>
                      <w:szCs w:val="21"/>
                    </w:rPr>
                    <w:t>1.12</w:t>
                  </w:r>
                </w:p>
              </w:tc>
              <w:tc>
                <w:tcPr>
                  <w:tcW w:w="934" w:type="pct"/>
                  <w:vMerge w:val="continue"/>
                  <w:tcBorders>
                    <w:left w:val="single" w:color="auto" w:sz="4" w:space="0"/>
                    <w:right w:val="nil"/>
                  </w:tcBorders>
                  <w:vAlign w:val="center"/>
                </w:tcPr>
                <w:p w14:paraId="30348B94">
                  <w:pPr>
                    <w:ind w:firstLine="420"/>
                    <w:jc w:val="center"/>
                    <w:rPr>
                      <w:color w:val="auto"/>
                      <w:szCs w:val="21"/>
                    </w:rPr>
                  </w:pPr>
                </w:p>
              </w:tc>
            </w:tr>
            <w:tr w14:paraId="659CF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10" w:type="pct"/>
                  <w:vMerge w:val="continue"/>
                  <w:tcBorders>
                    <w:top w:val="single" w:color="auto" w:sz="4" w:space="0"/>
                    <w:left w:val="nil"/>
                    <w:bottom w:val="single" w:color="auto" w:sz="4" w:space="0"/>
                    <w:right w:val="single" w:color="auto" w:sz="4" w:space="0"/>
                  </w:tcBorders>
                  <w:vAlign w:val="center"/>
                </w:tcPr>
                <w:p w14:paraId="2056BDB0">
                  <w:pPr>
                    <w:jc w:val="center"/>
                    <w:rPr>
                      <w:color w:val="auto"/>
                      <w:szCs w:val="21"/>
                    </w:rPr>
                  </w:pPr>
                </w:p>
              </w:tc>
              <w:tc>
                <w:tcPr>
                  <w:tcW w:w="1188" w:type="pct"/>
                  <w:tcBorders>
                    <w:top w:val="single" w:color="auto" w:sz="4" w:space="0"/>
                    <w:left w:val="single" w:color="auto" w:sz="4" w:space="0"/>
                    <w:bottom w:val="single" w:color="auto" w:sz="4" w:space="0"/>
                    <w:right w:val="single" w:color="auto" w:sz="4" w:space="0"/>
                  </w:tcBorders>
                  <w:vAlign w:val="center"/>
                </w:tcPr>
                <w:p w14:paraId="44EF36D2">
                  <w:pPr>
                    <w:jc w:val="center"/>
                    <w:rPr>
                      <w:color w:val="auto"/>
                      <w:szCs w:val="21"/>
                    </w:rPr>
                  </w:pPr>
                  <w:r>
                    <w:rPr>
                      <w:color w:val="auto"/>
                      <w:szCs w:val="21"/>
                    </w:rPr>
                    <w:t>排放浓度（mg/m</w:t>
                  </w:r>
                  <w:r>
                    <w:rPr>
                      <w:color w:val="auto"/>
                      <w:szCs w:val="21"/>
                      <w:vertAlign w:val="superscript"/>
                    </w:rPr>
                    <w:t>3</w:t>
                  </w:r>
                  <w:r>
                    <w:rPr>
                      <w:color w:val="auto"/>
                      <w:szCs w:val="21"/>
                    </w:rPr>
                    <w:t>）</w:t>
                  </w:r>
                </w:p>
              </w:tc>
              <w:tc>
                <w:tcPr>
                  <w:tcW w:w="725" w:type="pct"/>
                  <w:tcBorders>
                    <w:top w:val="single" w:color="auto" w:sz="4" w:space="0"/>
                    <w:left w:val="single" w:color="auto" w:sz="4" w:space="0"/>
                    <w:bottom w:val="single" w:color="auto" w:sz="4" w:space="0"/>
                    <w:right w:val="single" w:color="auto" w:sz="4" w:space="0"/>
                  </w:tcBorders>
                  <w:vAlign w:val="center"/>
                </w:tcPr>
                <w:p w14:paraId="0C18B876">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16</w:t>
                  </w:r>
                </w:p>
              </w:tc>
              <w:tc>
                <w:tcPr>
                  <w:tcW w:w="725" w:type="pct"/>
                  <w:tcBorders>
                    <w:top w:val="single" w:color="auto" w:sz="4" w:space="0"/>
                    <w:left w:val="single" w:color="auto" w:sz="4" w:space="0"/>
                    <w:bottom w:val="single" w:color="auto" w:sz="4" w:space="0"/>
                    <w:right w:val="single" w:color="auto" w:sz="4" w:space="0"/>
                  </w:tcBorders>
                  <w:vAlign w:val="center"/>
                </w:tcPr>
                <w:p w14:paraId="196D4657">
                  <w:pPr>
                    <w:jc w:val="center"/>
                    <w:rPr>
                      <w:rFonts w:hint="eastAsia" w:eastAsia="宋体"/>
                      <w:color w:val="auto"/>
                      <w:szCs w:val="21"/>
                      <w:lang w:eastAsia="zh-CN"/>
                    </w:rPr>
                  </w:pPr>
                  <w:r>
                    <w:rPr>
                      <w:rFonts w:hint="eastAsia"/>
                      <w:color w:val="auto"/>
                      <w:szCs w:val="21"/>
                    </w:rPr>
                    <w:t>0.3</w:t>
                  </w:r>
                  <w:r>
                    <w:rPr>
                      <w:rFonts w:hint="eastAsia"/>
                      <w:color w:val="auto"/>
                      <w:szCs w:val="21"/>
                      <w:lang w:val="en-US" w:eastAsia="zh-CN"/>
                    </w:rPr>
                    <w:t>4</w:t>
                  </w:r>
                </w:p>
              </w:tc>
              <w:tc>
                <w:tcPr>
                  <w:tcW w:w="618" w:type="pct"/>
                  <w:tcBorders>
                    <w:top w:val="single" w:color="auto" w:sz="4" w:space="0"/>
                    <w:left w:val="single" w:color="auto" w:sz="4" w:space="0"/>
                    <w:bottom w:val="single" w:color="auto" w:sz="4" w:space="0"/>
                    <w:right w:val="single" w:color="auto" w:sz="4" w:space="0"/>
                  </w:tcBorders>
                  <w:vAlign w:val="center"/>
                </w:tcPr>
                <w:p w14:paraId="618D3781">
                  <w:pPr>
                    <w:jc w:val="center"/>
                    <w:rPr>
                      <w:color w:val="auto"/>
                      <w:szCs w:val="21"/>
                    </w:rPr>
                  </w:pPr>
                  <w:r>
                    <w:rPr>
                      <w:rFonts w:hint="eastAsia"/>
                      <w:color w:val="auto"/>
                      <w:szCs w:val="21"/>
                    </w:rPr>
                    <w:t>80.00</w:t>
                  </w:r>
                </w:p>
              </w:tc>
              <w:tc>
                <w:tcPr>
                  <w:tcW w:w="934" w:type="pct"/>
                  <w:vMerge w:val="continue"/>
                  <w:tcBorders>
                    <w:left w:val="single" w:color="auto" w:sz="4" w:space="0"/>
                    <w:bottom w:val="single" w:color="auto" w:sz="4" w:space="0"/>
                    <w:right w:val="nil"/>
                  </w:tcBorders>
                  <w:vAlign w:val="center"/>
                </w:tcPr>
                <w:p w14:paraId="0448CCB0">
                  <w:pPr>
                    <w:jc w:val="center"/>
                    <w:rPr>
                      <w:color w:val="auto"/>
                      <w:szCs w:val="21"/>
                    </w:rPr>
                  </w:pPr>
                </w:p>
              </w:tc>
            </w:tr>
            <w:tr w14:paraId="61725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98" w:type="pct"/>
                  <w:gridSpan w:val="2"/>
                  <w:tcBorders>
                    <w:top w:val="single" w:color="auto" w:sz="4" w:space="0"/>
                    <w:left w:val="nil"/>
                    <w:bottom w:val="single" w:color="auto" w:sz="12" w:space="0"/>
                    <w:right w:val="single" w:color="auto" w:sz="4" w:space="0"/>
                  </w:tcBorders>
                  <w:vAlign w:val="center"/>
                </w:tcPr>
                <w:p w14:paraId="7FFAF8E4">
                  <w:pPr>
                    <w:jc w:val="center"/>
                    <w:rPr>
                      <w:color w:val="auto"/>
                      <w:szCs w:val="21"/>
                    </w:rPr>
                  </w:pPr>
                  <w:r>
                    <w:rPr>
                      <w:color w:val="auto"/>
                      <w:szCs w:val="21"/>
                    </w:rPr>
                    <w:t>排放标准（mg/m</w:t>
                  </w:r>
                  <w:r>
                    <w:rPr>
                      <w:color w:val="auto"/>
                      <w:szCs w:val="21"/>
                      <w:vertAlign w:val="superscript"/>
                    </w:rPr>
                    <w:t>3</w:t>
                  </w:r>
                  <w:r>
                    <w:rPr>
                      <w:color w:val="auto"/>
                      <w:szCs w:val="21"/>
                    </w:rPr>
                    <w:t>）</w:t>
                  </w:r>
                </w:p>
              </w:tc>
              <w:tc>
                <w:tcPr>
                  <w:tcW w:w="725" w:type="pct"/>
                  <w:tcBorders>
                    <w:top w:val="single" w:color="auto" w:sz="4" w:space="0"/>
                    <w:left w:val="single" w:color="auto" w:sz="4" w:space="0"/>
                    <w:bottom w:val="single" w:color="auto" w:sz="12" w:space="0"/>
                    <w:right w:val="single" w:color="auto" w:sz="4" w:space="0"/>
                  </w:tcBorders>
                  <w:vAlign w:val="center"/>
                </w:tcPr>
                <w:p w14:paraId="3B890159">
                  <w:pPr>
                    <w:jc w:val="center"/>
                    <w:rPr>
                      <w:color w:val="auto"/>
                      <w:szCs w:val="21"/>
                    </w:rPr>
                  </w:pPr>
                  <w:r>
                    <w:rPr>
                      <w:rFonts w:hint="eastAsia"/>
                      <w:color w:val="auto"/>
                      <w:szCs w:val="21"/>
                    </w:rPr>
                    <w:t>120</w:t>
                  </w:r>
                </w:p>
              </w:tc>
              <w:tc>
                <w:tcPr>
                  <w:tcW w:w="725" w:type="pct"/>
                  <w:tcBorders>
                    <w:top w:val="single" w:color="auto" w:sz="4" w:space="0"/>
                    <w:left w:val="single" w:color="auto" w:sz="4" w:space="0"/>
                    <w:bottom w:val="single" w:color="auto" w:sz="12" w:space="0"/>
                    <w:right w:val="single" w:color="auto" w:sz="4" w:space="0"/>
                  </w:tcBorders>
                  <w:vAlign w:val="center"/>
                </w:tcPr>
                <w:p w14:paraId="07DAC50D">
                  <w:pPr>
                    <w:jc w:val="center"/>
                    <w:rPr>
                      <w:color w:val="auto"/>
                      <w:szCs w:val="21"/>
                    </w:rPr>
                  </w:pPr>
                  <w:r>
                    <w:rPr>
                      <w:rFonts w:hint="eastAsia"/>
                      <w:color w:val="auto"/>
                      <w:szCs w:val="21"/>
                    </w:rPr>
                    <w:t>550</w:t>
                  </w:r>
                </w:p>
              </w:tc>
              <w:tc>
                <w:tcPr>
                  <w:tcW w:w="618" w:type="pct"/>
                  <w:tcBorders>
                    <w:top w:val="single" w:color="auto" w:sz="4" w:space="0"/>
                    <w:left w:val="single" w:color="auto" w:sz="4" w:space="0"/>
                    <w:bottom w:val="single" w:color="auto" w:sz="12" w:space="0"/>
                    <w:right w:val="single" w:color="auto" w:sz="4" w:space="0"/>
                  </w:tcBorders>
                  <w:vAlign w:val="center"/>
                </w:tcPr>
                <w:p w14:paraId="73B685B4">
                  <w:pPr>
                    <w:jc w:val="center"/>
                    <w:rPr>
                      <w:color w:val="auto"/>
                      <w:szCs w:val="21"/>
                    </w:rPr>
                  </w:pPr>
                  <w:r>
                    <w:rPr>
                      <w:rFonts w:hint="eastAsia"/>
                      <w:color w:val="auto"/>
                      <w:szCs w:val="21"/>
                    </w:rPr>
                    <w:t>240</w:t>
                  </w:r>
                </w:p>
              </w:tc>
              <w:tc>
                <w:tcPr>
                  <w:tcW w:w="934" w:type="pct"/>
                  <w:tcBorders>
                    <w:top w:val="single" w:color="auto" w:sz="4" w:space="0"/>
                    <w:left w:val="single" w:color="auto" w:sz="4" w:space="0"/>
                    <w:bottom w:val="single" w:color="auto" w:sz="12" w:space="0"/>
                    <w:right w:val="nil"/>
                  </w:tcBorders>
                  <w:vAlign w:val="center"/>
                </w:tcPr>
                <w:p w14:paraId="6297DDE0">
                  <w:pPr>
                    <w:jc w:val="center"/>
                    <w:rPr>
                      <w:color w:val="auto"/>
                      <w:szCs w:val="21"/>
                    </w:rPr>
                  </w:pPr>
                  <w:r>
                    <w:rPr>
                      <w:color w:val="auto"/>
                      <w:szCs w:val="21"/>
                    </w:rPr>
                    <w:t>/</w:t>
                  </w:r>
                </w:p>
              </w:tc>
            </w:tr>
          </w:tbl>
          <w:p w14:paraId="44312527">
            <w:pPr>
              <w:spacing w:line="360" w:lineRule="auto"/>
              <w:ind w:firstLine="480" w:firstLineChars="200"/>
              <w:contextualSpacing/>
              <w:rPr>
                <w:bCs/>
                <w:color w:val="auto"/>
                <w:sz w:val="24"/>
              </w:rPr>
            </w:pPr>
            <w:r>
              <w:rPr>
                <w:rFonts w:hAnsi="宋体"/>
                <w:bCs/>
                <w:color w:val="auto"/>
                <w:sz w:val="24"/>
              </w:rPr>
              <w:t>③</w:t>
            </w:r>
            <w:r>
              <w:rPr>
                <w:rFonts w:hint="eastAsia" w:hAnsi="宋体"/>
                <w:bCs/>
                <w:color w:val="auto"/>
                <w:sz w:val="24"/>
                <w:lang w:val="en-US" w:eastAsia="zh-CN"/>
              </w:rPr>
              <w:t>热骨料</w:t>
            </w:r>
            <w:r>
              <w:rPr>
                <w:rFonts w:hAnsi="宋体"/>
                <w:bCs/>
                <w:color w:val="auto"/>
                <w:sz w:val="24"/>
              </w:rPr>
              <w:t>筛分粉尘</w:t>
            </w:r>
          </w:p>
          <w:p w14:paraId="4F4D8A8D">
            <w:pPr>
              <w:spacing w:line="360" w:lineRule="auto"/>
              <w:ind w:firstLine="480" w:firstLineChars="200"/>
              <w:contextualSpacing/>
              <w:rPr>
                <w:bCs/>
                <w:color w:val="auto"/>
                <w:sz w:val="24"/>
              </w:rPr>
            </w:pPr>
            <w:r>
              <w:rPr>
                <w:rFonts w:hAnsi="宋体"/>
                <w:color w:val="auto"/>
                <w:sz w:val="24"/>
              </w:rPr>
              <w:t>颗粒物产生量</w:t>
            </w:r>
            <w:r>
              <w:rPr>
                <w:rFonts w:hint="eastAsia" w:hAnsi="宋体"/>
                <w:color w:val="auto"/>
                <w:sz w:val="24"/>
              </w:rPr>
              <w:t>根据</w:t>
            </w:r>
            <w:r>
              <w:rPr>
                <w:rFonts w:hAnsi="宋体"/>
                <w:color w:val="auto"/>
                <w:sz w:val="24"/>
              </w:rPr>
              <w:t>《逸散性工业粉尘控制技术》</w:t>
            </w:r>
            <w:r>
              <w:rPr>
                <w:rFonts w:hint="eastAsia" w:hAnsi="宋体"/>
                <w:color w:val="auto"/>
                <w:sz w:val="24"/>
              </w:rPr>
              <w:t>粒料加工厂中筛选排放因子系数为1.0kg/t（贮料），</w:t>
            </w:r>
            <w:r>
              <w:rPr>
                <w:rFonts w:hAnsi="宋体"/>
                <w:color w:val="auto"/>
                <w:sz w:val="24"/>
              </w:rPr>
              <w:t>年运行</w:t>
            </w:r>
            <w:r>
              <w:rPr>
                <w:rFonts w:hint="eastAsia"/>
                <w:color w:val="auto"/>
                <w:sz w:val="24"/>
              </w:rPr>
              <w:t>2</w:t>
            </w:r>
            <w:r>
              <w:rPr>
                <w:rFonts w:hint="eastAsia"/>
                <w:color w:val="auto"/>
                <w:sz w:val="24"/>
                <w:lang w:val="en-US" w:eastAsia="zh-CN"/>
              </w:rPr>
              <w:t>4</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w:t>
            </w:r>
            <w:r>
              <w:rPr>
                <w:rFonts w:hAnsi="宋体"/>
                <w:bCs/>
                <w:color w:val="auto"/>
                <w:sz w:val="24"/>
              </w:rPr>
              <w:t>则粉尘产生量为</w:t>
            </w:r>
            <w:r>
              <w:rPr>
                <w:rFonts w:hint="eastAsia"/>
                <w:bCs/>
                <w:color w:val="auto"/>
                <w:sz w:val="24"/>
                <w:lang w:val="en-US" w:eastAsia="zh-CN"/>
              </w:rPr>
              <w:t>305</w:t>
            </w:r>
            <w:r>
              <w:rPr>
                <w:bCs/>
                <w:color w:val="auto"/>
                <w:sz w:val="24"/>
              </w:rPr>
              <w:t>t/a</w:t>
            </w:r>
            <w:r>
              <w:rPr>
                <w:rFonts w:hAnsi="宋体"/>
                <w:bCs/>
                <w:color w:val="auto"/>
                <w:sz w:val="24"/>
              </w:rPr>
              <w:t>、</w:t>
            </w:r>
            <w:r>
              <w:rPr>
                <w:rFonts w:hint="eastAsia"/>
                <w:bCs/>
                <w:color w:val="auto"/>
                <w:sz w:val="24"/>
                <w:lang w:val="en-US" w:eastAsia="zh-CN"/>
              </w:rPr>
              <w:t>127</w:t>
            </w:r>
            <w:r>
              <w:rPr>
                <w:bCs/>
                <w:color w:val="auto"/>
                <w:sz w:val="24"/>
              </w:rPr>
              <w:t>kg/h</w:t>
            </w:r>
            <w:r>
              <w:rPr>
                <w:rFonts w:hAnsi="宋体"/>
                <w:bCs/>
                <w:color w:val="auto"/>
                <w:sz w:val="24"/>
              </w:rPr>
              <w:t>，</w:t>
            </w:r>
            <w:r>
              <w:rPr>
                <w:rFonts w:hAnsi="宋体"/>
                <w:color w:val="auto"/>
                <w:sz w:val="24"/>
              </w:rPr>
              <w:t>产生的粉尘经集气管道收集，</w:t>
            </w:r>
            <w:r>
              <w:rPr>
                <w:rFonts w:hint="eastAsia" w:hAnsi="宋体"/>
                <w:color w:val="auto"/>
                <w:sz w:val="24"/>
              </w:rPr>
              <w:t>经</w:t>
            </w:r>
            <w:r>
              <w:rPr>
                <w:rFonts w:hint="eastAsia"/>
                <w:color w:val="auto"/>
                <w:sz w:val="24"/>
              </w:rPr>
              <w:t>除尘</w:t>
            </w:r>
            <w:r>
              <w:rPr>
                <w:color w:val="auto"/>
                <w:sz w:val="24"/>
              </w:rPr>
              <w:t>系统</w:t>
            </w:r>
            <w:r>
              <w:rPr>
                <w:rFonts w:hAnsi="宋体"/>
                <w:color w:val="auto"/>
                <w:sz w:val="24"/>
              </w:rPr>
              <w:t>（重力</w:t>
            </w:r>
            <w:r>
              <w:rPr>
                <w:rFonts w:hint="eastAsia" w:hAnsi="宋体"/>
                <w:color w:val="auto"/>
                <w:sz w:val="24"/>
              </w:rPr>
              <w:t>+布袋，</w:t>
            </w:r>
            <w:r>
              <w:rPr>
                <w:rFonts w:hAnsi="宋体"/>
                <w:color w:val="auto"/>
                <w:sz w:val="24"/>
              </w:rPr>
              <w:t>除尘效率</w:t>
            </w:r>
            <w:r>
              <w:rPr>
                <w:color w:val="auto"/>
                <w:sz w:val="24"/>
              </w:rPr>
              <w:t>99%</w:t>
            </w:r>
            <w:r>
              <w:rPr>
                <w:rFonts w:hAnsi="宋体"/>
                <w:color w:val="auto"/>
                <w:sz w:val="24"/>
              </w:rPr>
              <w:t>）处理后由</w:t>
            </w:r>
            <w:r>
              <w:rPr>
                <w:rFonts w:hint="eastAsia"/>
                <w:color w:val="auto"/>
                <w:sz w:val="24"/>
              </w:rPr>
              <w:t>15</w:t>
            </w:r>
            <w:r>
              <w:rPr>
                <w:color w:val="auto"/>
                <w:sz w:val="24"/>
              </w:rPr>
              <w:t>m</w:t>
            </w:r>
            <w:r>
              <w:rPr>
                <w:rFonts w:hAnsi="宋体"/>
                <w:color w:val="auto"/>
                <w:sz w:val="24"/>
              </w:rPr>
              <w:t>高</w:t>
            </w:r>
            <w:r>
              <w:rPr>
                <w:rFonts w:hint="eastAsia"/>
                <w:color w:val="auto"/>
                <w:sz w:val="24"/>
              </w:rPr>
              <w:t>除尘</w:t>
            </w:r>
            <w:r>
              <w:rPr>
                <w:color w:val="auto"/>
                <w:sz w:val="24"/>
              </w:rPr>
              <w:t>系统烟囱</w:t>
            </w:r>
            <w:r>
              <w:rPr>
                <w:rFonts w:hint="eastAsia"/>
                <w:color w:val="auto"/>
                <w:sz w:val="24"/>
              </w:rPr>
              <w:t>（DA001）</w:t>
            </w:r>
            <w:r>
              <w:rPr>
                <w:rFonts w:hAnsi="宋体"/>
                <w:color w:val="auto"/>
                <w:sz w:val="24"/>
              </w:rPr>
              <w:t>排放，排放量为</w:t>
            </w:r>
            <w:r>
              <w:rPr>
                <w:rFonts w:hint="eastAsia" w:hAnsi="宋体"/>
                <w:color w:val="auto"/>
                <w:sz w:val="24"/>
                <w:lang w:val="en-US" w:eastAsia="zh-CN"/>
              </w:rPr>
              <w:t>3.05</w:t>
            </w:r>
            <w:r>
              <w:rPr>
                <w:bCs/>
                <w:color w:val="auto"/>
                <w:sz w:val="24"/>
              </w:rPr>
              <w:t>t/a</w:t>
            </w:r>
            <w:r>
              <w:rPr>
                <w:rFonts w:hAnsi="宋体"/>
                <w:bCs/>
                <w:color w:val="auto"/>
                <w:sz w:val="24"/>
              </w:rPr>
              <w:t>、</w:t>
            </w:r>
            <w:r>
              <w:rPr>
                <w:rFonts w:hint="eastAsia" w:hAnsi="宋体"/>
                <w:bCs/>
                <w:color w:val="auto"/>
                <w:sz w:val="24"/>
                <w:lang w:val="en-US" w:eastAsia="zh-CN"/>
              </w:rPr>
              <w:t>1.27</w:t>
            </w:r>
            <w:r>
              <w:rPr>
                <w:bCs/>
                <w:color w:val="auto"/>
                <w:sz w:val="24"/>
              </w:rPr>
              <w:t>kg/h</w:t>
            </w:r>
            <w:r>
              <w:rPr>
                <w:rFonts w:hAnsi="宋体"/>
                <w:color w:val="auto"/>
                <w:sz w:val="24"/>
              </w:rPr>
              <w:t>。</w:t>
            </w:r>
          </w:p>
          <w:p w14:paraId="4442742D">
            <w:pPr>
              <w:spacing w:line="360" w:lineRule="auto"/>
              <w:ind w:firstLine="480" w:firstLineChars="200"/>
              <w:contextualSpacing/>
              <w:rPr>
                <w:rFonts w:hAnsi="宋体"/>
                <w:bCs/>
                <w:color w:val="auto"/>
                <w:sz w:val="24"/>
              </w:rPr>
            </w:pPr>
            <w:r>
              <w:rPr>
                <w:rFonts w:hAnsi="宋体"/>
                <w:bCs/>
                <w:color w:val="auto"/>
                <w:sz w:val="24"/>
              </w:rPr>
              <w:fldChar w:fldCharType="begin"/>
            </w:r>
            <w:r>
              <w:rPr>
                <w:rFonts w:hAnsi="宋体"/>
                <w:bCs/>
                <w:color w:val="auto"/>
                <w:sz w:val="24"/>
              </w:rPr>
              <w:instrText xml:space="preserve"> </w:instrText>
            </w:r>
            <w:r>
              <w:rPr>
                <w:rFonts w:hint="eastAsia" w:hAnsi="宋体"/>
                <w:bCs/>
                <w:color w:val="auto"/>
                <w:sz w:val="24"/>
              </w:rPr>
              <w:instrText xml:space="preserve">= 4 \* GB3</w:instrText>
            </w:r>
            <w:r>
              <w:rPr>
                <w:rFonts w:hAnsi="宋体"/>
                <w:bCs/>
                <w:color w:val="auto"/>
                <w:sz w:val="24"/>
              </w:rPr>
              <w:instrText xml:space="preserve"> </w:instrText>
            </w:r>
            <w:r>
              <w:rPr>
                <w:rFonts w:hAnsi="宋体"/>
                <w:bCs/>
                <w:color w:val="auto"/>
                <w:sz w:val="24"/>
              </w:rPr>
              <w:fldChar w:fldCharType="separate"/>
            </w:r>
            <w:r>
              <w:rPr>
                <w:rFonts w:hint="eastAsia" w:hAnsi="宋体"/>
                <w:bCs/>
                <w:color w:val="auto"/>
                <w:sz w:val="24"/>
              </w:rPr>
              <w:t>④</w:t>
            </w:r>
            <w:r>
              <w:rPr>
                <w:rFonts w:hAnsi="宋体"/>
                <w:bCs/>
                <w:color w:val="auto"/>
                <w:sz w:val="24"/>
              </w:rPr>
              <w:fldChar w:fldCharType="end"/>
            </w:r>
            <w:r>
              <w:rPr>
                <w:rFonts w:hAnsi="宋体"/>
                <w:bCs/>
                <w:color w:val="auto"/>
                <w:sz w:val="24"/>
              </w:rPr>
              <w:t>热料仓落料粉尘</w:t>
            </w:r>
          </w:p>
          <w:p w14:paraId="47ADE716">
            <w:pPr>
              <w:spacing w:line="360" w:lineRule="auto"/>
              <w:ind w:firstLine="480" w:firstLineChars="200"/>
              <w:contextualSpacing/>
              <w:rPr>
                <w:rFonts w:hAnsi="宋体"/>
                <w:color w:val="auto"/>
                <w:sz w:val="24"/>
              </w:rPr>
            </w:pPr>
            <w:r>
              <w:rPr>
                <w:rFonts w:hAnsi="宋体"/>
                <w:bCs/>
                <w:color w:val="auto"/>
                <w:sz w:val="24"/>
              </w:rPr>
              <w:t>加热的骨料通过提升机输送至热骨料仓暂存，落料过程中会产生粉尘，</w:t>
            </w:r>
            <w:r>
              <w:rPr>
                <w:rFonts w:hint="eastAsia" w:hAnsi="宋体"/>
                <w:color w:val="auto"/>
                <w:sz w:val="24"/>
              </w:rPr>
              <w:t>根据</w:t>
            </w:r>
            <w:r>
              <w:rPr>
                <w:rFonts w:hAnsi="宋体"/>
                <w:color w:val="auto"/>
                <w:sz w:val="24"/>
              </w:rPr>
              <w:t>《逸散性工业粉尘控制技术》</w:t>
            </w:r>
            <w:r>
              <w:rPr>
                <w:rFonts w:hint="eastAsia" w:hAnsi="宋体"/>
                <w:color w:val="auto"/>
                <w:sz w:val="24"/>
              </w:rPr>
              <w:t>卸粗、细粒料到贮箱排放因子系数为0.05kg/t（贮料），</w:t>
            </w:r>
            <w:r>
              <w:rPr>
                <w:rFonts w:hAnsi="宋体"/>
                <w:color w:val="auto"/>
                <w:sz w:val="24"/>
              </w:rPr>
              <w:t>年运行</w:t>
            </w:r>
            <w:r>
              <w:rPr>
                <w:rFonts w:hint="eastAsia"/>
                <w:color w:val="auto"/>
                <w:sz w:val="24"/>
              </w:rPr>
              <w:t>2</w:t>
            </w:r>
            <w:r>
              <w:rPr>
                <w:rFonts w:hint="eastAsia"/>
                <w:color w:val="auto"/>
                <w:sz w:val="24"/>
                <w:lang w:val="en-US" w:eastAsia="zh-CN"/>
              </w:rPr>
              <w:t>4</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w:t>
            </w:r>
            <w:r>
              <w:rPr>
                <w:rFonts w:hAnsi="宋体"/>
                <w:bCs/>
                <w:color w:val="auto"/>
                <w:sz w:val="24"/>
              </w:rPr>
              <w:t>则粉尘产生量为</w:t>
            </w:r>
            <w:r>
              <w:rPr>
                <w:rFonts w:hint="eastAsia"/>
                <w:bCs/>
                <w:color w:val="auto"/>
                <w:sz w:val="24"/>
                <w:lang w:val="en-US" w:eastAsia="zh-CN"/>
              </w:rPr>
              <w:t>15.25</w:t>
            </w:r>
            <w:r>
              <w:rPr>
                <w:bCs/>
                <w:color w:val="auto"/>
                <w:sz w:val="24"/>
              </w:rPr>
              <w:t>t/a</w:t>
            </w:r>
            <w:r>
              <w:rPr>
                <w:rFonts w:hAnsi="宋体"/>
                <w:bCs/>
                <w:color w:val="auto"/>
                <w:sz w:val="24"/>
              </w:rPr>
              <w:t>、</w:t>
            </w:r>
            <w:r>
              <w:rPr>
                <w:rFonts w:hint="eastAsia"/>
                <w:bCs/>
                <w:color w:val="auto"/>
                <w:sz w:val="24"/>
                <w:lang w:val="en-US" w:eastAsia="zh-CN"/>
              </w:rPr>
              <w:t>6.35</w:t>
            </w:r>
            <w:r>
              <w:rPr>
                <w:bCs/>
                <w:color w:val="auto"/>
                <w:sz w:val="24"/>
              </w:rPr>
              <w:t>kg/h</w:t>
            </w:r>
            <w:r>
              <w:rPr>
                <w:rFonts w:hAnsi="宋体"/>
                <w:bCs/>
                <w:color w:val="auto"/>
                <w:sz w:val="24"/>
              </w:rPr>
              <w:t>，</w:t>
            </w:r>
            <w:r>
              <w:rPr>
                <w:rFonts w:hAnsi="宋体"/>
                <w:color w:val="auto"/>
                <w:sz w:val="24"/>
              </w:rPr>
              <w:t>产生的粉尘经集气管道收集，</w:t>
            </w:r>
            <w:r>
              <w:rPr>
                <w:rFonts w:hint="eastAsia" w:hAnsi="宋体"/>
                <w:color w:val="auto"/>
                <w:sz w:val="24"/>
              </w:rPr>
              <w:t>经</w:t>
            </w:r>
            <w:r>
              <w:rPr>
                <w:rFonts w:hint="eastAsia"/>
                <w:color w:val="auto"/>
                <w:sz w:val="24"/>
              </w:rPr>
              <w:t>除尘</w:t>
            </w:r>
            <w:r>
              <w:rPr>
                <w:color w:val="auto"/>
                <w:sz w:val="24"/>
              </w:rPr>
              <w:t>系统</w:t>
            </w:r>
            <w:r>
              <w:rPr>
                <w:rFonts w:hAnsi="宋体"/>
                <w:color w:val="auto"/>
                <w:sz w:val="24"/>
              </w:rPr>
              <w:t>（重力</w:t>
            </w:r>
            <w:r>
              <w:rPr>
                <w:rFonts w:hint="eastAsia" w:hAnsi="宋体"/>
                <w:color w:val="auto"/>
                <w:sz w:val="24"/>
              </w:rPr>
              <w:t>+布袋，</w:t>
            </w:r>
            <w:r>
              <w:rPr>
                <w:rFonts w:hAnsi="宋体"/>
                <w:color w:val="auto"/>
                <w:sz w:val="24"/>
              </w:rPr>
              <w:t>除尘效率</w:t>
            </w:r>
            <w:r>
              <w:rPr>
                <w:color w:val="auto"/>
                <w:sz w:val="24"/>
              </w:rPr>
              <w:t>99%</w:t>
            </w:r>
            <w:r>
              <w:rPr>
                <w:rFonts w:hAnsi="宋体"/>
                <w:color w:val="auto"/>
                <w:sz w:val="24"/>
              </w:rPr>
              <w:t>）处理后由</w:t>
            </w:r>
            <w:r>
              <w:rPr>
                <w:rFonts w:hint="eastAsia"/>
                <w:color w:val="auto"/>
                <w:sz w:val="24"/>
              </w:rPr>
              <w:t>15</w:t>
            </w:r>
            <w:r>
              <w:rPr>
                <w:color w:val="auto"/>
                <w:sz w:val="24"/>
              </w:rPr>
              <w:t>m</w:t>
            </w:r>
            <w:r>
              <w:rPr>
                <w:rFonts w:hAnsi="宋体"/>
                <w:color w:val="auto"/>
                <w:sz w:val="24"/>
              </w:rPr>
              <w:t>高</w:t>
            </w:r>
            <w:r>
              <w:rPr>
                <w:rFonts w:hint="eastAsia"/>
                <w:color w:val="auto"/>
                <w:sz w:val="24"/>
              </w:rPr>
              <w:t>除尘</w:t>
            </w:r>
            <w:r>
              <w:rPr>
                <w:color w:val="auto"/>
                <w:sz w:val="24"/>
              </w:rPr>
              <w:t>系统烟囱</w:t>
            </w:r>
            <w:r>
              <w:rPr>
                <w:rFonts w:hint="eastAsia"/>
                <w:color w:val="auto"/>
                <w:sz w:val="24"/>
              </w:rPr>
              <w:t>（DA001）</w:t>
            </w:r>
            <w:r>
              <w:rPr>
                <w:rFonts w:hAnsi="宋体"/>
                <w:color w:val="auto"/>
                <w:sz w:val="24"/>
              </w:rPr>
              <w:t>排放，排放量为</w:t>
            </w:r>
            <w:r>
              <w:rPr>
                <w:rFonts w:hint="eastAsia" w:hAnsi="宋体"/>
                <w:color w:val="auto"/>
                <w:sz w:val="24"/>
              </w:rPr>
              <w:t>0.</w:t>
            </w:r>
            <w:r>
              <w:rPr>
                <w:rFonts w:hint="eastAsia" w:hAnsi="宋体"/>
                <w:color w:val="auto"/>
                <w:sz w:val="24"/>
                <w:lang w:val="en-US" w:eastAsia="zh-CN"/>
              </w:rPr>
              <w:t>15</w:t>
            </w:r>
            <w:r>
              <w:rPr>
                <w:bCs/>
                <w:color w:val="auto"/>
                <w:sz w:val="24"/>
              </w:rPr>
              <w:t>t/a</w:t>
            </w:r>
            <w:r>
              <w:rPr>
                <w:rFonts w:hAnsi="宋体"/>
                <w:bCs/>
                <w:color w:val="auto"/>
                <w:sz w:val="24"/>
              </w:rPr>
              <w:t>、</w:t>
            </w:r>
            <w:r>
              <w:rPr>
                <w:rFonts w:hint="eastAsia"/>
                <w:bCs/>
                <w:color w:val="auto"/>
                <w:sz w:val="24"/>
              </w:rPr>
              <w:t>0.0</w:t>
            </w:r>
            <w:r>
              <w:rPr>
                <w:rFonts w:hint="eastAsia"/>
                <w:bCs/>
                <w:color w:val="auto"/>
                <w:sz w:val="24"/>
                <w:lang w:val="en-US" w:eastAsia="zh-CN"/>
              </w:rPr>
              <w:t>6</w:t>
            </w:r>
            <w:r>
              <w:rPr>
                <w:bCs/>
                <w:color w:val="auto"/>
                <w:sz w:val="24"/>
              </w:rPr>
              <w:t>kg/h</w:t>
            </w:r>
            <w:r>
              <w:rPr>
                <w:rFonts w:hAnsi="宋体"/>
                <w:color w:val="auto"/>
                <w:sz w:val="24"/>
              </w:rPr>
              <w:t>。</w:t>
            </w:r>
          </w:p>
          <w:p w14:paraId="0EDE68C4">
            <w:pPr>
              <w:spacing w:line="360" w:lineRule="auto"/>
              <w:ind w:firstLine="480" w:firstLineChars="200"/>
              <w:contextualSpacing/>
              <w:rPr>
                <w:color w:val="auto"/>
                <w:kern w:val="0"/>
                <w:sz w:val="24"/>
              </w:rPr>
            </w:pPr>
            <w:r>
              <w:rPr>
                <w:rFonts w:hint="eastAsia"/>
                <w:color w:val="auto"/>
                <w:sz w:val="24"/>
              </w:rPr>
              <w:t>（3）</w:t>
            </w:r>
            <w:r>
              <w:rPr>
                <w:rFonts w:hAnsi="宋体"/>
                <w:color w:val="auto"/>
                <w:kern w:val="0"/>
                <w:sz w:val="24"/>
              </w:rPr>
              <w:t>加热沥青导热油炉烟气</w:t>
            </w:r>
          </w:p>
          <w:p w14:paraId="19630923">
            <w:pPr>
              <w:spacing w:line="360" w:lineRule="auto"/>
              <w:ind w:firstLine="480" w:firstLineChars="200"/>
              <w:rPr>
                <w:color w:val="auto"/>
                <w:sz w:val="24"/>
              </w:rPr>
            </w:pPr>
            <w:r>
              <w:rPr>
                <w:rFonts w:hAnsi="宋体"/>
                <w:color w:val="auto"/>
                <w:sz w:val="24"/>
              </w:rPr>
              <w:t>本项目</w:t>
            </w:r>
            <w:r>
              <w:rPr>
                <w:rFonts w:hAnsi="宋体"/>
                <w:color w:val="auto"/>
                <w:kern w:val="0"/>
                <w:sz w:val="24"/>
              </w:rPr>
              <w:t>加热沥青热源</w:t>
            </w:r>
            <w:r>
              <w:rPr>
                <w:rFonts w:hAnsi="宋体"/>
                <w:color w:val="auto"/>
                <w:sz w:val="24"/>
              </w:rPr>
              <w:t>为</w:t>
            </w:r>
            <w:r>
              <w:rPr>
                <w:color w:val="auto"/>
                <w:sz w:val="24"/>
              </w:rPr>
              <w:t>1</w:t>
            </w:r>
            <w:r>
              <w:rPr>
                <w:rFonts w:hAnsi="宋体"/>
                <w:color w:val="auto"/>
                <w:sz w:val="24"/>
              </w:rPr>
              <w:t>台</w:t>
            </w:r>
            <w:r>
              <w:rPr>
                <w:color w:val="auto"/>
                <w:sz w:val="24"/>
              </w:rPr>
              <w:t>120万kcal</w:t>
            </w:r>
            <w:r>
              <w:rPr>
                <w:rFonts w:hAnsi="宋体"/>
                <w:color w:val="auto"/>
                <w:sz w:val="24"/>
              </w:rPr>
              <w:t>导热油炉，燃</w:t>
            </w:r>
            <w:r>
              <w:rPr>
                <w:rFonts w:hint="eastAsia" w:hAnsi="宋体"/>
                <w:color w:val="auto"/>
                <w:sz w:val="24"/>
              </w:rPr>
              <w:t>天然气</w:t>
            </w:r>
            <w:r>
              <w:rPr>
                <w:rFonts w:hAnsi="宋体"/>
                <w:color w:val="auto"/>
                <w:sz w:val="24"/>
              </w:rPr>
              <w:t>量</w:t>
            </w:r>
            <w:r>
              <w:rPr>
                <w:rFonts w:hint="eastAsia" w:hAnsi="宋体"/>
                <w:color w:val="auto"/>
                <w:sz w:val="24"/>
              </w:rPr>
              <w:t>约</w:t>
            </w:r>
            <w:r>
              <w:rPr>
                <w:rFonts w:hint="eastAsia"/>
                <w:color w:val="auto"/>
                <w:sz w:val="24"/>
                <w:lang w:val="en-US" w:eastAsia="zh-CN"/>
              </w:rPr>
              <w:t>28.05</w:t>
            </w:r>
            <w:r>
              <w:rPr>
                <w:rFonts w:hint="eastAsia"/>
                <w:color w:val="auto"/>
                <w:sz w:val="24"/>
              </w:rPr>
              <w:t>万</w:t>
            </w:r>
            <w:r>
              <w:rPr>
                <w:color w:val="auto"/>
                <w:sz w:val="24"/>
              </w:rPr>
              <w:t>m³/a</w:t>
            </w:r>
            <w:r>
              <w:rPr>
                <w:rFonts w:hAnsi="宋体"/>
                <w:color w:val="auto"/>
                <w:sz w:val="24"/>
              </w:rPr>
              <w:t>，导热油炉年运行</w:t>
            </w:r>
            <w:r>
              <w:rPr>
                <w:rFonts w:hint="eastAsia"/>
                <w:color w:val="auto"/>
                <w:sz w:val="24"/>
              </w:rPr>
              <w:t>2</w:t>
            </w:r>
            <w:r>
              <w:rPr>
                <w:rFonts w:hint="eastAsia"/>
                <w:color w:val="auto"/>
                <w:sz w:val="24"/>
                <w:lang w:val="en-US" w:eastAsia="zh-CN"/>
              </w:rPr>
              <w:t>4</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w:t>
            </w:r>
            <w:r>
              <w:rPr>
                <w:color w:val="auto"/>
                <w:sz w:val="24"/>
              </w:rPr>
              <w:t>导热油炉</w:t>
            </w:r>
            <w:r>
              <w:rPr>
                <w:bCs/>
                <w:color w:val="auto"/>
                <w:sz w:val="24"/>
              </w:rPr>
              <w:t>烟气经</w:t>
            </w:r>
            <w:r>
              <w:rPr>
                <w:rFonts w:hint="eastAsia"/>
                <w:bCs/>
                <w:color w:val="auto"/>
                <w:sz w:val="24"/>
              </w:rPr>
              <w:t>低氮燃烧</w:t>
            </w:r>
            <w:r>
              <w:rPr>
                <w:bCs/>
                <w:color w:val="auto"/>
                <w:sz w:val="24"/>
              </w:rPr>
              <w:t>处理后（除</w:t>
            </w:r>
            <w:r>
              <w:rPr>
                <w:rFonts w:hint="eastAsia"/>
                <w:bCs/>
                <w:color w:val="auto"/>
                <w:sz w:val="24"/>
              </w:rPr>
              <w:t>氮</w:t>
            </w:r>
            <w:r>
              <w:rPr>
                <w:bCs/>
                <w:color w:val="auto"/>
                <w:sz w:val="24"/>
              </w:rPr>
              <w:t>效率</w:t>
            </w:r>
            <w:r>
              <w:rPr>
                <w:rFonts w:hint="eastAsia"/>
                <w:bCs/>
                <w:color w:val="auto"/>
                <w:sz w:val="24"/>
              </w:rPr>
              <w:t>30</w:t>
            </w:r>
            <w:r>
              <w:rPr>
                <w:bCs/>
                <w:color w:val="auto"/>
                <w:sz w:val="24"/>
              </w:rPr>
              <w:t>%），由1根</w:t>
            </w:r>
            <w:r>
              <w:rPr>
                <w:rFonts w:hint="eastAsia"/>
                <w:bCs/>
                <w:color w:val="auto"/>
                <w:sz w:val="24"/>
              </w:rPr>
              <w:t>12</w:t>
            </w:r>
            <w:r>
              <w:rPr>
                <w:bCs/>
                <w:color w:val="auto"/>
                <w:sz w:val="24"/>
              </w:rPr>
              <w:t>m高</w:t>
            </w:r>
            <w:r>
              <w:rPr>
                <w:color w:val="auto"/>
                <w:sz w:val="24"/>
              </w:rPr>
              <w:t>导热油炉烟囱</w:t>
            </w:r>
            <w:r>
              <w:rPr>
                <w:rFonts w:hint="eastAsia"/>
                <w:color w:val="auto"/>
                <w:sz w:val="24"/>
              </w:rPr>
              <w:t>（DA002）</w:t>
            </w:r>
            <w:r>
              <w:rPr>
                <w:bCs/>
                <w:color w:val="auto"/>
                <w:sz w:val="24"/>
              </w:rPr>
              <w:t>排放</w:t>
            </w:r>
            <w:r>
              <w:rPr>
                <w:rFonts w:hAnsi="宋体"/>
                <w:color w:val="auto"/>
                <w:sz w:val="24"/>
              </w:rPr>
              <w:t>。</w:t>
            </w:r>
          </w:p>
          <w:p w14:paraId="5C7C0849">
            <w:pPr>
              <w:spacing w:line="360" w:lineRule="auto"/>
              <w:ind w:firstLine="480" w:firstLineChars="200"/>
              <w:rPr>
                <w:rFonts w:hAnsi="宋体"/>
                <w:color w:val="auto"/>
                <w:sz w:val="24"/>
              </w:rPr>
            </w:pPr>
            <w:r>
              <w:rPr>
                <w:rFonts w:hint="eastAsia" w:ascii="宋体" w:hAnsi="宋体" w:cs="宋体"/>
                <w:color w:val="auto"/>
                <w:sz w:val="24"/>
              </w:rPr>
              <w:t>根据《排污许可证申请与核发技术规范 锅炉》（</w:t>
            </w:r>
            <w:r>
              <w:rPr>
                <w:color w:val="auto"/>
                <w:sz w:val="24"/>
              </w:rPr>
              <w:t>HJ953-2018</w:t>
            </w:r>
            <w:r>
              <w:rPr>
                <w:rFonts w:hint="eastAsia" w:ascii="宋体" w:hAnsi="宋体" w:cs="宋体"/>
                <w:color w:val="auto"/>
                <w:sz w:val="24"/>
              </w:rPr>
              <w:t>）中表</w:t>
            </w:r>
            <w:r>
              <w:rPr>
                <w:color w:val="auto"/>
                <w:sz w:val="24"/>
              </w:rPr>
              <w:t>5</w:t>
            </w:r>
            <w:r>
              <w:rPr>
                <w:rFonts w:hint="eastAsia" w:ascii="宋体" w:hAnsi="宋体" w:cs="宋体"/>
                <w:color w:val="auto"/>
                <w:sz w:val="24"/>
              </w:rPr>
              <w:t>基准烟气量取值表计算本项目燃天然气锅炉的基准烟气量，则基准烟气量经验公式可定为</w:t>
            </w:r>
            <w:r>
              <w:rPr>
                <w:color w:val="auto"/>
                <w:sz w:val="24"/>
              </w:rPr>
              <w:t>Vgy=0.285Qnet+0.343</w:t>
            </w:r>
            <w:r>
              <w:rPr>
                <w:rFonts w:hint="eastAsia" w:ascii="宋体" w:hAnsi="宋体" w:cs="宋体"/>
                <w:color w:val="auto"/>
                <w:sz w:val="24"/>
              </w:rPr>
              <w:t>，项目天然气的低位发热量为</w:t>
            </w:r>
            <w:r>
              <w:rPr>
                <w:color w:val="auto"/>
                <w:sz w:val="24"/>
              </w:rPr>
              <w:t>3</w:t>
            </w:r>
            <w:r>
              <w:rPr>
                <w:rFonts w:hint="eastAsia"/>
                <w:color w:val="auto"/>
                <w:sz w:val="24"/>
              </w:rPr>
              <w:t>3.69</w:t>
            </w:r>
            <w:r>
              <w:rPr>
                <w:color w:val="auto"/>
                <w:sz w:val="24"/>
              </w:rPr>
              <w:t>MJ/m</w:t>
            </w:r>
            <w:r>
              <w:rPr>
                <w:color w:val="auto"/>
                <w:sz w:val="24"/>
                <w:vertAlign w:val="superscript"/>
              </w:rPr>
              <w:t>3</w:t>
            </w:r>
            <w:r>
              <w:rPr>
                <w:rFonts w:hint="eastAsia" w:ascii="宋体" w:hAnsi="宋体" w:cs="宋体"/>
                <w:color w:val="auto"/>
                <w:sz w:val="24"/>
              </w:rPr>
              <w:t>。则本项目基准烟气量为</w:t>
            </w:r>
            <w:r>
              <w:rPr>
                <w:color w:val="auto"/>
                <w:sz w:val="24"/>
              </w:rPr>
              <w:t>Vgy=</w:t>
            </w:r>
            <w:r>
              <w:rPr>
                <w:rFonts w:hint="eastAsia" w:ascii="宋体" w:hAnsi="宋体" w:cs="宋体"/>
                <w:color w:val="auto"/>
                <w:sz w:val="24"/>
              </w:rPr>
              <w:t>（</w:t>
            </w:r>
            <w:r>
              <w:rPr>
                <w:color w:val="auto"/>
                <w:sz w:val="24"/>
              </w:rPr>
              <w:t>0.285×</w:t>
            </w:r>
            <w:r>
              <w:rPr>
                <w:rFonts w:hint="eastAsia"/>
                <w:color w:val="auto"/>
                <w:sz w:val="24"/>
              </w:rPr>
              <w:t>33.69</w:t>
            </w:r>
            <w:r>
              <w:rPr>
                <w:color w:val="auto"/>
                <w:sz w:val="24"/>
              </w:rPr>
              <w:t>+0.343</w:t>
            </w:r>
            <w:r>
              <w:rPr>
                <w:rFonts w:hint="eastAsia" w:ascii="宋体" w:hAnsi="宋体" w:cs="宋体"/>
                <w:color w:val="auto"/>
                <w:sz w:val="24"/>
              </w:rPr>
              <w:t>）</w:t>
            </w:r>
            <w:r>
              <w:rPr>
                <w:color w:val="auto"/>
                <w:sz w:val="24"/>
              </w:rPr>
              <w:t>Nm</w:t>
            </w:r>
            <w:r>
              <w:rPr>
                <w:color w:val="auto"/>
                <w:sz w:val="24"/>
                <w:vertAlign w:val="superscript"/>
              </w:rPr>
              <w:t>3</w:t>
            </w:r>
            <w:r>
              <w:rPr>
                <w:color w:val="auto"/>
                <w:sz w:val="24"/>
              </w:rPr>
              <w:t>/m</w:t>
            </w:r>
            <w:r>
              <w:rPr>
                <w:color w:val="auto"/>
                <w:sz w:val="24"/>
                <w:vertAlign w:val="superscript"/>
              </w:rPr>
              <w:t>3</w:t>
            </w:r>
            <w:r>
              <w:rPr>
                <w:color w:val="auto"/>
                <w:sz w:val="24"/>
              </w:rPr>
              <w:t>=9.</w:t>
            </w:r>
            <w:r>
              <w:rPr>
                <w:rFonts w:hint="eastAsia"/>
                <w:color w:val="auto"/>
                <w:sz w:val="24"/>
              </w:rPr>
              <w:t>9</w:t>
            </w:r>
            <w:r>
              <w:rPr>
                <w:color w:val="auto"/>
                <w:sz w:val="24"/>
              </w:rPr>
              <w:t>Nm</w:t>
            </w:r>
            <w:r>
              <w:rPr>
                <w:color w:val="auto"/>
                <w:sz w:val="24"/>
                <w:vertAlign w:val="superscript"/>
              </w:rPr>
              <w:t>3</w:t>
            </w:r>
            <w:r>
              <w:rPr>
                <w:color w:val="auto"/>
                <w:sz w:val="24"/>
              </w:rPr>
              <w:t>/m</w:t>
            </w:r>
            <w:r>
              <w:rPr>
                <w:color w:val="auto"/>
                <w:sz w:val="24"/>
                <w:vertAlign w:val="superscript"/>
              </w:rPr>
              <w:t>3</w:t>
            </w:r>
            <w:r>
              <w:rPr>
                <w:rFonts w:hint="eastAsia" w:ascii="宋体" w:hAnsi="宋体" w:cs="宋体"/>
                <w:color w:val="auto"/>
                <w:sz w:val="24"/>
              </w:rPr>
              <w:t>。</w:t>
            </w:r>
          </w:p>
          <w:p w14:paraId="6E3BA33C">
            <w:pPr>
              <w:autoSpaceDE w:val="0"/>
              <w:autoSpaceDN w:val="0"/>
              <w:spacing w:line="360" w:lineRule="auto"/>
              <w:ind w:firstLine="480" w:firstLineChars="200"/>
              <w:rPr>
                <w:color w:val="auto"/>
                <w:sz w:val="24"/>
              </w:rPr>
            </w:pPr>
            <w:r>
              <w:rPr>
                <w:color w:val="auto"/>
                <w:sz w:val="24"/>
              </w:rPr>
              <w:t>本项目</w:t>
            </w:r>
            <w:r>
              <w:rPr>
                <w:rFonts w:hint="eastAsia"/>
                <w:color w:val="auto"/>
                <w:sz w:val="24"/>
              </w:rPr>
              <w:t>导热油炉天然气用</w:t>
            </w:r>
            <w:r>
              <w:rPr>
                <w:color w:val="auto"/>
                <w:sz w:val="24"/>
              </w:rPr>
              <w:t>量为</w:t>
            </w:r>
            <w:r>
              <w:rPr>
                <w:rFonts w:hint="eastAsia"/>
                <w:color w:val="auto"/>
                <w:sz w:val="24"/>
                <w:lang w:val="en-US" w:eastAsia="zh-CN"/>
              </w:rPr>
              <w:t>28.05</w:t>
            </w:r>
            <w:r>
              <w:rPr>
                <w:rFonts w:hint="eastAsia"/>
                <w:color w:val="auto"/>
                <w:sz w:val="24"/>
              </w:rPr>
              <w:t>万</w:t>
            </w:r>
            <w:r>
              <w:rPr>
                <w:color w:val="auto"/>
                <w:sz w:val="24"/>
              </w:rPr>
              <w:t>m³/a</w:t>
            </w:r>
            <w:r>
              <w:rPr>
                <w:rFonts w:hint="eastAsia"/>
                <w:color w:val="auto"/>
                <w:sz w:val="24"/>
              </w:rPr>
              <w:t>，因此本项目导热油炉烟气量为</w:t>
            </w:r>
            <w:r>
              <w:rPr>
                <w:rFonts w:hint="eastAsia"/>
                <w:color w:val="auto"/>
                <w:sz w:val="24"/>
                <w:lang w:val="en-US" w:eastAsia="zh-CN"/>
              </w:rPr>
              <w:t>277.69</w:t>
            </w:r>
            <w:r>
              <w:rPr>
                <w:rFonts w:hint="eastAsia"/>
                <w:color w:val="auto"/>
                <w:sz w:val="24"/>
              </w:rPr>
              <w:t>万</w:t>
            </w:r>
            <w:r>
              <w:rPr>
                <w:color w:val="auto"/>
                <w:sz w:val="24"/>
              </w:rPr>
              <w:t>m</w:t>
            </w:r>
            <w:r>
              <w:rPr>
                <w:color w:val="auto"/>
                <w:sz w:val="24"/>
                <w:vertAlign w:val="superscript"/>
              </w:rPr>
              <w:t>3</w:t>
            </w:r>
            <w:r>
              <w:rPr>
                <w:color w:val="auto"/>
                <w:sz w:val="24"/>
              </w:rPr>
              <w:t>/</w:t>
            </w:r>
            <w:r>
              <w:rPr>
                <w:rFonts w:hint="eastAsia"/>
                <w:color w:val="auto"/>
                <w:sz w:val="24"/>
              </w:rPr>
              <w:t>a。</w:t>
            </w:r>
          </w:p>
          <w:p w14:paraId="3C3494E2">
            <w:pPr>
              <w:spacing w:line="360" w:lineRule="auto"/>
              <w:ind w:firstLine="480" w:firstLineChars="200"/>
              <w:rPr>
                <w:color w:val="auto"/>
                <w:sz w:val="24"/>
              </w:rPr>
            </w:pPr>
            <w:r>
              <w:rPr>
                <w:color w:val="auto"/>
                <w:sz w:val="24"/>
              </w:rPr>
              <w:t>颗粒物</w:t>
            </w:r>
            <w:r>
              <w:rPr>
                <w:rFonts w:hint="eastAsia"/>
                <w:color w:val="auto"/>
                <w:sz w:val="24"/>
              </w:rPr>
              <w:t>参照</w:t>
            </w:r>
            <w:r>
              <w:rPr>
                <w:color w:val="auto"/>
                <w:sz w:val="24"/>
              </w:rPr>
              <w:t>《污染源源强核算技术指南 锅炉》（HJ 991-2018），污染物排放情况计算过程如下：</w:t>
            </w:r>
          </w:p>
          <w:p w14:paraId="2045D20C">
            <w:pPr>
              <w:jc w:val="center"/>
              <w:rPr>
                <w:color w:val="auto"/>
              </w:rPr>
            </w:pPr>
            <w:r>
              <w:rPr>
                <w:color w:val="auto"/>
              </w:rPr>
              <w:drawing>
                <wp:inline distT="0" distB="0" distL="0" distR="0">
                  <wp:extent cx="2434590" cy="605790"/>
                  <wp:effectExtent l="0" t="0" r="3810" b="381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noChangeArrowheads="1"/>
                          </pic:cNvPicPr>
                        </pic:nvPicPr>
                        <pic:blipFill>
                          <a:blip r:embed="rId13"/>
                          <a:srcRect/>
                          <a:stretch>
                            <a:fillRect/>
                          </a:stretch>
                        </pic:blipFill>
                        <pic:spPr>
                          <a:xfrm>
                            <a:off x="0" y="0"/>
                            <a:ext cx="2434590" cy="605790"/>
                          </a:xfrm>
                          <a:prstGeom prst="rect">
                            <a:avLst/>
                          </a:prstGeom>
                          <a:noFill/>
                          <a:ln w="9525">
                            <a:noFill/>
                            <a:miter lim="800000"/>
                            <a:headEnd/>
                            <a:tailEnd/>
                          </a:ln>
                        </pic:spPr>
                      </pic:pic>
                    </a:graphicData>
                  </a:graphic>
                </wp:inline>
              </w:drawing>
            </w:r>
          </w:p>
          <w:p w14:paraId="42270BC4">
            <w:pPr>
              <w:spacing w:line="360" w:lineRule="auto"/>
              <w:ind w:firstLine="480" w:firstLineChars="200"/>
              <w:rPr>
                <w:color w:val="auto"/>
                <w:sz w:val="24"/>
              </w:rPr>
            </w:pPr>
            <w:r>
              <w:rPr>
                <w:color w:val="auto"/>
                <w:sz w:val="24"/>
              </w:rPr>
              <w:t>式中：Ej——核算时段内第j种污染物排放量，t；</w:t>
            </w:r>
          </w:p>
          <w:p w14:paraId="132AE781">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R——核算时段内燃料耗量，t或万m³；取</w:t>
            </w:r>
            <w:r>
              <w:rPr>
                <w:rFonts w:hint="eastAsia"/>
                <w:color w:val="auto"/>
                <w:sz w:val="24"/>
              </w:rPr>
              <w:t>燃气</w:t>
            </w:r>
            <w:r>
              <w:rPr>
                <w:color w:val="auto"/>
                <w:sz w:val="24"/>
              </w:rPr>
              <w:t>量为</w:t>
            </w:r>
            <w:r>
              <w:rPr>
                <w:rFonts w:hint="eastAsia"/>
                <w:color w:val="auto"/>
                <w:sz w:val="24"/>
                <w:lang w:val="en-US" w:eastAsia="zh-CN"/>
              </w:rPr>
              <w:t>28.05</w:t>
            </w:r>
            <w:r>
              <w:rPr>
                <w:color w:val="auto"/>
                <w:kern w:val="0"/>
                <w:sz w:val="24"/>
              </w:rPr>
              <w:t>万m</w:t>
            </w:r>
            <w:r>
              <w:rPr>
                <w:color w:val="auto"/>
                <w:kern w:val="0"/>
                <w:sz w:val="24"/>
                <w:vertAlign w:val="superscript"/>
              </w:rPr>
              <w:t>3</w:t>
            </w:r>
            <w:r>
              <w:rPr>
                <w:color w:val="auto"/>
                <w:kern w:val="0"/>
                <w:sz w:val="24"/>
              </w:rPr>
              <w:t>/a</w:t>
            </w:r>
            <w:r>
              <w:rPr>
                <w:color w:val="auto"/>
                <w:sz w:val="24"/>
              </w:rPr>
              <w:t>；</w:t>
            </w:r>
          </w:p>
          <w:p w14:paraId="4D05690D">
            <w:pPr>
              <w:spacing w:line="360" w:lineRule="auto"/>
              <w:rPr>
                <w:color w:val="auto"/>
                <w:sz w:val="24"/>
              </w:rPr>
            </w:pPr>
            <w:r>
              <w:rPr>
                <w:color w:val="auto"/>
                <w:sz w:val="24"/>
              </w:rPr>
              <w:t xml:space="preserve">      </w:t>
            </w:r>
            <w:r>
              <w:rPr>
                <w:rFonts w:hint="eastAsia"/>
                <w:color w:val="auto"/>
                <w:sz w:val="24"/>
              </w:rPr>
              <w:t xml:space="preserve">    </w:t>
            </w:r>
            <w:r>
              <w:rPr>
                <w:color w:val="auto"/>
                <w:sz w:val="24"/>
              </w:rPr>
              <w:t>βj——产污系数，kg/t或kg</w:t>
            </w:r>
            <w:r>
              <w:rPr>
                <w:rFonts w:hint="eastAsia"/>
                <w:color w:val="auto"/>
                <w:sz w:val="24"/>
              </w:rPr>
              <w:t>/</w:t>
            </w:r>
            <w:r>
              <w:rPr>
                <w:color w:val="auto"/>
                <w:sz w:val="24"/>
              </w:rPr>
              <w:t>万m³，本次参照《建设项目环境保护实用手册》（苏绍梅主编）表2-10中，燃烧10</w:t>
            </w:r>
            <w:r>
              <w:rPr>
                <w:color w:val="auto"/>
                <w:sz w:val="24"/>
                <w:vertAlign w:val="superscript"/>
              </w:rPr>
              <w:t>6</w:t>
            </w:r>
            <w:r>
              <w:rPr>
                <w:color w:val="auto"/>
                <w:sz w:val="24"/>
              </w:rPr>
              <w:t>Nm</w:t>
            </w:r>
            <w:r>
              <w:rPr>
                <w:color w:val="auto"/>
                <w:sz w:val="24"/>
                <w:vertAlign w:val="superscript"/>
              </w:rPr>
              <w:t>3</w:t>
            </w:r>
            <w:r>
              <w:rPr>
                <w:color w:val="auto"/>
                <w:sz w:val="24"/>
              </w:rPr>
              <w:t>天然气产生80~240kg颗粒物，本项目取1</w:t>
            </w:r>
            <w:r>
              <w:rPr>
                <w:rFonts w:hint="eastAsia"/>
                <w:color w:val="auto"/>
                <w:sz w:val="24"/>
              </w:rPr>
              <w:t>.</w:t>
            </w:r>
            <w:r>
              <w:rPr>
                <w:color w:val="auto"/>
                <w:sz w:val="24"/>
              </w:rPr>
              <w:t>6kg/10</w:t>
            </w:r>
            <w:r>
              <w:rPr>
                <w:rFonts w:hint="eastAsia"/>
                <w:color w:val="auto"/>
                <w:sz w:val="24"/>
                <w:vertAlign w:val="superscript"/>
              </w:rPr>
              <w:t>4</w:t>
            </w:r>
            <w:r>
              <w:rPr>
                <w:color w:val="auto"/>
                <w:sz w:val="24"/>
              </w:rPr>
              <w:t>Nm</w:t>
            </w:r>
            <w:r>
              <w:rPr>
                <w:color w:val="auto"/>
                <w:sz w:val="24"/>
                <w:vertAlign w:val="superscript"/>
              </w:rPr>
              <w:t>3</w:t>
            </w:r>
            <w:r>
              <w:rPr>
                <w:color w:val="auto"/>
                <w:sz w:val="24"/>
              </w:rPr>
              <w:t>；</w:t>
            </w:r>
          </w:p>
          <w:p w14:paraId="39037A1F">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ƞ——污染物的脱除效率。</w:t>
            </w:r>
          </w:p>
          <w:p w14:paraId="3BF4AE17">
            <w:pPr>
              <w:spacing w:line="360" w:lineRule="auto"/>
              <w:ind w:firstLine="480" w:firstLineChars="200"/>
              <w:rPr>
                <w:color w:val="auto"/>
                <w:sz w:val="24"/>
              </w:rPr>
            </w:pPr>
            <w:r>
              <w:rPr>
                <w:color w:val="auto"/>
                <w:sz w:val="24"/>
              </w:rPr>
              <w:t>二氧化硫根据《污染源源强核算技术指南 锅炉》（HJ991-2018） ，燃气锅炉污染物二氧化硫排放量采用物料衡算法核算，核算按下列公式进行计算。</w:t>
            </w:r>
          </w:p>
          <w:p w14:paraId="34C9FD44">
            <w:pPr>
              <w:jc w:val="center"/>
              <w:rPr>
                <w:color w:val="auto"/>
              </w:rPr>
            </w:pPr>
            <w:r>
              <w:rPr>
                <w:color w:val="auto"/>
              </w:rPr>
              <w:drawing>
                <wp:inline distT="0" distB="0" distL="0" distR="0">
                  <wp:extent cx="3788410" cy="593725"/>
                  <wp:effectExtent l="0" t="0" r="2540" b="15875"/>
                  <wp:docPr id="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pic:cNvPicPr>
                            <a:picLocks noChangeAspect="1" noChangeArrowheads="1"/>
                          </pic:cNvPicPr>
                        </pic:nvPicPr>
                        <pic:blipFill>
                          <a:blip r:embed="rId14"/>
                          <a:srcRect/>
                          <a:stretch>
                            <a:fillRect/>
                          </a:stretch>
                        </pic:blipFill>
                        <pic:spPr>
                          <a:xfrm>
                            <a:off x="0" y="0"/>
                            <a:ext cx="3788410" cy="593725"/>
                          </a:xfrm>
                          <a:prstGeom prst="rect">
                            <a:avLst/>
                          </a:prstGeom>
                          <a:noFill/>
                          <a:ln w="9525">
                            <a:noFill/>
                            <a:miter lim="800000"/>
                            <a:headEnd/>
                            <a:tailEnd/>
                          </a:ln>
                        </pic:spPr>
                      </pic:pic>
                    </a:graphicData>
                  </a:graphic>
                </wp:inline>
              </w:drawing>
            </w:r>
          </w:p>
          <w:p w14:paraId="41AF7B01">
            <w:pPr>
              <w:spacing w:line="360" w:lineRule="auto"/>
              <w:ind w:firstLine="480" w:firstLineChars="200"/>
              <w:rPr>
                <w:color w:val="auto"/>
                <w:sz w:val="24"/>
              </w:rPr>
            </w:pPr>
            <w:r>
              <w:rPr>
                <w:color w:val="auto"/>
                <w:sz w:val="24"/>
              </w:rPr>
              <w:t>式中：</w:t>
            </w:r>
          </w:p>
          <w:p w14:paraId="3C526B14">
            <w:pPr>
              <w:spacing w:line="360" w:lineRule="auto"/>
              <w:ind w:firstLine="480" w:firstLineChars="200"/>
              <w:rPr>
                <w:color w:val="auto"/>
                <w:sz w:val="24"/>
              </w:rPr>
            </w:pPr>
            <w:r>
              <w:rPr>
                <w:rStyle w:val="76"/>
                <w:color w:val="auto"/>
              </w:rPr>
              <w:t>E</w:t>
            </w:r>
            <w:r>
              <w:rPr>
                <w:rStyle w:val="76"/>
                <w:color w:val="auto"/>
                <w:vertAlign w:val="subscript"/>
              </w:rPr>
              <w:t>SO</w:t>
            </w:r>
            <w:r>
              <w:rPr>
                <w:color w:val="auto"/>
                <w:sz w:val="24"/>
                <w:vertAlign w:val="subscript"/>
              </w:rPr>
              <w:t xml:space="preserve">2 </w:t>
            </w:r>
            <w:r>
              <w:rPr>
                <w:color w:val="auto"/>
                <w:sz w:val="24"/>
              </w:rPr>
              <w:t>--核算时段内二氧化硫排放量，t；</w:t>
            </w:r>
          </w:p>
          <w:p w14:paraId="08683F24">
            <w:pPr>
              <w:spacing w:line="360" w:lineRule="auto"/>
              <w:ind w:firstLine="480" w:firstLineChars="200"/>
              <w:rPr>
                <w:color w:val="auto"/>
                <w:sz w:val="24"/>
              </w:rPr>
            </w:pPr>
            <w:r>
              <w:rPr>
                <w:color w:val="auto"/>
                <w:sz w:val="24"/>
              </w:rPr>
              <w:t>R--核算时段内锅炉燃料耗量，</w:t>
            </w:r>
            <w:r>
              <w:rPr>
                <w:rFonts w:hint="eastAsia"/>
                <w:color w:val="auto"/>
                <w:sz w:val="24"/>
                <w:lang w:val="en-US" w:eastAsia="zh-CN"/>
              </w:rPr>
              <w:t>28.05</w:t>
            </w:r>
            <w:r>
              <w:rPr>
                <w:color w:val="auto"/>
                <w:sz w:val="24"/>
              </w:rPr>
              <w:t>万m</w:t>
            </w:r>
            <w:r>
              <w:rPr>
                <w:color w:val="auto"/>
                <w:sz w:val="24"/>
                <w:vertAlign w:val="superscript"/>
              </w:rPr>
              <w:t>3</w:t>
            </w:r>
            <w:r>
              <w:rPr>
                <w:color w:val="auto"/>
                <w:sz w:val="24"/>
              </w:rPr>
              <w:t>；</w:t>
            </w:r>
          </w:p>
          <w:p w14:paraId="226F0846">
            <w:pPr>
              <w:spacing w:line="360" w:lineRule="auto"/>
              <w:ind w:firstLine="480" w:firstLineChars="200"/>
              <w:rPr>
                <w:color w:val="auto"/>
                <w:sz w:val="24"/>
              </w:rPr>
            </w:pPr>
            <w:r>
              <w:rPr>
                <w:i/>
                <w:iCs/>
                <w:color w:val="auto"/>
                <w:sz w:val="24"/>
              </w:rPr>
              <w:t xml:space="preserve">St </w:t>
            </w:r>
            <w:r>
              <w:rPr>
                <w:color w:val="auto"/>
                <w:sz w:val="24"/>
              </w:rPr>
              <w:t>--燃料总硫的质量浓度，mg/m</w:t>
            </w:r>
            <w:r>
              <w:rPr>
                <w:color w:val="auto"/>
                <w:sz w:val="24"/>
                <w:vertAlign w:val="superscript"/>
              </w:rPr>
              <w:t>3</w:t>
            </w:r>
            <w:r>
              <w:rPr>
                <w:color w:val="auto"/>
                <w:sz w:val="24"/>
              </w:rPr>
              <w:t>，根据燃料分析报告中总硫量（以硫计）检测结果为1.23mg/m</w:t>
            </w:r>
            <w:r>
              <w:rPr>
                <w:color w:val="auto"/>
                <w:sz w:val="24"/>
                <w:vertAlign w:val="superscript"/>
              </w:rPr>
              <w:t>3</w:t>
            </w:r>
            <w:r>
              <w:rPr>
                <w:color w:val="auto"/>
                <w:sz w:val="24"/>
              </w:rPr>
              <w:t>，</w:t>
            </w:r>
          </w:p>
          <w:p w14:paraId="36F14723">
            <w:pPr>
              <w:spacing w:line="360" w:lineRule="auto"/>
              <w:ind w:firstLine="480" w:firstLineChars="200"/>
              <w:rPr>
                <w:rStyle w:val="161"/>
                <w:rFonts w:hint="default"/>
                <w:color w:val="auto"/>
              </w:rPr>
            </w:pPr>
            <w:r>
              <w:rPr>
                <w:color w:val="auto"/>
                <w:sz w:val="24"/>
              </w:rPr>
              <w:t>η</w:t>
            </w:r>
            <w:r>
              <w:rPr>
                <w:i/>
                <w:iCs/>
                <w:color w:val="auto"/>
                <w:sz w:val="24"/>
                <w:vertAlign w:val="subscript"/>
              </w:rPr>
              <w:t>S</w:t>
            </w:r>
            <w:r>
              <w:rPr>
                <w:color w:val="auto"/>
                <w:sz w:val="24"/>
              </w:rPr>
              <w:t xml:space="preserve"> --</w:t>
            </w:r>
            <w:r>
              <w:rPr>
                <w:rStyle w:val="161"/>
                <w:rFonts w:hint="default"/>
                <w:color w:val="auto"/>
              </w:rPr>
              <w:t>脱硫效率，</w:t>
            </w:r>
            <w:r>
              <w:rPr>
                <w:color w:val="auto"/>
                <w:sz w:val="24"/>
              </w:rPr>
              <w:t>%</w:t>
            </w:r>
            <w:r>
              <w:rPr>
                <w:rStyle w:val="161"/>
                <w:rFonts w:hint="default"/>
                <w:color w:val="auto"/>
              </w:rPr>
              <w:t>，本次取</w:t>
            </w:r>
            <w:r>
              <w:rPr>
                <w:color w:val="auto"/>
                <w:sz w:val="24"/>
              </w:rPr>
              <w:t>0</w:t>
            </w:r>
            <w:r>
              <w:rPr>
                <w:rStyle w:val="161"/>
                <w:rFonts w:hint="default"/>
                <w:color w:val="auto"/>
              </w:rPr>
              <w:t>；</w:t>
            </w:r>
          </w:p>
          <w:p w14:paraId="12BDD80E">
            <w:pPr>
              <w:numPr>
                <w:ilvl w:val="0"/>
                <w:numId w:val="1"/>
              </w:numPr>
              <w:spacing w:line="360" w:lineRule="auto"/>
              <w:ind w:firstLine="480" w:firstLineChars="200"/>
              <w:rPr>
                <w:color w:val="auto"/>
                <w:sz w:val="24"/>
              </w:rPr>
            </w:pPr>
            <w:r>
              <w:rPr>
                <w:color w:val="auto"/>
                <w:sz w:val="24"/>
              </w:rPr>
              <w:t>-</w:t>
            </w:r>
            <w:r>
              <w:rPr>
                <w:rStyle w:val="161"/>
                <w:rFonts w:hint="default"/>
                <w:color w:val="auto"/>
              </w:rPr>
              <w:t>燃料中的硫燃烧后氧化成二氧化硫的份额，量纲一的量，本次取</w:t>
            </w:r>
            <w:r>
              <w:rPr>
                <w:color w:val="auto"/>
                <w:sz w:val="24"/>
              </w:rPr>
              <w:t>1</w:t>
            </w:r>
            <w:r>
              <w:rPr>
                <w:rStyle w:val="161"/>
                <w:rFonts w:hint="default"/>
                <w:color w:val="auto"/>
              </w:rPr>
              <w:t>。</w:t>
            </w:r>
            <w:r>
              <w:rPr>
                <w:color w:val="auto"/>
                <w:sz w:val="24"/>
              </w:rPr>
              <w:t xml:space="preserve"> </w:t>
            </w:r>
          </w:p>
          <w:p w14:paraId="3E69A4A6">
            <w:pPr>
              <w:spacing w:line="360" w:lineRule="auto"/>
              <w:rPr>
                <w:color w:val="auto"/>
                <w:sz w:val="24"/>
              </w:rPr>
            </w:pPr>
            <w:r>
              <w:rPr>
                <w:rFonts w:hint="eastAsia"/>
                <w:color w:val="auto"/>
                <w:sz w:val="24"/>
              </w:rPr>
              <w:t>氮氧化物</w:t>
            </w:r>
            <w:r>
              <w:rPr>
                <w:color w:val="auto"/>
                <w:sz w:val="24"/>
              </w:rPr>
              <w:t>根据《污染源源强核算技术指南 锅炉》（HJ991-2018），燃气锅炉污染物氮氧化物排放量采用物料衡算法进行核算，公式如下</w:t>
            </w:r>
            <w:r>
              <w:rPr>
                <w:rFonts w:hint="eastAsia"/>
                <w:color w:val="auto"/>
                <w:sz w:val="24"/>
              </w:rPr>
              <w:t>：</w:t>
            </w:r>
          </w:p>
          <w:p w14:paraId="7D3E1BD1">
            <w:pPr>
              <w:jc w:val="center"/>
              <w:rPr>
                <w:color w:val="auto"/>
              </w:rPr>
            </w:pPr>
            <w:r>
              <w:rPr>
                <w:color w:val="auto"/>
              </w:rPr>
              <w:drawing>
                <wp:inline distT="0" distB="0" distL="0" distR="0">
                  <wp:extent cx="3705225" cy="724535"/>
                  <wp:effectExtent l="0" t="0" r="9525" b="18415"/>
                  <wp:docPr id="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1" noChangeArrowheads="1"/>
                          </pic:cNvPicPr>
                        </pic:nvPicPr>
                        <pic:blipFill>
                          <a:blip r:embed="rId15"/>
                          <a:srcRect/>
                          <a:stretch>
                            <a:fillRect/>
                          </a:stretch>
                        </pic:blipFill>
                        <pic:spPr>
                          <a:xfrm>
                            <a:off x="0" y="0"/>
                            <a:ext cx="3705225" cy="724535"/>
                          </a:xfrm>
                          <a:prstGeom prst="rect">
                            <a:avLst/>
                          </a:prstGeom>
                          <a:noFill/>
                          <a:ln w="9525">
                            <a:noFill/>
                            <a:miter lim="800000"/>
                            <a:headEnd/>
                            <a:tailEnd/>
                          </a:ln>
                        </pic:spPr>
                      </pic:pic>
                    </a:graphicData>
                  </a:graphic>
                </wp:inline>
              </w:drawing>
            </w:r>
          </w:p>
          <w:p w14:paraId="29E4A6E5">
            <w:pPr>
              <w:spacing w:line="360" w:lineRule="auto"/>
              <w:ind w:firstLine="480" w:firstLineChars="200"/>
              <w:rPr>
                <w:color w:val="auto"/>
                <w:sz w:val="24"/>
              </w:rPr>
            </w:pPr>
            <w:r>
              <w:rPr>
                <w:rFonts w:hint="eastAsia" w:ascii="宋体" w:hAnsi="宋体" w:cs="宋体"/>
                <w:color w:val="auto"/>
                <w:sz w:val="24"/>
              </w:rPr>
              <w:t>式</w:t>
            </w:r>
            <w:r>
              <w:rPr>
                <w:color w:val="auto"/>
                <w:sz w:val="24"/>
              </w:rPr>
              <w:t xml:space="preserve">中： </w:t>
            </w:r>
            <w:r>
              <w:rPr>
                <w:i/>
                <w:iCs/>
                <w:color w:val="auto"/>
                <w:sz w:val="24"/>
              </w:rPr>
              <w:t>E</w:t>
            </w:r>
            <w:r>
              <w:rPr>
                <w:i/>
                <w:iCs/>
                <w:color w:val="auto"/>
                <w:sz w:val="24"/>
                <w:vertAlign w:val="subscript"/>
              </w:rPr>
              <w:t>NOX</w:t>
            </w:r>
            <w:r>
              <w:rPr>
                <w:i/>
                <w:iCs/>
                <w:color w:val="auto"/>
                <w:sz w:val="24"/>
              </w:rPr>
              <w:t xml:space="preserve"> </w:t>
            </w:r>
            <w:r>
              <w:rPr>
                <w:rStyle w:val="75"/>
                <w:color w:val="auto"/>
              </w:rPr>
              <w:t>--</w:t>
            </w:r>
            <w:r>
              <w:rPr>
                <w:color w:val="auto"/>
                <w:sz w:val="24"/>
              </w:rPr>
              <w:t xml:space="preserve">核算时段内氮氧化物排放量， </w:t>
            </w:r>
            <w:r>
              <w:rPr>
                <w:rStyle w:val="75"/>
                <w:color w:val="auto"/>
              </w:rPr>
              <w:t>t</w:t>
            </w:r>
            <w:r>
              <w:rPr>
                <w:color w:val="auto"/>
                <w:sz w:val="24"/>
              </w:rPr>
              <w:t>；</w:t>
            </w:r>
          </w:p>
          <w:p w14:paraId="6AE9B044">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w:t>
            </w:r>
            <w:r>
              <w:rPr>
                <w:i/>
                <w:iCs/>
                <w:color w:val="auto"/>
                <w:sz w:val="24"/>
              </w:rPr>
              <w:t>ρ</w:t>
            </w:r>
            <w:r>
              <w:rPr>
                <w:i/>
                <w:iCs/>
                <w:color w:val="auto"/>
                <w:sz w:val="24"/>
                <w:vertAlign w:val="subscript"/>
              </w:rPr>
              <w:t>NOX</w:t>
            </w:r>
            <w:r>
              <w:rPr>
                <w:rStyle w:val="75"/>
                <w:color w:val="auto"/>
              </w:rPr>
              <w:t>--</w:t>
            </w:r>
            <w:r>
              <w:rPr>
                <w:color w:val="auto"/>
                <w:sz w:val="24"/>
              </w:rPr>
              <w:t>锅炉炉膛出口氮氧化物质量浓度，</w:t>
            </w:r>
            <w:r>
              <w:rPr>
                <w:rStyle w:val="75"/>
                <w:color w:val="auto"/>
              </w:rPr>
              <w:t>mg/m</w:t>
            </w:r>
            <w:r>
              <w:rPr>
                <w:rStyle w:val="75"/>
                <w:color w:val="auto"/>
                <w:vertAlign w:val="superscript"/>
              </w:rPr>
              <w:t>3</w:t>
            </w:r>
            <w:r>
              <w:rPr>
                <w:color w:val="auto"/>
                <w:sz w:val="24"/>
              </w:rPr>
              <w:t>，根据《污染源源强核算技术指南 锅炉》（HJ991-2018）表B.4，燃气炉30-300</w:t>
            </w:r>
            <w:r>
              <w:rPr>
                <w:rStyle w:val="75"/>
                <w:color w:val="auto"/>
              </w:rPr>
              <w:t>mg/m</w:t>
            </w:r>
            <w:r>
              <w:rPr>
                <w:rStyle w:val="75"/>
                <w:color w:val="auto"/>
                <w:vertAlign w:val="superscript"/>
              </w:rPr>
              <w:t>3</w:t>
            </w:r>
            <w:r>
              <w:rPr>
                <w:color w:val="auto"/>
                <w:sz w:val="24"/>
              </w:rPr>
              <w:t>，本次取2</w:t>
            </w:r>
            <w:r>
              <w:rPr>
                <w:rFonts w:hint="eastAsia"/>
                <w:color w:val="auto"/>
                <w:sz w:val="24"/>
              </w:rPr>
              <w:t>0</w:t>
            </w:r>
            <w:r>
              <w:rPr>
                <w:color w:val="auto"/>
                <w:sz w:val="24"/>
              </w:rPr>
              <w:t>0</w:t>
            </w:r>
            <w:r>
              <w:rPr>
                <w:rStyle w:val="75"/>
                <w:color w:val="auto"/>
              </w:rPr>
              <w:t>mg/m</w:t>
            </w:r>
            <w:r>
              <w:rPr>
                <w:rStyle w:val="75"/>
                <w:color w:val="auto"/>
                <w:vertAlign w:val="superscript"/>
              </w:rPr>
              <w:t>3</w:t>
            </w:r>
            <w:r>
              <w:rPr>
                <w:color w:val="auto"/>
                <w:sz w:val="24"/>
              </w:rPr>
              <w:t>；</w:t>
            </w:r>
          </w:p>
          <w:p w14:paraId="1458D062">
            <w:pPr>
              <w:spacing w:line="360" w:lineRule="auto"/>
              <w:ind w:firstLine="1200" w:firstLineChars="500"/>
              <w:rPr>
                <w:color w:val="auto"/>
                <w:sz w:val="24"/>
              </w:rPr>
            </w:pPr>
            <w:r>
              <w:rPr>
                <w:color w:val="auto"/>
                <w:sz w:val="24"/>
              </w:rPr>
              <w:t>Q-</w:t>
            </w:r>
            <w:r>
              <w:rPr>
                <w:rStyle w:val="75"/>
                <w:color w:val="auto"/>
              </w:rPr>
              <w:t>-</w:t>
            </w:r>
            <w:r>
              <w:rPr>
                <w:color w:val="auto"/>
                <w:sz w:val="24"/>
              </w:rPr>
              <w:t>核算时段内标态干烟气排放量，</w:t>
            </w:r>
            <w:r>
              <w:rPr>
                <w:rFonts w:hint="eastAsia"/>
                <w:color w:val="auto"/>
                <w:sz w:val="24"/>
                <w:lang w:val="en-US" w:eastAsia="zh-CN"/>
              </w:rPr>
              <w:t>27769</w:t>
            </w:r>
            <w:r>
              <w:rPr>
                <w:rFonts w:hint="eastAsia"/>
                <w:color w:val="auto"/>
                <w:sz w:val="24"/>
              </w:rPr>
              <w:t>00</w:t>
            </w:r>
            <w:r>
              <w:rPr>
                <w:rStyle w:val="75"/>
                <w:color w:val="auto"/>
              </w:rPr>
              <w:t>m</w:t>
            </w:r>
            <w:r>
              <w:rPr>
                <w:rStyle w:val="75"/>
                <w:color w:val="auto"/>
                <w:vertAlign w:val="superscript"/>
              </w:rPr>
              <w:t>3</w:t>
            </w:r>
            <w:r>
              <w:rPr>
                <w:color w:val="auto"/>
                <w:sz w:val="24"/>
              </w:rPr>
              <w:t>；</w:t>
            </w:r>
          </w:p>
          <w:p w14:paraId="2E9778E6">
            <w:pPr>
              <w:spacing w:line="360" w:lineRule="auto"/>
              <w:ind w:firstLine="1200" w:firstLineChars="500"/>
              <w:rPr>
                <w:rFonts w:hint="default" w:eastAsia="宋体"/>
                <w:color w:val="auto"/>
                <w:sz w:val="24"/>
                <w:lang w:val="en-US" w:eastAsia="zh-CN"/>
              </w:rPr>
            </w:pPr>
            <w:r>
              <w:rPr>
                <w:i/>
                <w:iCs/>
                <w:color w:val="auto"/>
                <w:sz w:val="24"/>
              </w:rPr>
              <w:t>η</w:t>
            </w:r>
            <w:r>
              <w:rPr>
                <w:i/>
                <w:iCs/>
                <w:color w:val="auto"/>
                <w:sz w:val="24"/>
                <w:vertAlign w:val="subscript"/>
              </w:rPr>
              <w:t>NOX</w:t>
            </w:r>
            <w:r>
              <w:rPr>
                <w:rStyle w:val="75"/>
                <w:color w:val="auto"/>
              </w:rPr>
              <w:t>--</w:t>
            </w:r>
            <w:r>
              <w:rPr>
                <w:color w:val="auto"/>
                <w:sz w:val="24"/>
              </w:rPr>
              <w:t xml:space="preserve">脱硝效率， </w:t>
            </w:r>
            <w:r>
              <w:rPr>
                <w:rStyle w:val="75"/>
                <w:color w:val="auto"/>
              </w:rPr>
              <w:t>%</w:t>
            </w:r>
            <w:r>
              <w:rPr>
                <w:color w:val="auto"/>
                <w:sz w:val="24"/>
              </w:rPr>
              <w:t>，项目采用低氮燃烧技术锅炉，低氮燃烧技术效率30%</w:t>
            </w:r>
            <w:r>
              <w:rPr>
                <w:rFonts w:hint="eastAsia"/>
                <w:color w:val="auto"/>
                <w:sz w:val="24"/>
                <w:lang w:eastAsia="zh-CN"/>
              </w:rPr>
              <w:t>。</w:t>
            </w:r>
            <w:r>
              <w:rPr>
                <w:rFonts w:hint="eastAsia"/>
                <w:color w:val="auto"/>
                <w:sz w:val="24"/>
                <w:lang w:val="en-US" w:eastAsia="zh-CN"/>
              </w:rPr>
              <w:t>导热油炉污染物排放浓度及排放量见下表。</w:t>
            </w:r>
          </w:p>
          <w:p w14:paraId="42A1CBB7">
            <w:pPr>
              <w:ind w:firstLine="482"/>
              <w:jc w:val="center"/>
              <w:rPr>
                <w:b/>
                <w:color w:val="auto"/>
                <w:sz w:val="24"/>
              </w:rPr>
            </w:pPr>
            <w:r>
              <w:rPr>
                <w:rFonts w:hAnsi="宋体"/>
                <w:b/>
                <w:color w:val="auto"/>
                <w:sz w:val="24"/>
              </w:rPr>
              <w:t>表</w:t>
            </w:r>
            <w:r>
              <w:rPr>
                <w:rFonts w:hint="eastAsia"/>
                <w:b/>
                <w:color w:val="auto"/>
                <w:sz w:val="24"/>
                <w:lang w:val="en-US" w:eastAsia="zh-CN"/>
              </w:rPr>
              <w:t>4</w:t>
            </w:r>
            <w:r>
              <w:rPr>
                <w:rFonts w:hint="eastAsia"/>
                <w:b/>
                <w:color w:val="auto"/>
                <w:sz w:val="24"/>
              </w:rPr>
              <w:t>-2</w:t>
            </w:r>
            <w:r>
              <w:rPr>
                <w:b/>
                <w:color w:val="auto"/>
                <w:sz w:val="24"/>
              </w:rPr>
              <w:t xml:space="preserve"> </w:t>
            </w:r>
            <w:r>
              <w:rPr>
                <w:rFonts w:hAnsi="宋体"/>
                <w:b/>
                <w:color w:val="auto"/>
                <w:sz w:val="24"/>
              </w:rPr>
              <w:t>导热油炉主要大气污染物产生情况一览表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955"/>
              <w:gridCol w:w="1257"/>
              <w:gridCol w:w="1116"/>
              <w:gridCol w:w="976"/>
              <w:gridCol w:w="1002"/>
              <w:gridCol w:w="1003"/>
            </w:tblGrid>
            <w:tr w14:paraId="4189E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2" w:type="pct"/>
                  <w:tcBorders>
                    <w:top w:val="single" w:color="auto" w:sz="12" w:space="0"/>
                    <w:left w:val="nil"/>
                    <w:bottom w:val="single" w:color="auto" w:sz="4" w:space="0"/>
                    <w:right w:val="single" w:color="auto" w:sz="4" w:space="0"/>
                  </w:tcBorders>
                  <w:vAlign w:val="center"/>
                </w:tcPr>
                <w:p w14:paraId="28809895">
                  <w:pPr>
                    <w:jc w:val="center"/>
                    <w:rPr>
                      <w:color w:val="auto"/>
                      <w:szCs w:val="21"/>
                    </w:rPr>
                  </w:pPr>
                  <w:r>
                    <w:rPr>
                      <w:color w:val="auto"/>
                      <w:szCs w:val="21"/>
                    </w:rPr>
                    <w:t>消耗量</w:t>
                  </w:r>
                </w:p>
              </w:tc>
              <w:tc>
                <w:tcPr>
                  <w:tcW w:w="1163" w:type="pct"/>
                  <w:tcBorders>
                    <w:top w:val="single" w:color="auto" w:sz="12" w:space="0"/>
                    <w:left w:val="single" w:color="auto" w:sz="4" w:space="0"/>
                    <w:bottom w:val="single" w:color="auto" w:sz="4" w:space="0"/>
                    <w:right w:val="single" w:color="auto" w:sz="4" w:space="0"/>
                  </w:tcBorders>
                  <w:vAlign w:val="center"/>
                </w:tcPr>
                <w:p w14:paraId="547F3943">
                  <w:pPr>
                    <w:jc w:val="center"/>
                    <w:rPr>
                      <w:color w:val="auto"/>
                      <w:szCs w:val="21"/>
                    </w:rPr>
                  </w:pPr>
                  <w:r>
                    <w:rPr>
                      <w:color w:val="auto"/>
                      <w:szCs w:val="21"/>
                    </w:rPr>
                    <w:t>主要污染物</w:t>
                  </w:r>
                </w:p>
              </w:tc>
              <w:tc>
                <w:tcPr>
                  <w:tcW w:w="747" w:type="pct"/>
                  <w:tcBorders>
                    <w:top w:val="single" w:color="auto" w:sz="12" w:space="0"/>
                    <w:left w:val="single" w:color="auto" w:sz="4" w:space="0"/>
                    <w:bottom w:val="single" w:color="auto" w:sz="4" w:space="0"/>
                    <w:right w:val="single" w:color="auto" w:sz="4" w:space="0"/>
                  </w:tcBorders>
                  <w:vAlign w:val="center"/>
                </w:tcPr>
                <w:p w14:paraId="50FBF44D">
                  <w:pPr>
                    <w:jc w:val="center"/>
                    <w:rPr>
                      <w:color w:val="auto"/>
                      <w:szCs w:val="21"/>
                    </w:rPr>
                  </w:pPr>
                  <w:r>
                    <w:rPr>
                      <w:color w:val="auto"/>
                      <w:szCs w:val="21"/>
                    </w:rPr>
                    <w:t>颗粒物</w:t>
                  </w:r>
                </w:p>
              </w:tc>
              <w:tc>
                <w:tcPr>
                  <w:tcW w:w="664" w:type="pct"/>
                  <w:tcBorders>
                    <w:top w:val="single" w:color="auto" w:sz="12" w:space="0"/>
                    <w:left w:val="single" w:color="auto" w:sz="4" w:space="0"/>
                    <w:bottom w:val="single" w:color="auto" w:sz="4" w:space="0"/>
                    <w:right w:val="single" w:color="auto" w:sz="4" w:space="0"/>
                  </w:tcBorders>
                  <w:vAlign w:val="center"/>
                </w:tcPr>
                <w:p w14:paraId="69DFA479">
                  <w:pPr>
                    <w:jc w:val="center"/>
                    <w:rPr>
                      <w:color w:val="auto"/>
                      <w:szCs w:val="21"/>
                    </w:rPr>
                  </w:pPr>
                  <w:r>
                    <w:rPr>
                      <w:color w:val="auto"/>
                      <w:szCs w:val="21"/>
                    </w:rPr>
                    <w:t>SO</w:t>
                  </w:r>
                  <w:r>
                    <w:rPr>
                      <w:color w:val="auto"/>
                      <w:szCs w:val="21"/>
                      <w:vertAlign w:val="subscript"/>
                    </w:rPr>
                    <w:t>2</w:t>
                  </w:r>
                </w:p>
              </w:tc>
              <w:tc>
                <w:tcPr>
                  <w:tcW w:w="581" w:type="pct"/>
                  <w:tcBorders>
                    <w:top w:val="single" w:color="auto" w:sz="12" w:space="0"/>
                    <w:left w:val="single" w:color="auto" w:sz="4" w:space="0"/>
                    <w:bottom w:val="single" w:color="auto" w:sz="4" w:space="0"/>
                    <w:right w:val="single" w:color="auto" w:sz="4" w:space="0"/>
                  </w:tcBorders>
                  <w:vAlign w:val="center"/>
                </w:tcPr>
                <w:p w14:paraId="0491CD15">
                  <w:pPr>
                    <w:jc w:val="center"/>
                    <w:rPr>
                      <w:color w:val="auto"/>
                      <w:szCs w:val="21"/>
                    </w:rPr>
                  </w:pPr>
                  <w:r>
                    <w:rPr>
                      <w:color w:val="auto"/>
                      <w:szCs w:val="21"/>
                    </w:rPr>
                    <w:t>NO</w:t>
                  </w:r>
                  <w:r>
                    <w:rPr>
                      <w:color w:val="auto"/>
                      <w:szCs w:val="21"/>
                      <w:vertAlign w:val="subscript"/>
                    </w:rPr>
                    <w:t>X</w:t>
                  </w:r>
                </w:p>
              </w:tc>
              <w:tc>
                <w:tcPr>
                  <w:tcW w:w="596" w:type="pct"/>
                  <w:tcBorders>
                    <w:top w:val="single" w:color="auto" w:sz="12" w:space="0"/>
                    <w:left w:val="single" w:color="auto" w:sz="4" w:space="0"/>
                    <w:bottom w:val="single" w:color="auto" w:sz="4" w:space="0"/>
                    <w:right w:val="nil"/>
                  </w:tcBorders>
                  <w:vAlign w:val="center"/>
                </w:tcPr>
                <w:p w14:paraId="2DAF90FC">
                  <w:pPr>
                    <w:jc w:val="center"/>
                    <w:rPr>
                      <w:color w:val="auto"/>
                      <w:szCs w:val="21"/>
                    </w:rPr>
                  </w:pPr>
                  <w:r>
                    <w:rPr>
                      <w:color w:val="auto"/>
                      <w:szCs w:val="21"/>
                    </w:rPr>
                    <w:t>林格曼黑度</w:t>
                  </w:r>
                </w:p>
              </w:tc>
              <w:tc>
                <w:tcPr>
                  <w:tcW w:w="606" w:type="pct"/>
                  <w:tcBorders>
                    <w:top w:val="single" w:color="auto" w:sz="12" w:space="0"/>
                    <w:left w:val="single" w:color="auto" w:sz="4" w:space="0"/>
                    <w:bottom w:val="single" w:color="auto" w:sz="4" w:space="0"/>
                    <w:right w:val="nil"/>
                  </w:tcBorders>
                  <w:vAlign w:val="center"/>
                </w:tcPr>
                <w:p w14:paraId="4D1EA9B2">
                  <w:pPr>
                    <w:jc w:val="center"/>
                    <w:rPr>
                      <w:color w:val="auto"/>
                      <w:szCs w:val="21"/>
                    </w:rPr>
                  </w:pPr>
                  <w:r>
                    <w:rPr>
                      <w:color w:val="auto"/>
                      <w:szCs w:val="21"/>
                    </w:rPr>
                    <w:t>废气量</w:t>
                  </w:r>
                </w:p>
              </w:tc>
            </w:tr>
            <w:tr w14:paraId="03BE5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44" w:type="pct"/>
                  <w:vMerge w:val="restart"/>
                  <w:tcBorders>
                    <w:top w:val="single" w:color="auto" w:sz="4" w:space="0"/>
                    <w:left w:val="nil"/>
                    <w:bottom w:val="single" w:color="auto" w:sz="4" w:space="0"/>
                    <w:right w:val="single" w:color="auto" w:sz="4" w:space="0"/>
                  </w:tcBorders>
                  <w:vAlign w:val="center"/>
                </w:tcPr>
                <w:p w14:paraId="0BEBAAF9">
                  <w:pPr>
                    <w:jc w:val="center"/>
                    <w:rPr>
                      <w:color w:val="auto"/>
                      <w:szCs w:val="21"/>
                    </w:rPr>
                  </w:pPr>
                  <w:r>
                    <w:rPr>
                      <w:rFonts w:hint="eastAsia"/>
                      <w:color w:val="auto"/>
                      <w:szCs w:val="21"/>
                    </w:rPr>
                    <w:t>42.07万m</w:t>
                  </w:r>
                  <w:r>
                    <w:rPr>
                      <w:color w:val="auto"/>
                      <w:szCs w:val="21"/>
                    </w:rPr>
                    <w:t>³</w:t>
                  </w:r>
                </w:p>
              </w:tc>
              <w:tc>
                <w:tcPr>
                  <w:tcW w:w="1165" w:type="pct"/>
                  <w:tcBorders>
                    <w:top w:val="single" w:color="auto" w:sz="4" w:space="0"/>
                    <w:left w:val="single" w:color="auto" w:sz="4" w:space="0"/>
                    <w:bottom w:val="single" w:color="auto" w:sz="4" w:space="0"/>
                    <w:right w:val="single" w:color="auto" w:sz="4" w:space="0"/>
                  </w:tcBorders>
                  <w:vAlign w:val="center"/>
                </w:tcPr>
                <w:p w14:paraId="3CCBD9DF">
                  <w:pPr>
                    <w:jc w:val="center"/>
                    <w:rPr>
                      <w:color w:val="auto"/>
                      <w:szCs w:val="21"/>
                    </w:rPr>
                  </w:pPr>
                  <w:r>
                    <w:rPr>
                      <w:color w:val="auto"/>
                      <w:szCs w:val="21"/>
                    </w:rPr>
                    <w:t>产生量（t）</w:t>
                  </w:r>
                </w:p>
              </w:tc>
              <w:tc>
                <w:tcPr>
                  <w:tcW w:w="749" w:type="pct"/>
                  <w:tcBorders>
                    <w:top w:val="single" w:color="auto" w:sz="4" w:space="0"/>
                    <w:left w:val="single" w:color="auto" w:sz="4" w:space="0"/>
                    <w:bottom w:val="single" w:color="auto" w:sz="4" w:space="0"/>
                    <w:right w:val="single" w:color="auto" w:sz="4" w:space="0"/>
                  </w:tcBorders>
                  <w:vAlign w:val="center"/>
                </w:tcPr>
                <w:p w14:paraId="1C2C44A3">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45</w:t>
                  </w:r>
                </w:p>
              </w:tc>
              <w:tc>
                <w:tcPr>
                  <w:tcW w:w="665" w:type="pct"/>
                  <w:tcBorders>
                    <w:top w:val="single" w:color="auto" w:sz="4" w:space="0"/>
                    <w:left w:val="single" w:color="auto" w:sz="4" w:space="0"/>
                    <w:bottom w:val="single" w:color="auto" w:sz="4" w:space="0"/>
                    <w:right w:val="single" w:color="auto" w:sz="4" w:space="0"/>
                  </w:tcBorders>
                  <w:vAlign w:val="center"/>
                </w:tcPr>
                <w:p w14:paraId="10595D38">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07</w:t>
                  </w:r>
                </w:p>
              </w:tc>
              <w:tc>
                <w:tcPr>
                  <w:tcW w:w="582" w:type="pct"/>
                  <w:tcBorders>
                    <w:top w:val="single" w:color="auto" w:sz="4" w:space="0"/>
                    <w:left w:val="single" w:color="auto" w:sz="4" w:space="0"/>
                    <w:bottom w:val="single" w:color="auto" w:sz="4" w:space="0"/>
                    <w:right w:val="single" w:color="auto" w:sz="4" w:space="0"/>
                  </w:tcBorders>
                  <w:vAlign w:val="center"/>
                </w:tcPr>
                <w:p w14:paraId="2EAFB7D6">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56</w:t>
                  </w:r>
                </w:p>
              </w:tc>
              <w:tc>
                <w:tcPr>
                  <w:tcW w:w="597" w:type="pct"/>
                  <w:vMerge w:val="restart"/>
                  <w:tcBorders>
                    <w:top w:val="single" w:color="auto" w:sz="4" w:space="0"/>
                    <w:left w:val="single" w:color="auto" w:sz="4" w:space="0"/>
                    <w:right w:val="nil"/>
                  </w:tcBorders>
                  <w:vAlign w:val="center"/>
                </w:tcPr>
                <w:p w14:paraId="257D262F">
                  <w:pPr>
                    <w:jc w:val="center"/>
                    <w:rPr>
                      <w:color w:val="auto"/>
                      <w:szCs w:val="21"/>
                    </w:rPr>
                  </w:pPr>
                  <w:r>
                    <w:rPr>
                      <w:rFonts w:hint="eastAsia"/>
                      <w:color w:val="auto"/>
                      <w:szCs w:val="21"/>
                    </w:rPr>
                    <w:t>&lt;1级</w:t>
                  </w:r>
                </w:p>
              </w:tc>
              <w:tc>
                <w:tcPr>
                  <w:tcW w:w="597" w:type="pct"/>
                  <w:vMerge w:val="restart"/>
                  <w:tcBorders>
                    <w:top w:val="single" w:color="auto" w:sz="4" w:space="0"/>
                    <w:left w:val="single" w:color="auto" w:sz="4" w:space="0"/>
                    <w:right w:val="nil"/>
                  </w:tcBorders>
                  <w:vAlign w:val="center"/>
                </w:tcPr>
                <w:p w14:paraId="400B2293">
                  <w:pPr>
                    <w:jc w:val="center"/>
                    <w:rPr>
                      <w:color w:val="auto"/>
                      <w:szCs w:val="21"/>
                    </w:rPr>
                  </w:pPr>
                  <w:r>
                    <w:rPr>
                      <w:rFonts w:hint="eastAsia"/>
                      <w:color w:val="auto"/>
                      <w:szCs w:val="21"/>
                    </w:rPr>
                    <w:t>1543</w:t>
                  </w:r>
                  <w:r>
                    <w:rPr>
                      <w:color w:val="auto"/>
                      <w:szCs w:val="21"/>
                    </w:rPr>
                    <w:t>m</w:t>
                  </w:r>
                  <w:r>
                    <w:rPr>
                      <w:color w:val="auto"/>
                      <w:szCs w:val="21"/>
                      <w:vertAlign w:val="superscript"/>
                    </w:rPr>
                    <w:t>3</w:t>
                  </w:r>
                  <w:r>
                    <w:rPr>
                      <w:color w:val="auto"/>
                      <w:szCs w:val="21"/>
                    </w:rPr>
                    <w:t>/h</w:t>
                  </w:r>
                </w:p>
              </w:tc>
            </w:tr>
            <w:tr w14:paraId="69719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42" w:type="pct"/>
                  <w:vMerge w:val="continue"/>
                  <w:tcBorders>
                    <w:top w:val="single" w:color="auto" w:sz="4" w:space="0"/>
                    <w:left w:val="nil"/>
                    <w:bottom w:val="single" w:color="auto" w:sz="4" w:space="0"/>
                    <w:right w:val="single" w:color="auto" w:sz="4" w:space="0"/>
                  </w:tcBorders>
                  <w:vAlign w:val="center"/>
                </w:tcPr>
                <w:p w14:paraId="4372BBA5">
                  <w:pPr>
                    <w:jc w:val="center"/>
                    <w:rPr>
                      <w:color w:val="auto"/>
                      <w:szCs w:val="21"/>
                    </w:rPr>
                  </w:pPr>
                </w:p>
              </w:tc>
              <w:tc>
                <w:tcPr>
                  <w:tcW w:w="1163" w:type="pct"/>
                  <w:tcBorders>
                    <w:top w:val="single" w:color="auto" w:sz="4" w:space="0"/>
                    <w:left w:val="single" w:color="auto" w:sz="4" w:space="0"/>
                    <w:bottom w:val="single" w:color="auto" w:sz="4" w:space="0"/>
                    <w:right w:val="single" w:color="auto" w:sz="4" w:space="0"/>
                  </w:tcBorders>
                  <w:vAlign w:val="center"/>
                </w:tcPr>
                <w:p w14:paraId="4DD3F7AC">
                  <w:pPr>
                    <w:jc w:val="center"/>
                    <w:rPr>
                      <w:color w:val="auto"/>
                      <w:szCs w:val="21"/>
                    </w:rPr>
                  </w:pPr>
                  <w:r>
                    <w:rPr>
                      <w:color w:val="auto"/>
                      <w:szCs w:val="21"/>
                    </w:rPr>
                    <w:t>产生速率（kg/h）</w:t>
                  </w:r>
                </w:p>
              </w:tc>
              <w:tc>
                <w:tcPr>
                  <w:tcW w:w="747" w:type="pct"/>
                  <w:tcBorders>
                    <w:top w:val="single" w:color="auto" w:sz="4" w:space="0"/>
                    <w:left w:val="single" w:color="auto" w:sz="4" w:space="0"/>
                    <w:bottom w:val="single" w:color="auto" w:sz="4" w:space="0"/>
                    <w:right w:val="single" w:color="auto" w:sz="4" w:space="0"/>
                  </w:tcBorders>
                  <w:vAlign w:val="center"/>
                </w:tcPr>
                <w:p w14:paraId="18E118DC">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19</w:t>
                  </w:r>
                </w:p>
              </w:tc>
              <w:tc>
                <w:tcPr>
                  <w:tcW w:w="664" w:type="pct"/>
                  <w:tcBorders>
                    <w:top w:val="single" w:color="auto" w:sz="4" w:space="0"/>
                    <w:left w:val="single" w:color="auto" w:sz="4" w:space="0"/>
                    <w:bottom w:val="single" w:color="auto" w:sz="4" w:space="0"/>
                    <w:right w:val="single" w:color="auto" w:sz="4" w:space="0"/>
                  </w:tcBorders>
                  <w:vAlign w:val="center"/>
                </w:tcPr>
                <w:p w14:paraId="087581AD">
                  <w:pPr>
                    <w:jc w:val="center"/>
                    <w:rPr>
                      <w:rFonts w:hint="eastAsia" w:eastAsia="宋体"/>
                      <w:color w:val="auto"/>
                      <w:szCs w:val="21"/>
                      <w:lang w:eastAsia="zh-CN"/>
                    </w:rPr>
                  </w:pPr>
                  <w:r>
                    <w:rPr>
                      <w:rFonts w:hint="eastAsia"/>
                      <w:color w:val="auto"/>
                      <w:szCs w:val="21"/>
                    </w:rPr>
                    <w:t>0.000</w:t>
                  </w:r>
                  <w:r>
                    <w:rPr>
                      <w:rFonts w:hint="eastAsia"/>
                      <w:color w:val="auto"/>
                      <w:szCs w:val="21"/>
                      <w:lang w:val="en-US" w:eastAsia="zh-CN"/>
                    </w:rPr>
                    <w:t>3</w:t>
                  </w:r>
                </w:p>
              </w:tc>
              <w:tc>
                <w:tcPr>
                  <w:tcW w:w="581" w:type="pct"/>
                  <w:tcBorders>
                    <w:top w:val="single" w:color="auto" w:sz="4" w:space="0"/>
                    <w:left w:val="single" w:color="auto" w:sz="4" w:space="0"/>
                    <w:bottom w:val="single" w:color="auto" w:sz="4" w:space="0"/>
                    <w:right w:val="single" w:color="auto" w:sz="4" w:space="0"/>
                  </w:tcBorders>
                  <w:vAlign w:val="center"/>
                </w:tcPr>
                <w:p w14:paraId="5692D8BB">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23</w:t>
                  </w:r>
                </w:p>
              </w:tc>
              <w:tc>
                <w:tcPr>
                  <w:tcW w:w="596" w:type="pct"/>
                  <w:vMerge w:val="continue"/>
                  <w:tcBorders>
                    <w:left w:val="single" w:color="auto" w:sz="4" w:space="0"/>
                    <w:right w:val="nil"/>
                  </w:tcBorders>
                  <w:vAlign w:val="center"/>
                </w:tcPr>
                <w:p w14:paraId="42DD7EF4">
                  <w:pPr>
                    <w:ind w:firstLine="420"/>
                    <w:jc w:val="center"/>
                    <w:rPr>
                      <w:color w:val="auto"/>
                      <w:szCs w:val="21"/>
                    </w:rPr>
                  </w:pPr>
                </w:p>
              </w:tc>
              <w:tc>
                <w:tcPr>
                  <w:tcW w:w="606" w:type="pct"/>
                  <w:vMerge w:val="continue"/>
                  <w:tcBorders>
                    <w:left w:val="single" w:color="auto" w:sz="4" w:space="0"/>
                    <w:right w:val="nil"/>
                  </w:tcBorders>
                  <w:vAlign w:val="center"/>
                </w:tcPr>
                <w:p w14:paraId="54E97473">
                  <w:pPr>
                    <w:ind w:firstLine="420"/>
                    <w:jc w:val="center"/>
                    <w:rPr>
                      <w:color w:val="auto"/>
                      <w:szCs w:val="21"/>
                    </w:rPr>
                  </w:pPr>
                </w:p>
              </w:tc>
            </w:tr>
            <w:tr w14:paraId="4291C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2" w:type="pct"/>
                  <w:vMerge w:val="continue"/>
                  <w:tcBorders>
                    <w:top w:val="single" w:color="auto" w:sz="4" w:space="0"/>
                    <w:left w:val="nil"/>
                    <w:bottom w:val="single" w:color="auto" w:sz="4" w:space="0"/>
                    <w:right w:val="single" w:color="auto" w:sz="4" w:space="0"/>
                  </w:tcBorders>
                  <w:vAlign w:val="center"/>
                </w:tcPr>
                <w:p w14:paraId="0C63091C">
                  <w:pPr>
                    <w:jc w:val="center"/>
                    <w:rPr>
                      <w:color w:val="auto"/>
                      <w:szCs w:val="21"/>
                    </w:rPr>
                  </w:pPr>
                </w:p>
              </w:tc>
              <w:tc>
                <w:tcPr>
                  <w:tcW w:w="1163" w:type="pct"/>
                  <w:tcBorders>
                    <w:top w:val="single" w:color="auto" w:sz="4" w:space="0"/>
                    <w:left w:val="single" w:color="auto" w:sz="4" w:space="0"/>
                    <w:bottom w:val="single" w:color="auto" w:sz="4" w:space="0"/>
                    <w:right w:val="single" w:color="auto" w:sz="4" w:space="0"/>
                  </w:tcBorders>
                  <w:vAlign w:val="center"/>
                </w:tcPr>
                <w:p w14:paraId="08C8A36F">
                  <w:pPr>
                    <w:jc w:val="center"/>
                    <w:rPr>
                      <w:color w:val="auto"/>
                      <w:szCs w:val="21"/>
                    </w:rPr>
                  </w:pPr>
                  <w:r>
                    <w:rPr>
                      <w:color w:val="auto"/>
                      <w:szCs w:val="21"/>
                    </w:rPr>
                    <w:t>产生浓度（mg/m</w:t>
                  </w:r>
                  <w:r>
                    <w:rPr>
                      <w:color w:val="auto"/>
                      <w:szCs w:val="21"/>
                      <w:vertAlign w:val="superscript"/>
                    </w:rPr>
                    <w:t>3</w:t>
                  </w:r>
                  <w:r>
                    <w:rPr>
                      <w:color w:val="auto"/>
                      <w:szCs w:val="21"/>
                    </w:rPr>
                    <w:t>）</w:t>
                  </w:r>
                </w:p>
              </w:tc>
              <w:tc>
                <w:tcPr>
                  <w:tcW w:w="747" w:type="pct"/>
                  <w:tcBorders>
                    <w:top w:val="single" w:color="auto" w:sz="4" w:space="0"/>
                    <w:left w:val="single" w:color="auto" w:sz="4" w:space="0"/>
                    <w:bottom w:val="single" w:color="auto" w:sz="4" w:space="0"/>
                    <w:right w:val="single" w:color="auto" w:sz="4" w:space="0"/>
                  </w:tcBorders>
                  <w:vAlign w:val="center"/>
                </w:tcPr>
                <w:p w14:paraId="1BD0D13B">
                  <w:pPr>
                    <w:jc w:val="center"/>
                    <w:rPr>
                      <w:rFonts w:hint="eastAsia" w:eastAsia="宋体"/>
                      <w:color w:val="auto"/>
                      <w:szCs w:val="21"/>
                      <w:lang w:eastAsia="zh-CN"/>
                    </w:rPr>
                  </w:pPr>
                  <w:r>
                    <w:rPr>
                      <w:rFonts w:hint="eastAsia"/>
                      <w:color w:val="auto"/>
                      <w:szCs w:val="21"/>
                    </w:rPr>
                    <w:t>16.</w:t>
                  </w:r>
                  <w:r>
                    <w:rPr>
                      <w:rFonts w:hint="eastAsia"/>
                      <w:color w:val="auto"/>
                      <w:szCs w:val="21"/>
                      <w:lang w:val="en-US" w:eastAsia="zh-CN"/>
                    </w:rPr>
                    <w:t>2</w:t>
                  </w:r>
                </w:p>
              </w:tc>
              <w:tc>
                <w:tcPr>
                  <w:tcW w:w="664" w:type="pct"/>
                  <w:tcBorders>
                    <w:top w:val="single" w:color="auto" w:sz="4" w:space="0"/>
                    <w:left w:val="single" w:color="auto" w:sz="4" w:space="0"/>
                    <w:bottom w:val="single" w:color="auto" w:sz="4" w:space="0"/>
                    <w:right w:val="single" w:color="auto" w:sz="4" w:space="0"/>
                  </w:tcBorders>
                  <w:vAlign w:val="center"/>
                </w:tcPr>
                <w:p w14:paraId="1C13CA58">
                  <w:pPr>
                    <w:jc w:val="center"/>
                    <w:rPr>
                      <w:rFonts w:hint="eastAsia" w:eastAsia="宋体"/>
                      <w:color w:val="auto"/>
                      <w:szCs w:val="21"/>
                      <w:lang w:eastAsia="zh-CN"/>
                    </w:rPr>
                  </w:pPr>
                  <w:r>
                    <w:rPr>
                      <w:rFonts w:hint="eastAsia"/>
                      <w:color w:val="auto"/>
                      <w:szCs w:val="21"/>
                    </w:rPr>
                    <w:t>0.2</w:t>
                  </w:r>
                  <w:r>
                    <w:rPr>
                      <w:rFonts w:hint="eastAsia"/>
                      <w:color w:val="auto"/>
                      <w:szCs w:val="21"/>
                      <w:lang w:val="en-US" w:eastAsia="zh-CN"/>
                    </w:rPr>
                    <w:t>5</w:t>
                  </w:r>
                </w:p>
              </w:tc>
              <w:tc>
                <w:tcPr>
                  <w:tcW w:w="581" w:type="pct"/>
                  <w:tcBorders>
                    <w:top w:val="single" w:color="auto" w:sz="4" w:space="0"/>
                    <w:left w:val="single" w:color="auto" w:sz="4" w:space="0"/>
                    <w:bottom w:val="single" w:color="auto" w:sz="4" w:space="0"/>
                    <w:right w:val="single" w:color="auto" w:sz="4" w:space="0"/>
                  </w:tcBorders>
                  <w:vAlign w:val="center"/>
                </w:tcPr>
                <w:p w14:paraId="02A63A5B">
                  <w:pPr>
                    <w:jc w:val="center"/>
                    <w:rPr>
                      <w:color w:val="auto"/>
                      <w:szCs w:val="21"/>
                    </w:rPr>
                  </w:pPr>
                  <w:r>
                    <w:rPr>
                      <w:rFonts w:hint="eastAsia"/>
                      <w:color w:val="auto"/>
                      <w:szCs w:val="21"/>
                    </w:rPr>
                    <w:t>200</w:t>
                  </w:r>
                </w:p>
              </w:tc>
              <w:tc>
                <w:tcPr>
                  <w:tcW w:w="596" w:type="pct"/>
                  <w:vMerge w:val="continue"/>
                  <w:tcBorders>
                    <w:left w:val="single" w:color="auto" w:sz="4" w:space="0"/>
                    <w:right w:val="nil"/>
                  </w:tcBorders>
                  <w:vAlign w:val="center"/>
                </w:tcPr>
                <w:p w14:paraId="76DE5D7C">
                  <w:pPr>
                    <w:ind w:firstLine="420"/>
                    <w:jc w:val="center"/>
                    <w:rPr>
                      <w:color w:val="auto"/>
                      <w:szCs w:val="21"/>
                    </w:rPr>
                  </w:pPr>
                </w:p>
              </w:tc>
              <w:tc>
                <w:tcPr>
                  <w:tcW w:w="606" w:type="pct"/>
                  <w:vMerge w:val="continue"/>
                  <w:tcBorders>
                    <w:left w:val="single" w:color="auto" w:sz="4" w:space="0"/>
                    <w:right w:val="nil"/>
                  </w:tcBorders>
                  <w:vAlign w:val="center"/>
                </w:tcPr>
                <w:p w14:paraId="6B80325F">
                  <w:pPr>
                    <w:ind w:firstLine="420"/>
                    <w:jc w:val="center"/>
                    <w:rPr>
                      <w:color w:val="auto"/>
                      <w:szCs w:val="21"/>
                    </w:rPr>
                  </w:pPr>
                </w:p>
              </w:tc>
            </w:tr>
            <w:tr w14:paraId="045F4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42" w:type="pct"/>
                  <w:vMerge w:val="continue"/>
                  <w:tcBorders>
                    <w:top w:val="single" w:color="auto" w:sz="4" w:space="0"/>
                    <w:left w:val="nil"/>
                    <w:bottom w:val="single" w:color="auto" w:sz="4" w:space="0"/>
                    <w:right w:val="single" w:color="auto" w:sz="4" w:space="0"/>
                  </w:tcBorders>
                  <w:vAlign w:val="center"/>
                </w:tcPr>
                <w:p w14:paraId="5213B8FE">
                  <w:pPr>
                    <w:jc w:val="center"/>
                    <w:rPr>
                      <w:color w:val="auto"/>
                      <w:szCs w:val="21"/>
                    </w:rPr>
                  </w:pPr>
                </w:p>
              </w:tc>
              <w:tc>
                <w:tcPr>
                  <w:tcW w:w="1163" w:type="pct"/>
                  <w:tcBorders>
                    <w:top w:val="single" w:color="auto" w:sz="4" w:space="0"/>
                    <w:left w:val="single" w:color="auto" w:sz="4" w:space="0"/>
                    <w:bottom w:val="single" w:color="auto" w:sz="4" w:space="0"/>
                    <w:right w:val="single" w:color="auto" w:sz="4" w:space="0"/>
                  </w:tcBorders>
                  <w:vAlign w:val="center"/>
                </w:tcPr>
                <w:p w14:paraId="2C213EAE">
                  <w:pPr>
                    <w:jc w:val="center"/>
                    <w:rPr>
                      <w:color w:val="auto"/>
                      <w:szCs w:val="21"/>
                    </w:rPr>
                  </w:pPr>
                  <w:r>
                    <w:rPr>
                      <w:color w:val="auto"/>
                      <w:szCs w:val="21"/>
                    </w:rPr>
                    <w:t>排放量（t）</w:t>
                  </w:r>
                </w:p>
              </w:tc>
              <w:tc>
                <w:tcPr>
                  <w:tcW w:w="747" w:type="pct"/>
                  <w:tcBorders>
                    <w:top w:val="single" w:color="auto" w:sz="4" w:space="0"/>
                    <w:left w:val="single" w:color="auto" w:sz="4" w:space="0"/>
                    <w:bottom w:val="single" w:color="auto" w:sz="4" w:space="0"/>
                    <w:right w:val="single" w:color="auto" w:sz="4" w:space="0"/>
                  </w:tcBorders>
                  <w:vAlign w:val="center"/>
                </w:tcPr>
                <w:p w14:paraId="1A7BD466">
                  <w:pPr>
                    <w:jc w:val="center"/>
                    <w:rPr>
                      <w:color w:val="auto"/>
                      <w:szCs w:val="21"/>
                    </w:rPr>
                  </w:pPr>
                  <w:r>
                    <w:rPr>
                      <w:rFonts w:hint="eastAsia"/>
                      <w:color w:val="auto"/>
                      <w:szCs w:val="21"/>
                    </w:rPr>
                    <w:t>0.0</w:t>
                  </w:r>
                  <w:r>
                    <w:rPr>
                      <w:rFonts w:hint="eastAsia"/>
                      <w:color w:val="auto"/>
                      <w:szCs w:val="21"/>
                      <w:lang w:val="en-US" w:eastAsia="zh-CN"/>
                    </w:rPr>
                    <w:t>45</w:t>
                  </w:r>
                </w:p>
              </w:tc>
              <w:tc>
                <w:tcPr>
                  <w:tcW w:w="664" w:type="pct"/>
                  <w:tcBorders>
                    <w:top w:val="single" w:color="auto" w:sz="4" w:space="0"/>
                    <w:left w:val="single" w:color="auto" w:sz="4" w:space="0"/>
                    <w:bottom w:val="single" w:color="auto" w:sz="4" w:space="0"/>
                    <w:right w:val="single" w:color="auto" w:sz="4" w:space="0"/>
                  </w:tcBorders>
                  <w:vAlign w:val="center"/>
                </w:tcPr>
                <w:p w14:paraId="707508BD">
                  <w:pPr>
                    <w:jc w:val="center"/>
                    <w:rPr>
                      <w:color w:val="auto"/>
                      <w:szCs w:val="21"/>
                    </w:rPr>
                  </w:pPr>
                  <w:r>
                    <w:rPr>
                      <w:rFonts w:hint="eastAsia"/>
                      <w:color w:val="auto"/>
                      <w:szCs w:val="21"/>
                    </w:rPr>
                    <w:t>0.00</w:t>
                  </w:r>
                  <w:r>
                    <w:rPr>
                      <w:rFonts w:hint="eastAsia"/>
                      <w:color w:val="auto"/>
                      <w:szCs w:val="21"/>
                      <w:lang w:val="en-US" w:eastAsia="zh-CN"/>
                    </w:rPr>
                    <w:t>07</w:t>
                  </w:r>
                </w:p>
              </w:tc>
              <w:tc>
                <w:tcPr>
                  <w:tcW w:w="581" w:type="pct"/>
                  <w:tcBorders>
                    <w:top w:val="single" w:color="auto" w:sz="4" w:space="0"/>
                    <w:left w:val="single" w:color="auto" w:sz="4" w:space="0"/>
                    <w:bottom w:val="single" w:color="auto" w:sz="4" w:space="0"/>
                    <w:right w:val="single" w:color="auto" w:sz="4" w:space="0"/>
                  </w:tcBorders>
                  <w:vAlign w:val="center"/>
                </w:tcPr>
                <w:p w14:paraId="5DBD892E">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39</w:t>
                  </w:r>
                </w:p>
              </w:tc>
              <w:tc>
                <w:tcPr>
                  <w:tcW w:w="596" w:type="pct"/>
                  <w:vMerge w:val="continue"/>
                  <w:tcBorders>
                    <w:left w:val="single" w:color="auto" w:sz="4" w:space="0"/>
                    <w:right w:val="nil"/>
                  </w:tcBorders>
                  <w:vAlign w:val="center"/>
                </w:tcPr>
                <w:p w14:paraId="00B220EF">
                  <w:pPr>
                    <w:ind w:firstLine="420"/>
                    <w:jc w:val="center"/>
                    <w:rPr>
                      <w:color w:val="auto"/>
                      <w:szCs w:val="21"/>
                    </w:rPr>
                  </w:pPr>
                </w:p>
              </w:tc>
              <w:tc>
                <w:tcPr>
                  <w:tcW w:w="606" w:type="pct"/>
                  <w:vMerge w:val="continue"/>
                  <w:tcBorders>
                    <w:left w:val="single" w:color="auto" w:sz="4" w:space="0"/>
                    <w:right w:val="nil"/>
                  </w:tcBorders>
                  <w:vAlign w:val="center"/>
                </w:tcPr>
                <w:p w14:paraId="3FE48602">
                  <w:pPr>
                    <w:ind w:firstLine="420"/>
                    <w:jc w:val="center"/>
                    <w:rPr>
                      <w:color w:val="auto"/>
                      <w:szCs w:val="21"/>
                    </w:rPr>
                  </w:pPr>
                </w:p>
              </w:tc>
            </w:tr>
            <w:tr w14:paraId="2EB72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2" w:type="pct"/>
                  <w:vMerge w:val="continue"/>
                  <w:tcBorders>
                    <w:top w:val="single" w:color="auto" w:sz="4" w:space="0"/>
                    <w:left w:val="nil"/>
                    <w:bottom w:val="single" w:color="auto" w:sz="4" w:space="0"/>
                    <w:right w:val="single" w:color="auto" w:sz="4" w:space="0"/>
                  </w:tcBorders>
                  <w:vAlign w:val="center"/>
                </w:tcPr>
                <w:p w14:paraId="0E365A86">
                  <w:pPr>
                    <w:jc w:val="center"/>
                    <w:rPr>
                      <w:color w:val="auto"/>
                      <w:szCs w:val="21"/>
                    </w:rPr>
                  </w:pPr>
                </w:p>
              </w:tc>
              <w:tc>
                <w:tcPr>
                  <w:tcW w:w="1163" w:type="pct"/>
                  <w:tcBorders>
                    <w:top w:val="single" w:color="auto" w:sz="4" w:space="0"/>
                    <w:left w:val="single" w:color="auto" w:sz="4" w:space="0"/>
                    <w:bottom w:val="single" w:color="auto" w:sz="4" w:space="0"/>
                    <w:right w:val="single" w:color="auto" w:sz="4" w:space="0"/>
                  </w:tcBorders>
                  <w:vAlign w:val="center"/>
                </w:tcPr>
                <w:p w14:paraId="4141CDC0">
                  <w:pPr>
                    <w:jc w:val="center"/>
                    <w:rPr>
                      <w:color w:val="auto"/>
                      <w:szCs w:val="21"/>
                    </w:rPr>
                  </w:pPr>
                  <w:r>
                    <w:rPr>
                      <w:rFonts w:hint="eastAsia"/>
                      <w:color w:val="auto"/>
                      <w:szCs w:val="21"/>
                    </w:rPr>
                    <w:t>排放</w:t>
                  </w:r>
                  <w:r>
                    <w:rPr>
                      <w:color w:val="auto"/>
                      <w:szCs w:val="21"/>
                    </w:rPr>
                    <w:t>速率（kg/h）</w:t>
                  </w:r>
                </w:p>
              </w:tc>
              <w:tc>
                <w:tcPr>
                  <w:tcW w:w="747" w:type="pct"/>
                  <w:tcBorders>
                    <w:top w:val="single" w:color="auto" w:sz="4" w:space="0"/>
                    <w:left w:val="single" w:color="auto" w:sz="4" w:space="0"/>
                    <w:bottom w:val="single" w:color="auto" w:sz="4" w:space="0"/>
                    <w:right w:val="single" w:color="auto" w:sz="4" w:space="0"/>
                  </w:tcBorders>
                  <w:vAlign w:val="center"/>
                </w:tcPr>
                <w:p w14:paraId="3C3C2FA3">
                  <w:pPr>
                    <w:jc w:val="center"/>
                    <w:rPr>
                      <w:color w:val="auto"/>
                      <w:szCs w:val="21"/>
                    </w:rPr>
                  </w:pPr>
                  <w:r>
                    <w:rPr>
                      <w:rFonts w:hint="eastAsia"/>
                      <w:color w:val="auto"/>
                      <w:szCs w:val="21"/>
                    </w:rPr>
                    <w:t>0.0</w:t>
                  </w:r>
                  <w:r>
                    <w:rPr>
                      <w:rFonts w:hint="eastAsia"/>
                      <w:color w:val="auto"/>
                      <w:szCs w:val="21"/>
                      <w:lang w:val="en-US" w:eastAsia="zh-CN"/>
                    </w:rPr>
                    <w:t>19</w:t>
                  </w:r>
                </w:p>
              </w:tc>
              <w:tc>
                <w:tcPr>
                  <w:tcW w:w="664" w:type="pct"/>
                  <w:tcBorders>
                    <w:top w:val="single" w:color="auto" w:sz="4" w:space="0"/>
                    <w:left w:val="single" w:color="auto" w:sz="4" w:space="0"/>
                    <w:bottom w:val="single" w:color="auto" w:sz="4" w:space="0"/>
                    <w:right w:val="single" w:color="auto" w:sz="4" w:space="0"/>
                  </w:tcBorders>
                  <w:vAlign w:val="center"/>
                </w:tcPr>
                <w:p w14:paraId="54BFCC27">
                  <w:pPr>
                    <w:jc w:val="center"/>
                    <w:rPr>
                      <w:color w:val="auto"/>
                      <w:szCs w:val="21"/>
                    </w:rPr>
                  </w:pPr>
                  <w:r>
                    <w:rPr>
                      <w:rFonts w:hint="eastAsia"/>
                      <w:color w:val="auto"/>
                      <w:szCs w:val="21"/>
                    </w:rPr>
                    <w:t>0.000</w:t>
                  </w:r>
                  <w:r>
                    <w:rPr>
                      <w:rFonts w:hint="eastAsia"/>
                      <w:color w:val="auto"/>
                      <w:szCs w:val="21"/>
                      <w:lang w:val="en-US" w:eastAsia="zh-CN"/>
                    </w:rPr>
                    <w:t>3</w:t>
                  </w:r>
                </w:p>
              </w:tc>
              <w:tc>
                <w:tcPr>
                  <w:tcW w:w="581" w:type="pct"/>
                  <w:tcBorders>
                    <w:top w:val="single" w:color="auto" w:sz="4" w:space="0"/>
                    <w:left w:val="single" w:color="auto" w:sz="4" w:space="0"/>
                    <w:bottom w:val="single" w:color="auto" w:sz="4" w:space="0"/>
                    <w:right w:val="single" w:color="auto" w:sz="4" w:space="0"/>
                  </w:tcBorders>
                  <w:vAlign w:val="center"/>
                </w:tcPr>
                <w:p w14:paraId="08A8D091">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16</w:t>
                  </w:r>
                </w:p>
              </w:tc>
              <w:tc>
                <w:tcPr>
                  <w:tcW w:w="596" w:type="pct"/>
                  <w:vMerge w:val="continue"/>
                  <w:tcBorders>
                    <w:left w:val="single" w:color="auto" w:sz="4" w:space="0"/>
                    <w:right w:val="nil"/>
                  </w:tcBorders>
                  <w:vAlign w:val="center"/>
                </w:tcPr>
                <w:p w14:paraId="01760233">
                  <w:pPr>
                    <w:ind w:firstLine="420"/>
                    <w:jc w:val="center"/>
                    <w:rPr>
                      <w:color w:val="auto"/>
                      <w:szCs w:val="21"/>
                    </w:rPr>
                  </w:pPr>
                </w:p>
              </w:tc>
              <w:tc>
                <w:tcPr>
                  <w:tcW w:w="606" w:type="pct"/>
                  <w:vMerge w:val="continue"/>
                  <w:tcBorders>
                    <w:left w:val="single" w:color="auto" w:sz="4" w:space="0"/>
                    <w:right w:val="nil"/>
                  </w:tcBorders>
                  <w:vAlign w:val="center"/>
                </w:tcPr>
                <w:p w14:paraId="03EFDF4B">
                  <w:pPr>
                    <w:ind w:firstLine="420"/>
                    <w:jc w:val="center"/>
                    <w:rPr>
                      <w:color w:val="auto"/>
                      <w:szCs w:val="21"/>
                    </w:rPr>
                  </w:pPr>
                </w:p>
              </w:tc>
            </w:tr>
            <w:tr w14:paraId="31A5B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2" w:type="pct"/>
                  <w:vMerge w:val="continue"/>
                  <w:tcBorders>
                    <w:top w:val="single" w:color="auto" w:sz="4" w:space="0"/>
                    <w:left w:val="nil"/>
                    <w:bottom w:val="single" w:color="auto" w:sz="4" w:space="0"/>
                    <w:right w:val="single" w:color="auto" w:sz="4" w:space="0"/>
                  </w:tcBorders>
                  <w:vAlign w:val="center"/>
                </w:tcPr>
                <w:p w14:paraId="2A5C669D">
                  <w:pPr>
                    <w:jc w:val="center"/>
                    <w:rPr>
                      <w:color w:val="auto"/>
                      <w:szCs w:val="21"/>
                    </w:rPr>
                  </w:pPr>
                </w:p>
              </w:tc>
              <w:tc>
                <w:tcPr>
                  <w:tcW w:w="1163" w:type="pct"/>
                  <w:tcBorders>
                    <w:top w:val="single" w:color="auto" w:sz="4" w:space="0"/>
                    <w:left w:val="single" w:color="auto" w:sz="4" w:space="0"/>
                    <w:bottom w:val="single" w:color="auto" w:sz="4" w:space="0"/>
                    <w:right w:val="single" w:color="auto" w:sz="4" w:space="0"/>
                  </w:tcBorders>
                  <w:vAlign w:val="center"/>
                </w:tcPr>
                <w:p w14:paraId="71AA9826">
                  <w:pPr>
                    <w:jc w:val="center"/>
                    <w:rPr>
                      <w:color w:val="auto"/>
                      <w:szCs w:val="21"/>
                    </w:rPr>
                  </w:pPr>
                  <w:r>
                    <w:rPr>
                      <w:color w:val="auto"/>
                      <w:szCs w:val="21"/>
                    </w:rPr>
                    <w:t>排放浓度（mg/m</w:t>
                  </w:r>
                  <w:r>
                    <w:rPr>
                      <w:color w:val="auto"/>
                      <w:szCs w:val="21"/>
                      <w:vertAlign w:val="superscript"/>
                    </w:rPr>
                    <w:t>3</w:t>
                  </w:r>
                  <w:r>
                    <w:rPr>
                      <w:color w:val="auto"/>
                      <w:szCs w:val="21"/>
                    </w:rPr>
                    <w:t>）</w:t>
                  </w:r>
                </w:p>
              </w:tc>
              <w:tc>
                <w:tcPr>
                  <w:tcW w:w="747" w:type="pct"/>
                  <w:tcBorders>
                    <w:top w:val="single" w:color="auto" w:sz="4" w:space="0"/>
                    <w:left w:val="single" w:color="auto" w:sz="4" w:space="0"/>
                    <w:bottom w:val="single" w:color="auto" w:sz="4" w:space="0"/>
                    <w:right w:val="single" w:color="auto" w:sz="4" w:space="0"/>
                  </w:tcBorders>
                  <w:vAlign w:val="center"/>
                </w:tcPr>
                <w:p w14:paraId="1AB58627">
                  <w:pPr>
                    <w:jc w:val="center"/>
                    <w:rPr>
                      <w:color w:val="auto"/>
                      <w:szCs w:val="21"/>
                    </w:rPr>
                  </w:pPr>
                  <w:r>
                    <w:rPr>
                      <w:rFonts w:hint="eastAsia"/>
                      <w:color w:val="auto"/>
                      <w:szCs w:val="21"/>
                    </w:rPr>
                    <w:t>16.</w:t>
                  </w:r>
                  <w:r>
                    <w:rPr>
                      <w:rFonts w:hint="eastAsia"/>
                      <w:color w:val="auto"/>
                      <w:szCs w:val="21"/>
                      <w:lang w:val="en-US" w:eastAsia="zh-CN"/>
                    </w:rPr>
                    <w:t>2</w:t>
                  </w:r>
                </w:p>
              </w:tc>
              <w:tc>
                <w:tcPr>
                  <w:tcW w:w="664" w:type="pct"/>
                  <w:tcBorders>
                    <w:top w:val="single" w:color="auto" w:sz="4" w:space="0"/>
                    <w:left w:val="single" w:color="auto" w:sz="4" w:space="0"/>
                    <w:bottom w:val="single" w:color="auto" w:sz="4" w:space="0"/>
                    <w:right w:val="single" w:color="auto" w:sz="4" w:space="0"/>
                  </w:tcBorders>
                  <w:vAlign w:val="center"/>
                </w:tcPr>
                <w:p w14:paraId="76C635E4">
                  <w:pPr>
                    <w:jc w:val="center"/>
                    <w:rPr>
                      <w:color w:val="auto"/>
                      <w:szCs w:val="21"/>
                    </w:rPr>
                  </w:pPr>
                  <w:r>
                    <w:rPr>
                      <w:rFonts w:hint="eastAsia"/>
                      <w:color w:val="auto"/>
                      <w:szCs w:val="21"/>
                    </w:rPr>
                    <w:t>0.2</w:t>
                  </w:r>
                  <w:r>
                    <w:rPr>
                      <w:rFonts w:hint="eastAsia"/>
                      <w:color w:val="auto"/>
                      <w:szCs w:val="21"/>
                      <w:lang w:val="en-US" w:eastAsia="zh-CN"/>
                    </w:rPr>
                    <w:t>5</w:t>
                  </w:r>
                </w:p>
              </w:tc>
              <w:tc>
                <w:tcPr>
                  <w:tcW w:w="581" w:type="pct"/>
                  <w:tcBorders>
                    <w:top w:val="single" w:color="auto" w:sz="4" w:space="0"/>
                    <w:left w:val="single" w:color="auto" w:sz="4" w:space="0"/>
                    <w:bottom w:val="single" w:color="auto" w:sz="4" w:space="0"/>
                    <w:right w:val="single" w:color="auto" w:sz="4" w:space="0"/>
                  </w:tcBorders>
                  <w:vAlign w:val="center"/>
                </w:tcPr>
                <w:p w14:paraId="30125FBC">
                  <w:pPr>
                    <w:jc w:val="center"/>
                    <w:rPr>
                      <w:color w:val="auto"/>
                      <w:szCs w:val="21"/>
                    </w:rPr>
                  </w:pPr>
                  <w:r>
                    <w:rPr>
                      <w:rFonts w:hint="eastAsia"/>
                      <w:color w:val="auto"/>
                      <w:szCs w:val="21"/>
                    </w:rPr>
                    <w:t>139.3</w:t>
                  </w:r>
                </w:p>
              </w:tc>
              <w:tc>
                <w:tcPr>
                  <w:tcW w:w="596" w:type="pct"/>
                  <w:vMerge w:val="continue"/>
                  <w:tcBorders>
                    <w:left w:val="single" w:color="auto" w:sz="4" w:space="0"/>
                    <w:right w:val="nil"/>
                  </w:tcBorders>
                  <w:vAlign w:val="center"/>
                </w:tcPr>
                <w:p w14:paraId="77D84D67">
                  <w:pPr>
                    <w:ind w:firstLine="420"/>
                    <w:jc w:val="center"/>
                    <w:rPr>
                      <w:color w:val="auto"/>
                      <w:szCs w:val="21"/>
                    </w:rPr>
                  </w:pPr>
                </w:p>
              </w:tc>
              <w:tc>
                <w:tcPr>
                  <w:tcW w:w="606" w:type="pct"/>
                  <w:vMerge w:val="continue"/>
                  <w:tcBorders>
                    <w:left w:val="single" w:color="auto" w:sz="4" w:space="0"/>
                    <w:right w:val="nil"/>
                  </w:tcBorders>
                  <w:vAlign w:val="center"/>
                </w:tcPr>
                <w:p w14:paraId="51E7DCFE">
                  <w:pPr>
                    <w:ind w:firstLine="420"/>
                    <w:jc w:val="center"/>
                    <w:rPr>
                      <w:color w:val="auto"/>
                      <w:szCs w:val="21"/>
                    </w:rPr>
                  </w:pPr>
                </w:p>
              </w:tc>
            </w:tr>
            <w:tr w14:paraId="0A0C3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6" w:type="pct"/>
                  <w:gridSpan w:val="2"/>
                  <w:tcBorders>
                    <w:top w:val="single" w:color="auto" w:sz="4" w:space="0"/>
                    <w:left w:val="nil"/>
                    <w:bottom w:val="single" w:color="auto" w:sz="12" w:space="0"/>
                    <w:right w:val="single" w:color="auto" w:sz="4" w:space="0"/>
                  </w:tcBorders>
                  <w:vAlign w:val="center"/>
                </w:tcPr>
                <w:p w14:paraId="6B1E2341">
                  <w:pPr>
                    <w:jc w:val="center"/>
                    <w:rPr>
                      <w:color w:val="auto"/>
                      <w:szCs w:val="21"/>
                    </w:rPr>
                  </w:pPr>
                  <w:r>
                    <w:rPr>
                      <w:color w:val="auto"/>
                      <w:szCs w:val="21"/>
                    </w:rPr>
                    <w:t>排放标准（mg/m</w:t>
                  </w:r>
                  <w:r>
                    <w:rPr>
                      <w:color w:val="auto"/>
                      <w:szCs w:val="21"/>
                      <w:vertAlign w:val="superscript"/>
                    </w:rPr>
                    <w:t>3</w:t>
                  </w:r>
                  <w:r>
                    <w:rPr>
                      <w:color w:val="auto"/>
                      <w:szCs w:val="21"/>
                    </w:rPr>
                    <w:t>）</w:t>
                  </w:r>
                </w:p>
              </w:tc>
              <w:tc>
                <w:tcPr>
                  <w:tcW w:w="747" w:type="pct"/>
                  <w:tcBorders>
                    <w:top w:val="single" w:color="auto" w:sz="4" w:space="0"/>
                    <w:left w:val="single" w:color="auto" w:sz="4" w:space="0"/>
                    <w:bottom w:val="single" w:color="auto" w:sz="12" w:space="0"/>
                    <w:right w:val="single" w:color="auto" w:sz="4" w:space="0"/>
                  </w:tcBorders>
                  <w:vAlign w:val="center"/>
                </w:tcPr>
                <w:p w14:paraId="58DA0702">
                  <w:pPr>
                    <w:jc w:val="center"/>
                    <w:rPr>
                      <w:color w:val="auto"/>
                      <w:szCs w:val="21"/>
                    </w:rPr>
                  </w:pPr>
                  <w:r>
                    <w:rPr>
                      <w:rFonts w:hint="eastAsia"/>
                      <w:color w:val="auto"/>
                      <w:szCs w:val="21"/>
                    </w:rPr>
                    <w:t>20</w:t>
                  </w:r>
                </w:p>
              </w:tc>
              <w:tc>
                <w:tcPr>
                  <w:tcW w:w="664" w:type="pct"/>
                  <w:tcBorders>
                    <w:top w:val="single" w:color="auto" w:sz="4" w:space="0"/>
                    <w:left w:val="single" w:color="auto" w:sz="4" w:space="0"/>
                    <w:bottom w:val="single" w:color="auto" w:sz="12" w:space="0"/>
                    <w:right w:val="single" w:color="auto" w:sz="4" w:space="0"/>
                  </w:tcBorders>
                  <w:vAlign w:val="center"/>
                </w:tcPr>
                <w:p w14:paraId="58E08D1D">
                  <w:pPr>
                    <w:jc w:val="center"/>
                    <w:rPr>
                      <w:color w:val="auto"/>
                      <w:szCs w:val="21"/>
                    </w:rPr>
                  </w:pPr>
                  <w:r>
                    <w:rPr>
                      <w:rFonts w:hint="eastAsia"/>
                      <w:color w:val="auto"/>
                      <w:szCs w:val="21"/>
                    </w:rPr>
                    <w:t>50</w:t>
                  </w:r>
                </w:p>
              </w:tc>
              <w:tc>
                <w:tcPr>
                  <w:tcW w:w="581" w:type="pct"/>
                  <w:tcBorders>
                    <w:top w:val="single" w:color="auto" w:sz="4" w:space="0"/>
                    <w:left w:val="single" w:color="auto" w:sz="4" w:space="0"/>
                    <w:bottom w:val="single" w:color="auto" w:sz="12" w:space="0"/>
                    <w:right w:val="single" w:color="auto" w:sz="4" w:space="0"/>
                  </w:tcBorders>
                  <w:vAlign w:val="center"/>
                </w:tcPr>
                <w:p w14:paraId="774619ED">
                  <w:pPr>
                    <w:jc w:val="center"/>
                    <w:rPr>
                      <w:color w:val="auto"/>
                      <w:szCs w:val="21"/>
                    </w:rPr>
                  </w:pPr>
                  <w:r>
                    <w:rPr>
                      <w:rFonts w:hint="eastAsia"/>
                      <w:color w:val="auto"/>
                      <w:szCs w:val="21"/>
                    </w:rPr>
                    <w:t>20</w:t>
                  </w:r>
                  <w:r>
                    <w:rPr>
                      <w:color w:val="auto"/>
                      <w:szCs w:val="21"/>
                    </w:rPr>
                    <w:t>0</w:t>
                  </w:r>
                </w:p>
              </w:tc>
              <w:tc>
                <w:tcPr>
                  <w:tcW w:w="596" w:type="pct"/>
                  <w:tcBorders>
                    <w:left w:val="single" w:color="auto" w:sz="4" w:space="0"/>
                    <w:bottom w:val="single" w:color="auto" w:sz="12" w:space="0"/>
                    <w:right w:val="nil"/>
                  </w:tcBorders>
                  <w:vAlign w:val="center"/>
                </w:tcPr>
                <w:p w14:paraId="3BB7B2FF">
                  <w:pPr>
                    <w:jc w:val="center"/>
                    <w:rPr>
                      <w:color w:val="auto"/>
                      <w:szCs w:val="21"/>
                    </w:rPr>
                  </w:pPr>
                  <w:r>
                    <w:rPr>
                      <w:rFonts w:hint="eastAsia"/>
                      <w:color w:val="auto"/>
                      <w:szCs w:val="21"/>
                    </w:rPr>
                    <w:t>&lt;1级</w:t>
                  </w:r>
                </w:p>
              </w:tc>
              <w:tc>
                <w:tcPr>
                  <w:tcW w:w="606" w:type="pct"/>
                  <w:vMerge w:val="continue"/>
                  <w:tcBorders>
                    <w:left w:val="single" w:color="auto" w:sz="4" w:space="0"/>
                    <w:bottom w:val="single" w:color="auto" w:sz="12" w:space="0"/>
                    <w:right w:val="nil"/>
                  </w:tcBorders>
                  <w:vAlign w:val="center"/>
                </w:tcPr>
                <w:p w14:paraId="0E7AFAC1">
                  <w:pPr>
                    <w:jc w:val="center"/>
                    <w:rPr>
                      <w:color w:val="auto"/>
                      <w:szCs w:val="21"/>
                    </w:rPr>
                  </w:pPr>
                </w:p>
              </w:tc>
            </w:tr>
          </w:tbl>
          <w:p w14:paraId="4B661F57">
            <w:pPr>
              <w:spacing w:line="360" w:lineRule="auto"/>
              <w:ind w:firstLine="480" w:firstLineChars="200"/>
              <w:contextualSpacing/>
              <w:rPr>
                <w:rFonts w:hAnsi="宋体"/>
                <w:color w:val="auto"/>
                <w:sz w:val="24"/>
              </w:rPr>
            </w:pPr>
            <w:r>
              <w:rPr>
                <w:rFonts w:hint="eastAsia" w:hAnsi="宋体"/>
                <w:color w:val="auto"/>
                <w:sz w:val="24"/>
              </w:rPr>
              <w:t>（4）</w:t>
            </w:r>
            <w:r>
              <w:rPr>
                <w:rFonts w:hAnsi="宋体"/>
                <w:color w:val="auto"/>
                <w:sz w:val="24"/>
              </w:rPr>
              <w:t>沥青烟气</w:t>
            </w:r>
          </w:p>
          <w:p w14:paraId="7752E52B">
            <w:pPr>
              <w:spacing w:line="360" w:lineRule="auto"/>
              <w:ind w:firstLine="480" w:firstLineChars="200"/>
              <w:contextualSpacing/>
              <w:rPr>
                <w:rFonts w:hAnsi="宋体"/>
                <w:color w:val="auto"/>
                <w:sz w:val="24"/>
              </w:rPr>
            </w:pPr>
            <w:r>
              <w:rPr>
                <w:rFonts w:hAnsi="宋体"/>
                <w:color w:val="auto"/>
                <w:sz w:val="24"/>
              </w:rPr>
              <w:t>沥青烟气主要来源于搅拌机卸料的废气和沥青罐</w:t>
            </w:r>
            <w:r>
              <w:rPr>
                <w:rFonts w:hint="eastAsia" w:hAnsi="宋体"/>
                <w:color w:val="auto"/>
                <w:sz w:val="24"/>
              </w:rPr>
              <w:t>呼吸废气</w:t>
            </w:r>
            <w:r>
              <w:rPr>
                <w:rFonts w:hAnsi="宋体"/>
                <w:color w:val="auto"/>
                <w:sz w:val="24"/>
              </w:rPr>
              <w:t>。</w:t>
            </w:r>
          </w:p>
          <w:p w14:paraId="7C874D0D">
            <w:pPr>
              <w:spacing w:line="360" w:lineRule="auto"/>
              <w:ind w:firstLine="480" w:firstLineChars="200"/>
              <w:contextualSpacing/>
              <w:rPr>
                <w:color w:val="auto"/>
                <w:sz w:val="24"/>
              </w:rPr>
            </w:pPr>
            <w:r>
              <w:rPr>
                <w:rFonts w:hint="eastAsia" w:hAnsi="宋体"/>
                <w:color w:val="auto"/>
                <w:sz w:val="24"/>
              </w:rPr>
              <w:t>沥青在沥青罐加</w:t>
            </w:r>
            <w:r>
              <w:rPr>
                <w:rFonts w:hint="eastAsia"/>
                <w:color w:val="auto"/>
                <w:sz w:val="24"/>
              </w:rPr>
              <w:t>热和搅拌过程中均会产生沥青烟和苯并</w:t>
            </w:r>
            <w:r>
              <w:rPr>
                <w:color w:val="auto"/>
                <w:sz w:val="24"/>
              </w:rPr>
              <w:t>[a]</w:t>
            </w:r>
            <w:r>
              <w:rPr>
                <w:rFonts w:hint="eastAsia"/>
                <w:color w:val="auto"/>
                <w:sz w:val="24"/>
              </w:rPr>
              <w:t>芘，</w:t>
            </w:r>
            <w:r>
              <w:rPr>
                <w:color w:val="auto"/>
                <w:sz w:val="24"/>
              </w:rPr>
              <w:t>本项目采取分散收集统一处理的方式，</w:t>
            </w:r>
            <w:r>
              <w:rPr>
                <w:rFonts w:hint="eastAsia"/>
                <w:color w:val="auto"/>
                <w:sz w:val="24"/>
              </w:rPr>
              <w:t>收集效率为90%，</w:t>
            </w:r>
            <w:r>
              <w:rPr>
                <w:color w:val="auto"/>
                <w:sz w:val="24"/>
              </w:rPr>
              <w:t>经一套</w:t>
            </w:r>
            <w:r>
              <w:rPr>
                <w:rFonts w:hint="eastAsia"/>
                <w:color w:val="auto"/>
                <w:sz w:val="24"/>
              </w:rPr>
              <w:t>气浮旋流塔+三维一体化废气处理设备（由电离子+光催化+高</w:t>
            </w:r>
            <w:r>
              <w:rPr>
                <w:rFonts w:hint="eastAsia"/>
                <w:bCs/>
                <w:color w:val="auto"/>
                <w:sz w:val="24"/>
              </w:rPr>
              <w:t>碘值碳吸附组成）</w:t>
            </w:r>
            <w:r>
              <w:rPr>
                <w:color w:val="auto"/>
                <w:sz w:val="24"/>
              </w:rPr>
              <w:t>处理，处理效率</w:t>
            </w:r>
            <w:r>
              <w:rPr>
                <w:rFonts w:hint="eastAsia"/>
                <w:color w:val="auto"/>
                <w:sz w:val="24"/>
              </w:rPr>
              <w:t>可达95</w:t>
            </w:r>
            <w:r>
              <w:rPr>
                <w:color w:val="auto"/>
                <w:sz w:val="24"/>
              </w:rPr>
              <w:t>%，处理后经15m高排气筒（</w:t>
            </w:r>
            <w:r>
              <w:rPr>
                <w:rFonts w:hint="eastAsia"/>
                <w:color w:val="auto"/>
                <w:sz w:val="24"/>
              </w:rPr>
              <w:t>DA003</w:t>
            </w:r>
            <w:r>
              <w:rPr>
                <w:color w:val="auto"/>
                <w:sz w:val="24"/>
              </w:rPr>
              <w:t>）排放</w:t>
            </w:r>
            <w:r>
              <w:rPr>
                <w:rFonts w:hint="eastAsia"/>
                <w:color w:val="auto"/>
                <w:sz w:val="24"/>
              </w:rPr>
              <w:t>。</w:t>
            </w:r>
          </w:p>
          <w:p w14:paraId="35F1F0C1">
            <w:pPr>
              <w:pStyle w:val="26"/>
              <w:spacing w:after="0" w:line="360" w:lineRule="auto"/>
              <w:ind w:left="0" w:leftChars="0" w:firstLine="480"/>
              <w:rPr>
                <w:color w:val="auto"/>
                <w:sz w:val="24"/>
              </w:rPr>
            </w:pPr>
            <w:r>
              <w:rPr>
                <w:rFonts w:hint="eastAsia"/>
                <w:color w:val="auto"/>
                <w:sz w:val="24"/>
              </w:rPr>
              <w:t>污染物产生量</w:t>
            </w:r>
            <w:r>
              <w:rPr>
                <w:color w:val="auto"/>
                <w:sz w:val="24"/>
              </w:rPr>
              <w:t>参考研究论文《沥青烟产生机理研究》（期刊《石油沥青》第29卷第5期，2015年10月）中数据，沥青烟在沥青加热、搅拌过程中的产生量约为250mg/kg</w:t>
            </w:r>
            <w:r>
              <w:rPr>
                <w:rFonts w:hint="eastAsia"/>
                <w:color w:val="auto"/>
                <w:sz w:val="24"/>
              </w:rPr>
              <w:t>，</w:t>
            </w:r>
            <w:r>
              <w:rPr>
                <w:color w:val="auto"/>
                <w:sz w:val="24"/>
              </w:rPr>
              <w:t>本项目沥青使用量为</w:t>
            </w:r>
            <w:r>
              <w:rPr>
                <w:rFonts w:hint="eastAsia"/>
                <w:color w:val="auto"/>
                <w:sz w:val="24"/>
              </w:rPr>
              <w:t>1</w:t>
            </w:r>
            <w:r>
              <w:rPr>
                <w:rFonts w:hint="eastAsia"/>
                <w:color w:val="auto"/>
                <w:sz w:val="24"/>
                <w:lang w:val="en-US" w:eastAsia="zh-CN"/>
              </w:rPr>
              <w:t>3</w:t>
            </w:r>
            <w:r>
              <w:rPr>
                <w:color w:val="auto"/>
                <w:sz w:val="24"/>
              </w:rPr>
              <w:t>000t/a</w:t>
            </w:r>
            <w:r>
              <w:rPr>
                <w:color w:val="auto"/>
                <w:sz w:val="24"/>
              </w:rPr>
              <w:t>，</w:t>
            </w:r>
            <w:r>
              <w:rPr>
                <w:rFonts w:hint="eastAsia" w:ascii="宋体" w:hAnsi="宋体" w:cs="宋体"/>
                <w:color w:val="auto"/>
                <w:sz w:val="24"/>
              </w:rPr>
              <w:t>则沥青烟产生量为</w:t>
            </w:r>
            <w:r>
              <w:rPr>
                <w:rFonts w:hint="eastAsia"/>
                <w:color w:val="auto"/>
                <w:sz w:val="24"/>
                <w:lang w:val="en-US" w:eastAsia="zh-CN"/>
              </w:rPr>
              <w:t>3.25</w:t>
            </w:r>
            <w:r>
              <w:rPr>
                <w:color w:val="auto"/>
                <w:sz w:val="24"/>
              </w:rPr>
              <w:t>t/a</w:t>
            </w:r>
            <w:r>
              <w:rPr>
                <w:rFonts w:hint="eastAsia" w:ascii="宋体" w:hAnsi="宋体" w:cs="宋体"/>
                <w:color w:val="auto"/>
                <w:sz w:val="24"/>
              </w:rPr>
              <w:t>，根据《工业生产中有害物质手册》（化学工业出版社）中提供数据，沥青烟中苯并</w:t>
            </w:r>
            <w:r>
              <w:rPr>
                <w:color w:val="auto"/>
                <w:sz w:val="24"/>
              </w:rPr>
              <w:t>[a]</w:t>
            </w:r>
            <w:r>
              <w:rPr>
                <w:rFonts w:hint="eastAsia" w:ascii="宋体" w:hAnsi="宋体" w:cs="宋体"/>
                <w:color w:val="auto"/>
                <w:sz w:val="24"/>
              </w:rPr>
              <w:t>芘含量约</w:t>
            </w:r>
            <w:r>
              <w:rPr>
                <w:color w:val="auto"/>
                <w:sz w:val="24"/>
              </w:rPr>
              <w:t>0.01~0.02‰，本次评价取最大值0.02‰，</w:t>
            </w:r>
            <w:r>
              <w:rPr>
                <w:rFonts w:hint="eastAsia" w:ascii="宋体" w:hAnsi="宋体" w:cs="宋体"/>
                <w:color w:val="auto"/>
                <w:sz w:val="24"/>
              </w:rPr>
              <w:t>则苯并</w:t>
            </w:r>
            <w:r>
              <w:rPr>
                <w:color w:val="auto"/>
                <w:sz w:val="24"/>
              </w:rPr>
              <w:t>[a]</w:t>
            </w:r>
            <w:r>
              <w:rPr>
                <w:rFonts w:hint="eastAsia" w:ascii="宋体" w:hAnsi="宋体" w:cs="宋体"/>
                <w:color w:val="auto"/>
                <w:sz w:val="24"/>
              </w:rPr>
              <w:t>芘产生量为</w:t>
            </w:r>
            <w:r>
              <w:rPr>
                <w:color w:val="auto"/>
                <w:sz w:val="24"/>
              </w:rPr>
              <w:t>0.000</w:t>
            </w:r>
            <w:r>
              <w:rPr>
                <w:rFonts w:hint="eastAsia"/>
                <w:color w:val="auto"/>
                <w:sz w:val="24"/>
                <w:lang w:val="en-US" w:eastAsia="zh-CN"/>
              </w:rPr>
              <w:t>6</w:t>
            </w:r>
            <w:r>
              <w:rPr>
                <w:rFonts w:hint="eastAsia"/>
                <w:color w:val="auto"/>
                <w:sz w:val="24"/>
              </w:rPr>
              <w:t>5</w:t>
            </w:r>
            <w:r>
              <w:rPr>
                <w:color w:val="auto"/>
                <w:sz w:val="24"/>
              </w:rPr>
              <w:t>t/a</w:t>
            </w:r>
            <w:r>
              <w:rPr>
                <w:rFonts w:hint="eastAsia" w:ascii="宋体" w:hAnsi="宋体" w:cs="宋体"/>
                <w:color w:val="auto"/>
                <w:sz w:val="24"/>
              </w:rPr>
              <w:t>。</w:t>
            </w:r>
            <w:r>
              <w:rPr>
                <w:color w:val="auto"/>
                <w:sz w:val="24"/>
              </w:rPr>
              <w:t>根据《空气污染物排放和控制手册》，沥青拌合站中挥发性有机废气（以非甲烷总烃计算）产生量按的14g/t（产品）计算，</w:t>
            </w:r>
            <w:r>
              <w:rPr>
                <w:rFonts w:hint="eastAsia" w:ascii="宋体" w:hAnsi="宋体" w:cs="宋体"/>
                <w:color w:val="auto"/>
                <w:sz w:val="24"/>
              </w:rPr>
              <w:t>则</w:t>
            </w:r>
            <w:r>
              <w:rPr>
                <w:color w:val="auto"/>
                <w:sz w:val="24"/>
              </w:rPr>
              <w:t>非甲烷总烃</w:t>
            </w:r>
            <w:r>
              <w:rPr>
                <w:rFonts w:hint="eastAsia" w:ascii="宋体" w:hAnsi="宋体" w:cs="宋体"/>
                <w:color w:val="auto"/>
                <w:sz w:val="24"/>
              </w:rPr>
              <w:t>产生量为</w:t>
            </w:r>
            <w:r>
              <w:rPr>
                <w:color w:val="auto"/>
                <w:sz w:val="24"/>
              </w:rPr>
              <w:t>0.</w:t>
            </w:r>
            <w:r>
              <w:rPr>
                <w:rFonts w:hint="eastAsia"/>
                <w:color w:val="auto"/>
                <w:sz w:val="24"/>
              </w:rPr>
              <w:t>1</w:t>
            </w:r>
            <w:r>
              <w:rPr>
                <w:rFonts w:hint="eastAsia"/>
                <w:color w:val="auto"/>
                <w:sz w:val="24"/>
                <w:lang w:val="en-US" w:eastAsia="zh-CN"/>
              </w:rPr>
              <w:t>82</w:t>
            </w:r>
            <w:r>
              <w:rPr>
                <w:color w:val="auto"/>
                <w:sz w:val="24"/>
              </w:rPr>
              <w:t>t/a</w:t>
            </w:r>
            <w:r>
              <w:rPr>
                <w:rFonts w:hint="eastAsia" w:ascii="宋体" w:hAnsi="宋体" w:cs="宋体"/>
                <w:color w:val="auto"/>
                <w:sz w:val="24"/>
              </w:rPr>
              <w:t>。</w:t>
            </w:r>
          </w:p>
          <w:p w14:paraId="24E45EF2">
            <w:pPr>
              <w:pStyle w:val="26"/>
              <w:spacing w:after="0" w:line="360" w:lineRule="auto"/>
              <w:ind w:left="0" w:leftChars="0" w:firstLine="480"/>
              <w:rPr>
                <w:color w:val="auto"/>
                <w:sz w:val="24"/>
              </w:rPr>
            </w:pPr>
            <w:r>
              <w:rPr>
                <w:color w:val="auto"/>
                <w:sz w:val="24"/>
              </w:rPr>
              <w:t>本项目搅拌器为密闭设备，不排放沥青烟，成品沥青混凝土在卸料时会产生一定量的沥青烟，卸料口设置在拌合楼底部，搅拌机出料口处进行局部封闭，通过负压收集系统集中收集（收集效率</w:t>
            </w:r>
            <w:r>
              <w:rPr>
                <w:rFonts w:hint="eastAsia"/>
                <w:color w:val="auto"/>
                <w:sz w:val="24"/>
              </w:rPr>
              <w:t>可达95</w:t>
            </w:r>
            <w:r>
              <w:rPr>
                <w:color w:val="auto"/>
                <w:sz w:val="24"/>
              </w:rPr>
              <w:t>%，环保设施的最大总风量为</w:t>
            </w:r>
            <w:r>
              <w:rPr>
                <w:rFonts w:hint="eastAsia"/>
                <w:color w:val="auto"/>
                <w:sz w:val="24"/>
              </w:rPr>
              <w:t>4</w:t>
            </w:r>
            <w:r>
              <w:rPr>
                <w:color w:val="auto"/>
                <w:sz w:val="24"/>
              </w:rPr>
              <w:t>0000m</w:t>
            </w:r>
            <w:r>
              <w:rPr>
                <w:color w:val="auto"/>
                <w:sz w:val="24"/>
                <w:vertAlign w:val="superscript"/>
              </w:rPr>
              <w:t>3</w:t>
            </w:r>
            <w:r>
              <w:rPr>
                <w:color w:val="auto"/>
                <w:sz w:val="24"/>
              </w:rPr>
              <w:t>/h），采用集气装置收集后与沥青罐呼吸废气密闭收集后经一套</w:t>
            </w:r>
            <w:r>
              <w:rPr>
                <w:rFonts w:hint="eastAsia"/>
                <w:bCs/>
                <w:color w:val="auto"/>
                <w:sz w:val="24"/>
              </w:rPr>
              <w:t>气浮旋流塔+三维一体化废气处理设备（由电离子+光催化+高碘值碳吸附组成）</w:t>
            </w:r>
            <w:r>
              <w:rPr>
                <w:color w:val="auto"/>
                <w:sz w:val="24"/>
              </w:rPr>
              <w:t>处理，处理效率达</w:t>
            </w:r>
            <w:r>
              <w:rPr>
                <w:rFonts w:hint="eastAsia"/>
                <w:color w:val="auto"/>
                <w:sz w:val="24"/>
              </w:rPr>
              <w:t>95</w:t>
            </w:r>
            <w:r>
              <w:rPr>
                <w:color w:val="auto"/>
                <w:sz w:val="24"/>
              </w:rPr>
              <w:t>%，由一根15m高排气筒（DA00</w:t>
            </w:r>
            <w:r>
              <w:rPr>
                <w:rFonts w:hint="eastAsia"/>
                <w:color w:val="auto"/>
                <w:sz w:val="24"/>
              </w:rPr>
              <w:t>3</w:t>
            </w:r>
            <w:r>
              <w:rPr>
                <w:color w:val="auto"/>
                <w:sz w:val="24"/>
              </w:rPr>
              <w:t>）排放</w:t>
            </w:r>
            <w:r>
              <w:rPr>
                <w:rFonts w:hint="eastAsia"/>
                <w:color w:val="auto"/>
                <w:sz w:val="24"/>
              </w:rPr>
              <w:t>，</w:t>
            </w:r>
            <w:r>
              <w:rPr>
                <w:color w:val="auto"/>
                <w:sz w:val="24"/>
              </w:rPr>
              <w:t>则有组织沥青烟产生量为</w:t>
            </w:r>
            <w:r>
              <w:rPr>
                <w:rFonts w:hint="eastAsia"/>
                <w:color w:val="auto"/>
                <w:sz w:val="24"/>
                <w:lang w:val="en-US" w:eastAsia="zh-CN"/>
              </w:rPr>
              <w:t>3.0875</w:t>
            </w:r>
            <w:r>
              <w:rPr>
                <w:color w:val="auto"/>
                <w:sz w:val="24"/>
              </w:rPr>
              <w:t>t/a，产生速率为</w:t>
            </w:r>
            <w:r>
              <w:rPr>
                <w:rFonts w:hint="eastAsia"/>
                <w:color w:val="auto"/>
                <w:sz w:val="24"/>
                <w:lang w:val="en-US" w:eastAsia="zh-CN"/>
              </w:rPr>
              <w:t>1.286</w:t>
            </w:r>
            <w:r>
              <w:rPr>
                <w:color w:val="auto"/>
                <w:sz w:val="24"/>
              </w:rPr>
              <w:t>kg/h，产生浓度为</w:t>
            </w:r>
            <w:r>
              <w:rPr>
                <w:rFonts w:hint="eastAsia"/>
                <w:color w:val="auto"/>
                <w:sz w:val="24"/>
                <w:lang w:val="en-US" w:eastAsia="zh-CN"/>
              </w:rPr>
              <w:t>3</w:t>
            </w:r>
            <w:r>
              <w:rPr>
                <w:rFonts w:hint="eastAsia"/>
                <w:color w:val="auto"/>
                <w:sz w:val="24"/>
              </w:rPr>
              <w:t>2</w:t>
            </w:r>
            <w:r>
              <w:rPr>
                <w:rFonts w:hint="eastAsia"/>
                <w:color w:val="auto"/>
                <w:sz w:val="24"/>
                <w:lang w:val="en-US" w:eastAsia="zh-CN"/>
              </w:rPr>
              <w:t>.1</w:t>
            </w:r>
            <w:r>
              <w:rPr>
                <w:color w:val="auto"/>
                <w:sz w:val="24"/>
              </w:rPr>
              <w:t>mg/m</w:t>
            </w:r>
            <w:r>
              <w:rPr>
                <w:color w:val="auto"/>
                <w:sz w:val="24"/>
                <w:vertAlign w:val="superscript"/>
              </w:rPr>
              <w:t>3</w:t>
            </w:r>
            <w:r>
              <w:rPr>
                <w:rFonts w:hint="eastAsia"/>
                <w:color w:val="auto"/>
                <w:sz w:val="24"/>
                <w:lang w:eastAsia="zh-CN"/>
              </w:rPr>
              <w:t>；</w:t>
            </w:r>
            <w:r>
              <w:rPr>
                <w:rFonts w:hint="eastAsia" w:ascii="宋体" w:hAnsi="宋体" w:cs="宋体"/>
                <w:color w:val="auto"/>
                <w:sz w:val="24"/>
              </w:rPr>
              <w:t>苯并</w:t>
            </w:r>
            <w:r>
              <w:rPr>
                <w:color w:val="auto"/>
                <w:sz w:val="24"/>
              </w:rPr>
              <w:t>[a]</w:t>
            </w:r>
            <w:r>
              <w:rPr>
                <w:rFonts w:hint="eastAsia" w:ascii="宋体" w:hAnsi="宋体" w:cs="宋体"/>
                <w:color w:val="auto"/>
                <w:sz w:val="24"/>
              </w:rPr>
              <w:t>芘产生量为</w:t>
            </w:r>
            <w:r>
              <w:rPr>
                <w:rFonts w:hint="eastAsia"/>
                <w:color w:val="auto"/>
                <w:sz w:val="24"/>
                <w:lang w:val="en-US" w:eastAsia="zh-CN"/>
              </w:rPr>
              <w:t>6.18</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rPr>
              <w:t>4</w:t>
            </w:r>
            <w:r>
              <w:rPr>
                <w:color w:val="auto"/>
                <w:sz w:val="24"/>
              </w:rPr>
              <w:t>t/a</w:t>
            </w:r>
            <w:r>
              <w:rPr>
                <w:rFonts w:hint="eastAsia" w:ascii="宋体" w:hAnsi="宋体" w:cs="宋体"/>
                <w:color w:val="auto"/>
                <w:sz w:val="24"/>
              </w:rPr>
              <w:t>，产生速率为</w:t>
            </w:r>
            <w:r>
              <w:rPr>
                <w:rFonts w:hint="eastAsia"/>
                <w:color w:val="auto"/>
                <w:sz w:val="24"/>
                <w:lang w:val="en-US" w:eastAsia="zh-CN"/>
              </w:rPr>
              <w:t>2.57</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rPr>
              <w:t>4</w:t>
            </w:r>
            <w:r>
              <w:rPr>
                <w:color w:val="auto"/>
                <w:sz w:val="24"/>
              </w:rPr>
              <w:t>kg/h</w:t>
            </w:r>
            <w:r>
              <w:rPr>
                <w:rFonts w:hint="eastAsia" w:ascii="宋体" w:hAnsi="宋体" w:cs="宋体"/>
                <w:color w:val="auto"/>
                <w:sz w:val="24"/>
              </w:rPr>
              <w:t>，产生浓度</w:t>
            </w:r>
            <w:r>
              <w:rPr>
                <w:rFonts w:hint="eastAsia" w:ascii="宋体" w:hAnsi="宋体" w:cs="宋体"/>
                <w:color w:val="auto"/>
                <w:sz w:val="24"/>
              </w:rPr>
              <w:t>为</w:t>
            </w:r>
            <w:r>
              <w:rPr>
                <w:rFonts w:hint="eastAsia"/>
                <w:color w:val="auto"/>
                <w:sz w:val="24"/>
              </w:rPr>
              <w:t>0.00</w:t>
            </w:r>
            <w:r>
              <w:rPr>
                <w:rFonts w:hint="eastAsia"/>
                <w:color w:val="auto"/>
                <w:sz w:val="24"/>
                <w:lang w:val="en-US" w:eastAsia="zh-CN"/>
              </w:rPr>
              <w:t>64</w:t>
            </w:r>
            <w:r>
              <w:rPr>
                <w:color w:val="auto"/>
                <w:sz w:val="24"/>
              </w:rPr>
              <w:t>mg/m</w:t>
            </w:r>
            <w:r>
              <w:rPr>
                <w:color w:val="auto"/>
                <w:sz w:val="24"/>
                <w:vertAlign w:val="superscript"/>
              </w:rPr>
              <w:t>3</w:t>
            </w:r>
            <w:r>
              <w:rPr>
                <w:rFonts w:hint="eastAsia"/>
                <w:color w:val="auto"/>
                <w:sz w:val="24"/>
                <w:vertAlign w:val="baseline"/>
                <w:lang w:eastAsia="zh-CN"/>
              </w:rPr>
              <w:t>；</w:t>
            </w:r>
            <w:r>
              <w:rPr>
                <w:color w:val="auto"/>
                <w:sz w:val="24"/>
              </w:rPr>
              <w:t>非甲烷总烃</w:t>
            </w:r>
            <w:r>
              <w:rPr>
                <w:rFonts w:hint="eastAsia"/>
                <w:color w:val="auto"/>
                <w:sz w:val="24"/>
              </w:rPr>
              <w:t>产生</w:t>
            </w:r>
            <w:r>
              <w:rPr>
                <w:color w:val="auto"/>
                <w:sz w:val="24"/>
              </w:rPr>
              <w:t>量为</w:t>
            </w:r>
            <w:r>
              <w:rPr>
                <w:color w:val="auto"/>
                <w:sz w:val="24"/>
              </w:rPr>
              <w:t>0.</w:t>
            </w:r>
            <w:r>
              <w:rPr>
                <w:rFonts w:hint="eastAsia"/>
                <w:color w:val="auto"/>
                <w:sz w:val="24"/>
              </w:rPr>
              <w:t>1</w:t>
            </w:r>
            <w:r>
              <w:rPr>
                <w:rFonts w:hint="eastAsia"/>
                <w:color w:val="auto"/>
                <w:sz w:val="24"/>
                <w:lang w:val="en-US" w:eastAsia="zh-CN"/>
              </w:rPr>
              <w:t>73</w:t>
            </w:r>
            <w:r>
              <w:rPr>
                <w:color w:val="auto"/>
                <w:sz w:val="24"/>
              </w:rPr>
              <w:t>t/a，则产生速率为</w:t>
            </w:r>
            <w:r>
              <w:rPr>
                <w:color w:val="auto"/>
                <w:sz w:val="24"/>
              </w:rPr>
              <w:t>0.</w:t>
            </w:r>
            <w:r>
              <w:rPr>
                <w:rFonts w:hint="eastAsia"/>
                <w:color w:val="auto"/>
                <w:sz w:val="24"/>
              </w:rPr>
              <w:t>0</w:t>
            </w:r>
            <w:r>
              <w:rPr>
                <w:rFonts w:hint="eastAsia"/>
                <w:color w:val="auto"/>
                <w:sz w:val="24"/>
                <w:lang w:val="en-US" w:eastAsia="zh-CN"/>
              </w:rPr>
              <w:t>72</w:t>
            </w:r>
            <w:r>
              <w:rPr>
                <w:color w:val="auto"/>
                <w:sz w:val="24"/>
              </w:rPr>
              <w:t>kg/h，产生浓度</w:t>
            </w:r>
            <w:r>
              <w:rPr>
                <w:rFonts w:hint="eastAsia"/>
                <w:color w:val="auto"/>
                <w:sz w:val="24"/>
              </w:rPr>
              <w:t>1.</w:t>
            </w:r>
            <w:r>
              <w:rPr>
                <w:rFonts w:hint="eastAsia"/>
                <w:color w:val="auto"/>
                <w:sz w:val="24"/>
                <w:lang w:val="en-US" w:eastAsia="zh-CN"/>
              </w:rPr>
              <w:t>8</w:t>
            </w:r>
            <w:r>
              <w:rPr>
                <w:color w:val="auto"/>
                <w:sz w:val="24"/>
              </w:rPr>
              <w:t>mg/m</w:t>
            </w:r>
            <w:r>
              <w:rPr>
                <w:color w:val="auto"/>
                <w:sz w:val="24"/>
                <w:vertAlign w:val="superscript"/>
              </w:rPr>
              <w:t>3</w:t>
            </w:r>
            <w:r>
              <w:rPr>
                <w:color w:val="auto"/>
                <w:sz w:val="24"/>
              </w:rPr>
              <w:t>。</w:t>
            </w:r>
            <w:r>
              <w:rPr>
                <w:rFonts w:hint="eastAsia" w:ascii="宋体" w:hAnsi="宋体" w:cs="宋体"/>
                <w:color w:val="auto"/>
                <w:sz w:val="24"/>
              </w:rPr>
              <w:t>经处理后，</w:t>
            </w:r>
            <w:r>
              <w:rPr>
                <w:color w:val="auto"/>
                <w:sz w:val="24"/>
              </w:rPr>
              <w:t>有组织沥青烟</w:t>
            </w:r>
            <w:r>
              <w:rPr>
                <w:rFonts w:hint="eastAsia"/>
                <w:color w:val="auto"/>
                <w:sz w:val="24"/>
              </w:rPr>
              <w:t>排放</w:t>
            </w:r>
            <w:r>
              <w:rPr>
                <w:color w:val="auto"/>
                <w:sz w:val="24"/>
              </w:rPr>
              <w:t>量为</w:t>
            </w:r>
            <w:r>
              <w:rPr>
                <w:rFonts w:hint="eastAsia"/>
                <w:color w:val="auto"/>
                <w:sz w:val="24"/>
                <w:lang w:val="en-US" w:eastAsia="zh-CN"/>
              </w:rPr>
              <w:t>0.154</w:t>
            </w:r>
            <w:r>
              <w:rPr>
                <w:color w:val="auto"/>
                <w:sz w:val="24"/>
              </w:rPr>
              <w:t>t/a</w:t>
            </w:r>
            <w:r>
              <w:rPr>
                <w:color w:val="auto"/>
                <w:sz w:val="24"/>
              </w:rPr>
              <w:t>，</w:t>
            </w:r>
            <w:r>
              <w:rPr>
                <w:rFonts w:hint="eastAsia"/>
                <w:color w:val="auto"/>
                <w:sz w:val="24"/>
              </w:rPr>
              <w:t>排放</w:t>
            </w:r>
            <w:r>
              <w:rPr>
                <w:color w:val="auto"/>
                <w:sz w:val="24"/>
              </w:rPr>
              <w:t>速率为</w:t>
            </w:r>
            <w:r>
              <w:rPr>
                <w:rFonts w:hint="eastAsia"/>
                <w:color w:val="auto"/>
                <w:sz w:val="24"/>
              </w:rPr>
              <w:t>0.0</w:t>
            </w:r>
            <w:r>
              <w:rPr>
                <w:rFonts w:hint="eastAsia"/>
                <w:color w:val="auto"/>
                <w:sz w:val="24"/>
                <w:lang w:val="en-US" w:eastAsia="zh-CN"/>
              </w:rPr>
              <w:t>6</w:t>
            </w:r>
            <w:r>
              <w:rPr>
                <w:rFonts w:hint="eastAsia"/>
                <w:color w:val="auto"/>
                <w:sz w:val="24"/>
              </w:rPr>
              <w:t>4</w:t>
            </w:r>
            <w:r>
              <w:rPr>
                <w:color w:val="auto"/>
                <w:sz w:val="24"/>
              </w:rPr>
              <w:t>kg/h，</w:t>
            </w:r>
            <w:r>
              <w:rPr>
                <w:rFonts w:hint="eastAsia"/>
                <w:color w:val="auto"/>
                <w:sz w:val="24"/>
              </w:rPr>
              <w:t>排放</w:t>
            </w:r>
            <w:r>
              <w:rPr>
                <w:color w:val="auto"/>
                <w:sz w:val="24"/>
              </w:rPr>
              <w:t>浓度为</w:t>
            </w:r>
            <w:r>
              <w:rPr>
                <w:rFonts w:hint="eastAsia"/>
                <w:color w:val="auto"/>
                <w:sz w:val="24"/>
              </w:rPr>
              <w:t>1.</w:t>
            </w:r>
            <w:r>
              <w:rPr>
                <w:rFonts w:hint="eastAsia"/>
                <w:color w:val="auto"/>
                <w:sz w:val="24"/>
                <w:lang w:val="en-US" w:eastAsia="zh-CN"/>
              </w:rPr>
              <w:t>6</w:t>
            </w:r>
            <w:r>
              <w:rPr>
                <w:color w:val="auto"/>
                <w:sz w:val="24"/>
              </w:rPr>
              <w:t>mg/m</w:t>
            </w:r>
            <w:r>
              <w:rPr>
                <w:color w:val="auto"/>
                <w:sz w:val="24"/>
                <w:vertAlign w:val="superscript"/>
              </w:rPr>
              <w:t>3</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芘排放量为</w:t>
            </w:r>
            <w:r>
              <w:rPr>
                <w:rFonts w:hint="eastAsia"/>
                <w:color w:val="auto"/>
                <w:sz w:val="24"/>
                <w:lang w:val="en-US" w:eastAsia="zh-CN"/>
              </w:rPr>
              <w:t>3.09</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rPr>
              <w:t>5</w:t>
            </w:r>
            <w:r>
              <w:rPr>
                <w:color w:val="auto"/>
                <w:sz w:val="24"/>
              </w:rPr>
              <w:t>t/a</w:t>
            </w:r>
            <w:r>
              <w:rPr>
                <w:rFonts w:hint="eastAsia" w:ascii="宋体" w:hAnsi="宋体" w:cs="宋体"/>
                <w:color w:val="auto"/>
                <w:sz w:val="24"/>
              </w:rPr>
              <w:t>，排放速率为</w:t>
            </w:r>
            <w:r>
              <w:rPr>
                <w:rFonts w:hint="eastAsia"/>
                <w:color w:val="auto"/>
                <w:sz w:val="24"/>
                <w:lang w:val="en-US" w:eastAsia="zh-CN"/>
              </w:rPr>
              <w:t>1.28</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5</w:t>
            </w:r>
            <w:r>
              <w:rPr>
                <w:color w:val="auto"/>
                <w:sz w:val="24"/>
              </w:rPr>
              <w:t>kg/h</w:t>
            </w:r>
            <w:r>
              <w:rPr>
                <w:rFonts w:hint="eastAsia" w:ascii="宋体" w:hAnsi="宋体" w:cs="宋体"/>
                <w:color w:val="auto"/>
                <w:sz w:val="24"/>
              </w:rPr>
              <w:t>，排放浓度为</w:t>
            </w:r>
            <w:r>
              <w:rPr>
                <w:rFonts w:hint="eastAsia"/>
                <w:color w:val="auto"/>
                <w:sz w:val="24"/>
              </w:rPr>
              <w:t>0.000</w:t>
            </w:r>
            <w:r>
              <w:rPr>
                <w:rFonts w:hint="eastAsia"/>
                <w:color w:val="auto"/>
                <w:sz w:val="24"/>
                <w:lang w:val="en-US" w:eastAsia="zh-CN"/>
              </w:rPr>
              <w:t>32</w:t>
            </w:r>
            <w:r>
              <w:rPr>
                <w:color w:val="auto"/>
                <w:sz w:val="24"/>
              </w:rPr>
              <w:t>mg/m</w:t>
            </w:r>
            <w:r>
              <w:rPr>
                <w:color w:val="auto"/>
                <w:sz w:val="24"/>
                <w:vertAlign w:val="superscript"/>
              </w:rPr>
              <w:t>3</w:t>
            </w:r>
            <w:r>
              <w:rPr>
                <w:color w:val="auto"/>
                <w:sz w:val="24"/>
              </w:rPr>
              <w:t>；非甲烷总烃</w:t>
            </w:r>
            <w:r>
              <w:rPr>
                <w:rFonts w:hint="eastAsia" w:ascii="宋体" w:hAnsi="宋体" w:cs="宋体"/>
                <w:color w:val="auto"/>
                <w:sz w:val="24"/>
              </w:rPr>
              <w:t>排放量为</w:t>
            </w:r>
            <w:r>
              <w:rPr>
                <w:rFonts w:hint="eastAsia"/>
                <w:color w:val="auto"/>
                <w:sz w:val="24"/>
              </w:rPr>
              <w:t>0.00</w:t>
            </w:r>
            <w:r>
              <w:rPr>
                <w:rFonts w:hint="eastAsia"/>
                <w:color w:val="auto"/>
                <w:sz w:val="24"/>
                <w:lang w:val="en-US" w:eastAsia="zh-CN"/>
              </w:rPr>
              <w:t>8</w:t>
            </w:r>
            <w:r>
              <w:rPr>
                <w:rFonts w:hint="eastAsia"/>
                <w:color w:val="auto"/>
                <w:sz w:val="24"/>
              </w:rPr>
              <w:t>7</w:t>
            </w:r>
            <w:r>
              <w:rPr>
                <w:color w:val="auto"/>
                <w:sz w:val="24"/>
              </w:rPr>
              <w:t>t/a</w:t>
            </w:r>
            <w:r>
              <w:rPr>
                <w:rFonts w:hint="eastAsia" w:ascii="宋体" w:hAnsi="宋体" w:cs="宋体"/>
                <w:color w:val="auto"/>
                <w:sz w:val="24"/>
              </w:rPr>
              <w:t>，排放速率为</w:t>
            </w:r>
            <w:r>
              <w:rPr>
                <w:rFonts w:hint="eastAsia"/>
                <w:color w:val="auto"/>
                <w:sz w:val="24"/>
              </w:rPr>
              <w:t>0.003</w:t>
            </w:r>
            <w:r>
              <w:rPr>
                <w:rFonts w:hint="eastAsia"/>
                <w:color w:val="auto"/>
                <w:sz w:val="24"/>
                <w:lang w:val="en-US" w:eastAsia="zh-CN"/>
              </w:rPr>
              <w:t>6</w:t>
            </w:r>
            <w:r>
              <w:rPr>
                <w:color w:val="auto"/>
                <w:sz w:val="24"/>
              </w:rPr>
              <w:t>kg/h</w:t>
            </w:r>
            <w:r>
              <w:rPr>
                <w:rFonts w:hint="eastAsia" w:ascii="宋体" w:hAnsi="宋体" w:cs="宋体"/>
                <w:color w:val="auto"/>
                <w:sz w:val="24"/>
              </w:rPr>
              <w:t>，排放浓度为</w:t>
            </w:r>
            <w:r>
              <w:rPr>
                <w:rFonts w:hint="eastAsia"/>
                <w:color w:val="auto"/>
                <w:sz w:val="24"/>
              </w:rPr>
              <w:t>0.0</w:t>
            </w:r>
            <w:r>
              <w:rPr>
                <w:rFonts w:hint="eastAsia"/>
                <w:color w:val="auto"/>
                <w:sz w:val="24"/>
                <w:lang w:val="en-US" w:eastAsia="zh-CN"/>
              </w:rPr>
              <w:t>9</w:t>
            </w:r>
            <w:r>
              <w:rPr>
                <w:color w:val="auto"/>
                <w:sz w:val="24"/>
              </w:rPr>
              <w:t>mg/m</w:t>
            </w:r>
            <w:r>
              <w:rPr>
                <w:color w:val="auto"/>
                <w:sz w:val="24"/>
                <w:vertAlign w:val="superscript"/>
              </w:rPr>
              <w:t>3</w:t>
            </w:r>
            <w:r>
              <w:rPr>
                <w:rFonts w:hint="eastAsia" w:ascii="宋体" w:hAnsi="宋体" w:cs="宋体"/>
                <w:color w:val="auto"/>
                <w:sz w:val="24"/>
              </w:rPr>
              <w:t>。</w:t>
            </w:r>
          </w:p>
          <w:p w14:paraId="2586C3A9">
            <w:pPr>
              <w:pStyle w:val="26"/>
              <w:spacing w:line="360" w:lineRule="auto"/>
              <w:ind w:left="0" w:leftChars="0" w:firstLine="480"/>
              <w:rPr>
                <w:color w:val="auto"/>
                <w:sz w:val="24"/>
              </w:rPr>
            </w:pPr>
            <w:r>
              <w:rPr>
                <w:rFonts w:hint="eastAsia" w:ascii="宋体" w:hAnsi="宋体" w:cs="宋体"/>
                <w:color w:val="auto"/>
                <w:sz w:val="24"/>
              </w:rPr>
              <w:t>无组织沥青烟排放量为</w:t>
            </w:r>
            <w:r>
              <w:rPr>
                <w:color w:val="auto"/>
                <w:sz w:val="24"/>
              </w:rPr>
              <w:t>0.</w:t>
            </w:r>
            <w:r>
              <w:rPr>
                <w:rFonts w:hint="eastAsia"/>
                <w:color w:val="auto"/>
                <w:sz w:val="24"/>
              </w:rPr>
              <w:t>1</w:t>
            </w:r>
            <w:r>
              <w:rPr>
                <w:rFonts w:hint="eastAsia"/>
                <w:color w:val="auto"/>
                <w:sz w:val="24"/>
                <w:lang w:val="en-US" w:eastAsia="zh-CN"/>
              </w:rPr>
              <w:t>6</w:t>
            </w:r>
            <w:r>
              <w:rPr>
                <w:rFonts w:hint="eastAsia"/>
                <w:color w:val="auto"/>
                <w:sz w:val="24"/>
              </w:rPr>
              <w:t>25</w:t>
            </w:r>
            <w:r>
              <w:rPr>
                <w:color w:val="auto"/>
                <w:sz w:val="24"/>
              </w:rPr>
              <w:t>t/a</w:t>
            </w:r>
            <w:r>
              <w:rPr>
                <w:rFonts w:hint="eastAsia"/>
                <w:color w:val="auto"/>
                <w:sz w:val="24"/>
              </w:rPr>
              <w:t>，</w:t>
            </w:r>
            <w:r>
              <w:rPr>
                <w:rFonts w:hint="eastAsia" w:ascii="宋体" w:hAnsi="宋体" w:cs="宋体"/>
                <w:color w:val="auto"/>
                <w:sz w:val="24"/>
              </w:rPr>
              <w:t>排放速率为</w:t>
            </w:r>
            <w:r>
              <w:rPr>
                <w:color w:val="auto"/>
                <w:sz w:val="24"/>
              </w:rPr>
              <w:t>0.0</w:t>
            </w:r>
            <w:r>
              <w:rPr>
                <w:rFonts w:hint="eastAsia"/>
                <w:color w:val="auto"/>
                <w:sz w:val="24"/>
                <w:lang w:val="en-US" w:eastAsia="zh-CN"/>
              </w:rPr>
              <w:t>68</w:t>
            </w:r>
            <w:r>
              <w:rPr>
                <w:color w:val="auto"/>
                <w:sz w:val="24"/>
              </w:rPr>
              <w:t>kg/h</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芘排放量为</w:t>
            </w:r>
            <w:r>
              <w:rPr>
                <w:rFonts w:hint="eastAsia"/>
                <w:color w:val="auto"/>
                <w:sz w:val="24"/>
                <w:lang w:val="en-US" w:eastAsia="zh-CN"/>
              </w:rPr>
              <w:t>3</w:t>
            </w:r>
            <w:r>
              <w:rPr>
                <w:rFonts w:hint="eastAsia"/>
                <w:color w:val="auto"/>
                <w:sz w:val="24"/>
              </w:rPr>
              <w:t>.25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rPr>
              <w:t>5</w:t>
            </w:r>
            <w:r>
              <w:rPr>
                <w:color w:val="auto"/>
                <w:sz w:val="24"/>
              </w:rPr>
              <w:t>t/a</w:t>
            </w:r>
            <w:r>
              <w:rPr>
                <w:rFonts w:hint="eastAsia" w:ascii="宋体" w:hAnsi="宋体" w:cs="宋体"/>
                <w:color w:val="auto"/>
                <w:sz w:val="24"/>
              </w:rPr>
              <w:t>，排放速率为</w:t>
            </w:r>
            <w:r>
              <w:rPr>
                <w:rFonts w:hint="eastAsia"/>
                <w:color w:val="auto"/>
                <w:sz w:val="24"/>
                <w:lang w:val="en-US" w:eastAsia="zh-CN"/>
              </w:rPr>
              <w:t>1.35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5</w:t>
            </w:r>
            <w:r>
              <w:rPr>
                <w:color w:val="auto"/>
                <w:sz w:val="24"/>
              </w:rPr>
              <w:t>kg/h；非甲烷总烃</w:t>
            </w:r>
            <w:r>
              <w:rPr>
                <w:rFonts w:hint="eastAsia" w:ascii="宋体" w:hAnsi="宋体" w:cs="宋体"/>
                <w:color w:val="auto"/>
                <w:sz w:val="24"/>
              </w:rPr>
              <w:t>排放量为</w:t>
            </w:r>
            <w:r>
              <w:rPr>
                <w:rFonts w:hint="eastAsia"/>
                <w:color w:val="auto"/>
                <w:sz w:val="24"/>
              </w:rPr>
              <w:t>0.00</w:t>
            </w:r>
            <w:r>
              <w:rPr>
                <w:rFonts w:hint="eastAsia"/>
                <w:color w:val="auto"/>
                <w:sz w:val="24"/>
                <w:lang w:val="en-US" w:eastAsia="zh-CN"/>
              </w:rPr>
              <w:t>9</w:t>
            </w:r>
            <w:r>
              <w:rPr>
                <w:color w:val="auto"/>
                <w:sz w:val="24"/>
              </w:rPr>
              <w:t>t/a</w:t>
            </w:r>
            <w:r>
              <w:rPr>
                <w:rFonts w:hint="eastAsia" w:ascii="宋体" w:hAnsi="宋体" w:cs="宋体"/>
                <w:color w:val="auto"/>
                <w:sz w:val="24"/>
              </w:rPr>
              <w:t>，排放速率为</w:t>
            </w:r>
            <w:r>
              <w:rPr>
                <w:rFonts w:hint="eastAsia"/>
                <w:color w:val="auto"/>
                <w:sz w:val="24"/>
              </w:rPr>
              <w:t>0.00</w:t>
            </w:r>
            <w:r>
              <w:rPr>
                <w:rFonts w:hint="eastAsia"/>
                <w:color w:val="auto"/>
                <w:sz w:val="24"/>
                <w:lang w:val="en-US" w:eastAsia="zh-CN"/>
              </w:rPr>
              <w:t>38</w:t>
            </w:r>
            <w:r>
              <w:rPr>
                <w:color w:val="auto"/>
                <w:sz w:val="24"/>
              </w:rPr>
              <w:t>kg/h</w:t>
            </w:r>
            <w:r>
              <w:rPr>
                <w:rFonts w:hint="eastAsia"/>
                <w:color w:val="auto"/>
                <w:sz w:val="24"/>
              </w:rPr>
              <w:t>。</w:t>
            </w:r>
          </w:p>
          <w:p w14:paraId="42A20923">
            <w:pPr>
              <w:spacing w:line="360" w:lineRule="auto"/>
              <w:ind w:firstLine="480" w:firstLineChars="200"/>
              <w:contextualSpacing/>
              <w:rPr>
                <w:color w:val="auto"/>
                <w:sz w:val="24"/>
              </w:rPr>
            </w:pPr>
            <w:r>
              <w:rPr>
                <w:rFonts w:hint="eastAsia"/>
                <w:color w:val="auto"/>
                <w:sz w:val="24"/>
              </w:rPr>
              <w:t>（5）</w:t>
            </w:r>
            <w:r>
              <w:rPr>
                <w:rFonts w:hAnsi="宋体"/>
                <w:color w:val="auto"/>
                <w:sz w:val="24"/>
              </w:rPr>
              <w:t>矿粉筒仓</w:t>
            </w:r>
            <w:r>
              <w:rPr>
                <w:rFonts w:hint="eastAsia" w:hAnsi="宋体"/>
                <w:color w:val="auto"/>
                <w:sz w:val="24"/>
              </w:rPr>
              <w:t>装卸</w:t>
            </w:r>
            <w:r>
              <w:rPr>
                <w:rFonts w:hAnsi="宋体"/>
                <w:color w:val="auto"/>
                <w:sz w:val="24"/>
              </w:rPr>
              <w:t>粉尘</w:t>
            </w:r>
            <w:r>
              <w:rPr>
                <w:rFonts w:hint="eastAsia" w:hAnsi="宋体"/>
                <w:color w:val="auto"/>
                <w:sz w:val="24"/>
              </w:rPr>
              <w:t xml:space="preserve">                                                                                                                                                                                                                                                                                                                                                                          </w:t>
            </w:r>
          </w:p>
          <w:p w14:paraId="7A40BB8D">
            <w:pPr>
              <w:spacing w:line="360" w:lineRule="auto"/>
              <w:ind w:firstLine="480" w:firstLineChars="200"/>
              <w:contextualSpacing/>
              <w:rPr>
                <w:color w:val="auto"/>
                <w:sz w:val="24"/>
              </w:rPr>
            </w:pPr>
            <w:r>
              <w:rPr>
                <w:rFonts w:hAnsi="宋体"/>
                <w:color w:val="auto"/>
                <w:sz w:val="24"/>
              </w:rPr>
              <w:t>本项目原料</w:t>
            </w:r>
            <w:r>
              <w:rPr>
                <w:rFonts w:hint="eastAsia" w:hAnsi="宋体"/>
                <w:color w:val="auto"/>
                <w:sz w:val="24"/>
              </w:rPr>
              <w:t>矿粉采</w:t>
            </w:r>
            <w:r>
              <w:rPr>
                <w:rFonts w:hAnsi="宋体"/>
                <w:color w:val="auto"/>
                <w:sz w:val="24"/>
              </w:rPr>
              <w:t>用密封的专用运输车运至厂内进行筒仓进行储存，利用罐车自带的空压设备泵入相应的存储筒仓，储存仓排放口会产生粉尘，参照《美国环保局</w:t>
            </w:r>
            <w:r>
              <w:rPr>
                <w:color w:val="auto"/>
                <w:sz w:val="24"/>
              </w:rPr>
              <w:t>—</w:t>
            </w:r>
            <w:r>
              <w:rPr>
                <w:rFonts w:hAnsi="宋体"/>
                <w:color w:val="auto"/>
                <w:sz w:val="24"/>
              </w:rPr>
              <w:t>空气污染物排放和控制手册》中混凝土配料产尘系数，水泥卸至高架储仓时产尘系数为产生粉尘</w:t>
            </w:r>
            <w:r>
              <w:rPr>
                <w:color w:val="auto"/>
                <w:sz w:val="24"/>
              </w:rPr>
              <w:t>0.12kg/t</w:t>
            </w:r>
            <w:r>
              <w:rPr>
                <w:rFonts w:hAnsi="宋体"/>
                <w:color w:val="auto"/>
                <w:sz w:val="24"/>
              </w:rPr>
              <w:t>，矿粉参照水泥系数。</w:t>
            </w:r>
          </w:p>
          <w:p w14:paraId="70EFD7D4">
            <w:pPr>
              <w:spacing w:line="360" w:lineRule="auto"/>
              <w:ind w:firstLine="480" w:firstLineChars="200"/>
              <w:contextualSpacing/>
              <w:jc w:val="left"/>
              <w:rPr>
                <w:color w:val="auto"/>
                <w:sz w:val="24"/>
              </w:rPr>
            </w:pPr>
            <w:r>
              <w:rPr>
                <w:rFonts w:hAnsi="宋体"/>
                <w:color w:val="auto"/>
                <w:sz w:val="24"/>
              </w:rPr>
              <w:t>本项目矿粉消耗量为</w:t>
            </w:r>
            <w:r>
              <w:rPr>
                <w:rFonts w:hint="eastAsia"/>
                <w:color w:val="auto"/>
                <w:sz w:val="24"/>
              </w:rPr>
              <w:t>1</w:t>
            </w:r>
            <w:r>
              <w:rPr>
                <w:rFonts w:hint="eastAsia"/>
                <w:color w:val="auto"/>
                <w:sz w:val="24"/>
                <w:lang w:val="en-US" w:eastAsia="zh-CN"/>
              </w:rPr>
              <w:t>5</w:t>
            </w:r>
            <w:r>
              <w:rPr>
                <w:rFonts w:hint="eastAsia"/>
                <w:color w:val="auto"/>
                <w:sz w:val="24"/>
              </w:rPr>
              <w:t>0</w:t>
            </w:r>
            <w:r>
              <w:rPr>
                <w:color w:val="auto"/>
                <w:sz w:val="24"/>
              </w:rPr>
              <w:t>00t/a</w:t>
            </w:r>
            <w:r>
              <w:rPr>
                <w:rFonts w:hAnsi="宋体"/>
                <w:color w:val="auto"/>
                <w:sz w:val="24"/>
              </w:rPr>
              <w:t>，装卸时间为</w:t>
            </w:r>
            <w:r>
              <w:rPr>
                <w:rFonts w:hint="eastAsia" w:hAnsi="宋体"/>
                <w:color w:val="auto"/>
                <w:sz w:val="24"/>
              </w:rPr>
              <w:t>600h/a，</w:t>
            </w:r>
            <w:r>
              <w:rPr>
                <w:rFonts w:hAnsi="宋体"/>
                <w:color w:val="auto"/>
                <w:sz w:val="24"/>
              </w:rPr>
              <w:t>存储在</w:t>
            </w:r>
            <w:r>
              <w:rPr>
                <w:color w:val="auto"/>
                <w:sz w:val="24"/>
              </w:rPr>
              <w:t>1</w:t>
            </w:r>
            <w:r>
              <w:rPr>
                <w:rFonts w:hAnsi="宋体"/>
                <w:color w:val="auto"/>
                <w:sz w:val="24"/>
              </w:rPr>
              <w:t>座矿粉筒仓，经计算：矿粉筒仓</w:t>
            </w:r>
            <w:r>
              <w:rPr>
                <w:rFonts w:hint="eastAsia" w:hAnsi="宋体"/>
                <w:color w:val="auto"/>
                <w:sz w:val="24"/>
              </w:rPr>
              <w:t>装卸</w:t>
            </w:r>
            <w:r>
              <w:rPr>
                <w:rFonts w:hAnsi="宋体"/>
                <w:color w:val="auto"/>
                <w:sz w:val="24"/>
              </w:rPr>
              <w:t>粉尘产生量为</w:t>
            </w:r>
            <w:r>
              <w:rPr>
                <w:rFonts w:hint="eastAsia"/>
                <w:color w:val="auto"/>
                <w:sz w:val="24"/>
              </w:rPr>
              <w:t>1.</w:t>
            </w:r>
            <w:r>
              <w:rPr>
                <w:rFonts w:hint="eastAsia"/>
                <w:color w:val="auto"/>
                <w:sz w:val="24"/>
                <w:lang w:val="en-US" w:eastAsia="zh-CN"/>
              </w:rPr>
              <w:t>8</w:t>
            </w:r>
            <w:r>
              <w:rPr>
                <w:color w:val="auto"/>
                <w:sz w:val="24"/>
              </w:rPr>
              <w:t>t/a</w:t>
            </w:r>
            <w:r>
              <w:rPr>
                <w:rFonts w:hAnsi="宋体"/>
                <w:color w:val="auto"/>
                <w:sz w:val="24"/>
              </w:rPr>
              <w:t>，产生速率为</w:t>
            </w:r>
            <w:r>
              <w:rPr>
                <w:rFonts w:hint="eastAsia"/>
                <w:color w:val="auto"/>
                <w:sz w:val="24"/>
                <w:lang w:val="en-US" w:eastAsia="zh-CN"/>
              </w:rPr>
              <w:t>3</w:t>
            </w:r>
            <w:r>
              <w:rPr>
                <w:color w:val="auto"/>
                <w:sz w:val="24"/>
              </w:rPr>
              <w:t>kg/h</w:t>
            </w:r>
            <w:r>
              <w:rPr>
                <w:rFonts w:hAnsi="宋体"/>
                <w:color w:val="auto"/>
                <w:sz w:val="24"/>
              </w:rPr>
              <w:t>，本项目</w:t>
            </w:r>
            <w:r>
              <w:rPr>
                <w:bCs/>
                <w:color w:val="auto"/>
                <w:sz w:val="24"/>
              </w:rPr>
              <w:t>矿粉筒顶部通过集气管道连接至除尘系统（重力</w:t>
            </w:r>
            <w:r>
              <w:rPr>
                <w:rFonts w:hint="eastAsia"/>
                <w:bCs/>
                <w:color w:val="auto"/>
                <w:sz w:val="24"/>
              </w:rPr>
              <w:t>+布袋</w:t>
            </w:r>
            <w:r>
              <w:rPr>
                <w:bCs/>
                <w:color w:val="auto"/>
                <w:sz w:val="24"/>
              </w:rPr>
              <w:t>），处理后经除尘系统烟囱（</w:t>
            </w:r>
            <w:r>
              <w:rPr>
                <w:rFonts w:hint="eastAsia"/>
                <w:bCs/>
                <w:color w:val="auto"/>
                <w:sz w:val="24"/>
              </w:rPr>
              <w:t>DA001</w:t>
            </w:r>
            <w:r>
              <w:rPr>
                <w:bCs/>
                <w:color w:val="auto"/>
                <w:sz w:val="24"/>
              </w:rPr>
              <w:t>）排放，</w:t>
            </w:r>
            <w:r>
              <w:rPr>
                <w:color w:val="auto"/>
                <w:sz w:val="24"/>
              </w:rPr>
              <w:t>除尘效率为99%</w:t>
            </w:r>
            <w:r>
              <w:rPr>
                <w:rFonts w:hAnsi="宋体"/>
                <w:color w:val="auto"/>
                <w:sz w:val="24"/>
              </w:rPr>
              <w:t>，</w:t>
            </w:r>
            <w:r>
              <w:rPr>
                <w:rFonts w:hAnsi="宋体"/>
                <w:bCs/>
                <w:color w:val="auto"/>
                <w:sz w:val="24"/>
              </w:rPr>
              <w:t>处理后粉尘排放量为</w:t>
            </w:r>
            <w:r>
              <w:rPr>
                <w:color w:val="auto"/>
                <w:sz w:val="24"/>
              </w:rPr>
              <w:t>0.0</w:t>
            </w:r>
            <w:r>
              <w:rPr>
                <w:rFonts w:hint="eastAsia"/>
                <w:color w:val="auto"/>
                <w:sz w:val="24"/>
              </w:rPr>
              <w:t>1</w:t>
            </w:r>
            <w:r>
              <w:rPr>
                <w:rFonts w:hint="eastAsia"/>
                <w:color w:val="auto"/>
                <w:sz w:val="24"/>
                <w:lang w:val="en-US" w:eastAsia="zh-CN"/>
              </w:rPr>
              <w:t>8</w:t>
            </w:r>
            <w:r>
              <w:rPr>
                <w:color w:val="auto"/>
                <w:sz w:val="24"/>
              </w:rPr>
              <w:t>t/a</w:t>
            </w:r>
            <w:r>
              <w:rPr>
                <w:rFonts w:hAnsi="宋体"/>
                <w:color w:val="auto"/>
                <w:sz w:val="24"/>
              </w:rPr>
              <w:t>，排放速率为</w:t>
            </w:r>
            <w:r>
              <w:rPr>
                <w:bCs/>
                <w:color w:val="auto"/>
                <w:sz w:val="24"/>
              </w:rPr>
              <w:t>0.</w:t>
            </w:r>
            <w:r>
              <w:rPr>
                <w:rFonts w:hint="eastAsia"/>
                <w:bCs/>
                <w:color w:val="auto"/>
                <w:sz w:val="24"/>
              </w:rPr>
              <w:t>0</w:t>
            </w:r>
            <w:r>
              <w:rPr>
                <w:rFonts w:hint="eastAsia"/>
                <w:bCs/>
                <w:color w:val="auto"/>
                <w:sz w:val="24"/>
                <w:lang w:val="en-US" w:eastAsia="zh-CN"/>
              </w:rPr>
              <w:t>3</w:t>
            </w:r>
            <w:r>
              <w:rPr>
                <w:color w:val="auto"/>
                <w:sz w:val="24"/>
              </w:rPr>
              <w:t>kg/h</w:t>
            </w:r>
            <w:r>
              <w:rPr>
                <w:rFonts w:hAnsi="宋体"/>
                <w:bCs/>
                <w:color w:val="auto"/>
                <w:sz w:val="24"/>
              </w:rPr>
              <w:t>。</w:t>
            </w:r>
          </w:p>
          <w:p w14:paraId="2F4DFC31">
            <w:pPr>
              <w:pStyle w:val="65"/>
              <w:ind w:firstLine="0" w:firstLineChars="0"/>
              <w:outlineLvl w:val="2"/>
              <w:rPr>
                <w:snapToGrid w:val="0"/>
                <w:color w:val="auto"/>
                <w:kern w:val="0"/>
              </w:rPr>
            </w:pPr>
            <w:r>
              <w:rPr>
                <w:snapToGrid w:val="0"/>
                <w:color w:val="auto"/>
                <w:kern w:val="0"/>
              </w:rPr>
              <w:t>2.7.2无组织废气</w:t>
            </w:r>
          </w:p>
          <w:p w14:paraId="5A294B81">
            <w:pPr>
              <w:spacing w:line="360" w:lineRule="auto"/>
              <w:ind w:firstLine="480" w:firstLineChars="200"/>
              <w:rPr>
                <w:color w:val="auto"/>
                <w:sz w:val="24"/>
              </w:rPr>
            </w:pPr>
            <w:r>
              <w:rPr>
                <w:rFonts w:hint="eastAsia" w:hAnsi="宋体"/>
                <w:color w:val="auto"/>
                <w:sz w:val="24"/>
              </w:rPr>
              <w:t>（1）</w:t>
            </w:r>
            <w:r>
              <w:rPr>
                <w:color w:val="auto"/>
                <w:sz w:val="24"/>
              </w:rPr>
              <w:t>铲装集堆粉尘</w:t>
            </w:r>
          </w:p>
          <w:p w14:paraId="7390CBAE">
            <w:pPr>
              <w:spacing w:line="360" w:lineRule="auto"/>
              <w:ind w:firstLine="480" w:firstLineChars="200"/>
              <w:rPr>
                <w:color w:val="auto"/>
                <w:sz w:val="24"/>
              </w:rPr>
            </w:pPr>
            <w:r>
              <w:rPr>
                <w:color w:val="auto"/>
                <w:sz w:val="24"/>
              </w:rPr>
              <w:t>铲装集堆粉尘产生情况采用交通水运研究所武汉水运工程学院提出的装车粉尘经验公式估算，经验公式为：</w:t>
            </w:r>
          </w:p>
          <w:p w14:paraId="787C3AEE">
            <w:pPr>
              <w:jc w:val="center"/>
              <w:rPr>
                <w:color w:val="auto"/>
              </w:rPr>
            </w:pPr>
            <w:r>
              <w:rPr>
                <w:color w:val="auto"/>
              </w:rPr>
              <w:drawing>
                <wp:inline distT="0" distB="0" distL="0" distR="0">
                  <wp:extent cx="2446020" cy="439420"/>
                  <wp:effectExtent l="0" t="0" r="1143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srcRect/>
                          <a:stretch>
                            <a:fillRect/>
                          </a:stretch>
                        </pic:blipFill>
                        <pic:spPr>
                          <a:xfrm>
                            <a:off x="0" y="0"/>
                            <a:ext cx="2446020" cy="439420"/>
                          </a:xfrm>
                          <a:prstGeom prst="rect">
                            <a:avLst/>
                          </a:prstGeom>
                          <a:noFill/>
                          <a:ln w="9525">
                            <a:noFill/>
                            <a:miter lim="800000"/>
                            <a:headEnd/>
                            <a:tailEnd/>
                          </a:ln>
                        </pic:spPr>
                      </pic:pic>
                    </a:graphicData>
                  </a:graphic>
                </wp:inline>
              </w:drawing>
            </w:r>
          </w:p>
          <w:p w14:paraId="26F8E7BB">
            <w:pPr>
              <w:spacing w:line="360" w:lineRule="auto"/>
              <w:ind w:firstLine="480" w:firstLineChars="200"/>
              <w:rPr>
                <w:color w:val="auto"/>
                <w:sz w:val="24"/>
              </w:rPr>
            </w:pPr>
            <w:r>
              <w:rPr>
                <w:color w:val="auto"/>
                <w:sz w:val="24"/>
              </w:rPr>
              <w:t>式中：Q——物料装车时机械落差起尘量，kg/s；</w:t>
            </w:r>
          </w:p>
          <w:p w14:paraId="36B56CBF">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H——物料落差，m；装载车与自卸车车厢间距，取0.5m；</w:t>
            </w:r>
          </w:p>
          <w:p w14:paraId="10CA3DEE">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μ——平均风速，m/s；根据</w:t>
            </w:r>
            <w:r>
              <w:rPr>
                <w:rFonts w:hint="eastAsia"/>
                <w:color w:val="auto"/>
                <w:sz w:val="24"/>
                <w:lang w:val="en-US" w:eastAsia="zh-CN"/>
              </w:rPr>
              <w:t>伊春</w:t>
            </w:r>
            <w:r>
              <w:rPr>
                <w:color w:val="auto"/>
                <w:sz w:val="24"/>
              </w:rPr>
              <w:t>市30年气象资料，取年平均风速，2.7m/s；</w:t>
            </w:r>
          </w:p>
          <w:p w14:paraId="1668EE62">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ω——物料含水率，%；取8%；</w:t>
            </w:r>
          </w:p>
          <w:p w14:paraId="36C4332B">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t——物料装车所需时间，t/s；装载车每铲容量为5t，每铲物料下落时间为</w:t>
            </w:r>
            <w:r>
              <w:rPr>
                <w:rFonts w:hint="eastAsia"/>
                <w:color w:val="auto"/>
                <w:sz w:val="24"/>
              </w:rPr>
              <w:t>1</w:t>
            </w:r>
            <w:r>
              <w:rPr>
                <w:color w:val="auto"/>
                <w:sz w:val="24"/>
              </w:rPr>
              <w:t>s，则物料装车所需时间为</w:t>
            </w:r>
            <w:r>
              <w:rPr>
                <w:rFonts w:hint="eastAsia"/>
                <w:color w:val="auto"/>
                <w:sz w:val="24"/>
              </w:rPr>
              <w:t>5</w:t>
            </w:r>
            <w:r>
              <w:rPr>
                <w:color w:val="auto"/>
                <w:sz w:val="24"/>
              </w:rPr>
              <w:t>t/s。</w:t>
            </w:r>
          </w:p>
          <w:p w14:paraId="6DC37EFD">
            <w:pPr>
              <w:pStyle w:val="135"/>
              <w:ind w:firstLine="480"/>
              <w:rPr>
                <w:color w:val="auto"/>
                <w:sz w:val="24"/>
              </w:rPr>
            </w:pPr>
            <w:r>
              <w:rPr>
                <w:color w:val="auto"/>
                <w:sz w:val="24"/>
              </w:rPr>
              <w:t>经计算铲装集堆起尘量为0.02kg/s，项目每天装</w:t>
            </w:r>
            <w:r>
              <w:rPr>
                <w:color w:val="auto"/>
                <w:sz w:val="24"/>
              </w:rPr>
              <w:t>运</w:t>
            </w:r>
            <w:r>
              <w:rPr>
                <w:rFonts w:hint="eastAsia"/>
                <w:color w:val="auto"/>
                <w:sz w:val="24"/>
                <w:lang w:val="en-US" w:eastAsia="zh-CN"/>
              </w:rPr>
              <w:t>1270.8</w:t>
            </w:r>
            <w:r>
              <w:rPr>
                <w:color w:val="auto"/>
                <w:sz w:val="24"/>
              </w:rPr>
              <w:t>t物料，相当于物料下落总时间为每天</w:t>
            </w:r>
            <w:r>
              <w:rPr>
                <w:rFonts w:hint="eastAsia"/>
                <w:color w:val="auto"/>
                <w:sz w:val="24"/>
                <w:lang w:val="en-US" w:eastAsia="zh-CN"/>
              </w:rPr>
              <w:t>254.2</w:t>
            </w:r>
            <w:r>
              <w:rPr>
                <w:color w:val="auto"/>
                <w:sz w:val="24"/>
              </w:rPr>
              <w:t>s，全年工作</w:t>
            </w:r>
            <w:r>
              <w:rPr>
                <w:rFonts w:hint="eastAsia"/>
                <w:color w:val="auto"/>
                <w:sz w:val="24"/>
              </w:rPr>
              <w:t>2</w:t>
            </w:r>
            <w:r>
              <w:rPr>
                <w:rFonts w:hint="eastAsia"/>
                <w:color w:val="auto"/>
                <w:sz w:val="24"/>
                <w:lang w:val="en-US" w:eastAsia="zh-CN"/>
              </w:rPr>
              <w:t>4</w:t>
            </w:r>
            <w:r>
              <w:rPr>
                <w:rFonts w:hint="eastAsia"/>
                <w:color w:val="auto"/>
                <w:sz w:val="24"/>
              </w:rPr>
              <w:t>0</w:t>
            </w:r>
            <w:r>
              <w:rPr>
                <w:color w:val="auto"/>
                <w:sz w:val="24"/>
              </w:rPr>
              <w:t>天</w:t>
            </w:r>
            <w:r>
              <w:rPr>
                <w:color w:val="auto"/>
                <w:sz w:val="24"/>
              </w:rPr>
              <w:t>，经计算得出厂区铲装每年产生粉尘量为</w:t>
            </w:r>
            <w:r>
              <w:rPr>
                <w:rFonts w:hint="eastAsia"/>
                <w:color w:val="auto"/>
                <w:sz w:val="24"/>
                <w:lang w:val="en-US" w:eastAsia="zh-CN"/>
              </w:rPr>
              <w:t>1.22</w:t>
            </w:r>
            <w:r>
              <w:rPr>
                <w:color w:val="auto"/>
                <w:sz w:val="24"/>
              </w:rPr>
              <w:t>t/a</w:t>
            </w:r>
            <w:r>
              <w:rPr>
                <w:color w:val="auto"/>
                <w:sz w:val="24"/>
              </w:rPr>
              <w:t>，通过临时水管洒水抑尘的方式可使粉尘排放量降低74%，则装卸排放的粉尘量为</w:t>
            </w:r>
            <w:r>
              <w:rPr>
                <w:rFonts w:hint="eastAsia"/>
                <w:color w:val="auto"/>
                <w:sz w:val="24"/>
              </w:rPr>
              <w:t>0.</w:t>
            </w:r>
            <w:r>
              <w:rPr>
                <w:rFonts w:hint="eastAsia"/>
                <w:color w:val="auto"/>
                <w:sz w:val="24"/>
                <w:lang w:val="en-US" w:eastAsia="zh-CN"/>
              </w:rPr>
              <w:t>32</w:t>
            </w:r>
            <w:r>
              <w:rPr>
                <w:color w:val="auto"/>
                <w:sz w:val="24"/>
              </w:rPr>
              <w:t>t</w:t>
            </w:r>
            <w:r>
              <w:rPr>
                <w:color w:val="auto"/>
                <w:sz w:val="24"/>
              </w:rPr>
              <w:t>/a。</w:t>
            </w:r>
          </w:p>
          <w:p w14:paraId="2B077839">
            <w:pPr>
              <w:spacing w:line="360" w:lineRule="auto"/>
              <w:ind w:firstLine="600" w:firstLineChars="250"/>
              <w:contextualSpacing/>
              <w:jc w:val="left"/>
              <w:rPr>
                <w:color w:val="auto"/>
                <w:sz w:val="24"/>
              </w:rPr>
            </w:pPr>
            <w:r>
              <w:rPr>
                <w:rFonts w:hint="eastAsia" w:hAnsi="宋体"/>
                <w:color w:val="auto"/>
                <w:sz w:val="24"/>
              </w:rPr>
              <w:t>（2）</w:t>
            </w:r>
            <w:r>
              <w:rPr>
                <w:color w:val="auto"/>
                <w:sz w:val="24"/>
              </w:rPr>
              <w:t>原料堆场扬尘</w:t>
            </w:r>
          </w:p>
          <w:p w14:paraId="024EFDF2">
            <w:pPr>
              <w:spacing w:line="360" w:lineRule="auto"/>
              <w:ind w:firstLine="480" w:firstLineChars="200"/>
              <w:jc w:val="left"/>
              <w:rPr>
                <w:bCs/>
                <w:color w:val="auto"/>
                <w:sz w:val="24"/>
              </w:rPr>
            </w:pPr>
            <w:r>
              <w:rPr>
                <w:bCs/>
                <w:color w:val="auto"/>
                <w:sz w:val="24"/>
              </w:rPr>
              <w:t>堆场粉尘计算公式如下：</w:t>
            </w:r>
          </w:p>
          <w:p w14:paraId="542F36AF">
            <w:pPr>
              <w:jc w:val="center"/>
              <w:rPr>
                <w:bCs/>
                <w:color w:val="auto"/>
                <w:sz w:val="24"/>
              </w:rPr>
            </w:pPr>
            <w:r>
              <w:rPr>
                <w:bCs/>
                <w:color w:val="auto"/>
                <w:sz w:val="24"/>
              </w:rPr>
              <w:t>Q=1.479×10</w:t>
            </w:r>
            <w:r>
              <w:rPr>
                <w:bCs/>
                <w:color w:val="auto"/>
                <w:sz w:val="24"/>
                <w:vertAlign w:val="superscript"/>
              </w:rPr>
              <w:t>-2</w:t>
            </w:r>
            <w:r>
              <w:rPr>
                <w:bCs/>
                <w:color w:val="auto"/>
                <w:sz w:val="24"/>
              </w:rPr>
              <w:t>×e</w:t>
            </w:r>
            <w:r>
              <w:rPr>
                <w:bCs/>
                <w:color w:val="auto"/>
                <w:sz w:val="24"/>
                <w:vertAlign w:val="superscript"/>
              </w:rPr>
              <w:t>-0.43w</w:t>
            </w:r>
            <w:r>
              <w:rPr>
                <w:bCs/>
                <w:color w:val="auto"/>
                <w:sz w:val="24"/>
              </w:rPr>
              <w:t>×Ap</w:t>
            </w:r>
          </w:p>
          <w:p w14:paraId="3F777A0E">
            <w:pPr>
              <w:spacing w:line="360" w:lineRule="auto"/>
              <w:ind w:firstLine="480" w:firstLineChars="200"/>
              <w:rPr>
                <w:bCs/>
                <w:color w:val="auto"/>
                <w:sz w:val="24"/>
              </w:rPr>
            </w:pPr>
            <w:r>
              <w:rPr>
                <w:bCs/>
                <w:color w:val="auto"/>
                <w:sz w:val="24"/>
              </w:rPr>
              <w:t>式中：Q——起尘量，mg/s；</w:t>
            </w:r>
          </w:p>
          <w:p w14:paraId="22F6D937">
            <w:pPr>
              <w:spacing w:line="360" w:lineRule="auto"/>
              <w:ind w:firstLine="1200" w:firstLineChars="500"/>
              <w:rPr>
                <w:bCs/>
                <w:color w:val="auto"/>
                <w:sz w:val="24"/>
              </w:rPr>
            </w:pPr>
            <w:r>
              <w:rPr>
                <w:bCs/>
                <w:color w:val="auto"/>
                <w:sz w:val="24"/>
              </w:rPr>
              <w:t>W——物料含水率，%，本项目取</w:t>
            </w:r>
            <w:r>
              <w:rPr>
                <w:rFonts w:hint="eastAsia"/>
                <w:bCs/>
                <w:color w:val="auto"/>
                <w:sz w:val="24"/>
              </w:rPr>
              <w:t>5</w:t>
            </w:r>
            <w:r>
              <w:rPr>
                <w:bCs/>
                <w:color w:val="auto"/>
                <w:sz w:val="24"/>
              </w:rPr>
              <w:t>%；</w:t>
            </w:r>
          </w:p>
          <w:p w14:paraId="2934A70B">
            <w:pPr>
              <w:spacing w:line="360" w:lineRule="auto"/>
              <w:ind w:firstLine="1200" w:firstLineChars="500"/>
              <w:rPr>
                <w:bCs/>
                <w:color w:val="auto"/>
                <w:sz w:val="24"/>
              </w:rPr>
            </w:pPr>
            <w:r>
              <w:rPr>
                <w:bCs/>
                <w:color w:val="auto"/>
                <w:sz w:val="24"/>
              </w:rPr>
              <w:t>Ap——面积，m</w:t>
            </w:r>
            <w:r>
              <w:rPr>
                <w:bCs/>
                <w:color w:val="auto"/>
                <w:sz w:val="24"/>
                <w:vertAlign w:val="superscript"/>
              </w:rPr>
              <w:t>2</w:t>
            </w:r>
            <w:r>
              <w:rPr>
                <w:bCs/>
                <w:color w:val="auto"/>
                <w:sz w:val="24"/>
              </w:rPr>
              <w:t>，本项目堆场总面积取</w:t>
            </w:r>
            <w:r>
              <w:rPr>
                <w:rFonts w:hint="eastAsia"/>
                <w:bCs/>
                <w:color w:val="auto"/>
                <w:sz w:val="24"/>
              </w:rPr>
              <w:t>1</w:t>
            </w:r>
            <w:r>
              <w:rPr>
                <w:rFonts w:hint="eastAsia"/>
                <w:bCs/>
                <w:color w:val="auto"/>
                <w:sz w:val="24"/>
                <w:lang w:val="en-US" w:eastAsia="zh-CN"/>
              </w:rPr>
              <w:t>1</w:t>
            </w:r>
            <w:r>
              <w:rPr>
                <w:rFonts w:hint="eastAsia"/>
                <w:bCs/>
                <w:color w:val="auto"/>
                <w:sz w:val="24"/>
              </w:rPr>
              <w:t>0</w:t>
            </w:r>
            <w:r>
              <w:rPr>
                <w:bCs/>
                <w:color w:val="auto"/>
                <w:sz w:val="24"/>
              </w:rPr>
              <w:t>00m</w:t>
            </w:r>
            <w:r>
              <w:rPr>
                <w:bCs/>
                <w:color w:val="auto"/>
                <w:sz w:val="24"/>
                <w:vertAlign w:val="superscript"/>
              </w:rPr>
              <w:t>2</w:t>
            </w:r>
            <w:r>
              <w:rPr>
                <w:bCs/>
                <w:color w:val="auto"/>
                <w:sz w:val="24"/>
              </w:rPr>
              <w:t>。</w:t>
            </w:r>
          </w:p>
          <w:p w14:paraId="6A1D8A36">
            <w:pPr>
              <w:pStyle w:val="135"/>
              <w:ind w:firstLine="600" w:firstLineChars="250"/>
              <w:rPr>
                <w:bCs/>
                <w:color w:val="auto"/>
                <w:sz w:val="24"/>
              </w:rPr>
            </w:pPr>
            <w:r>
              <w:rPr>
                <w:bCs/>
                <w:color w:val="auto"/>
                <w:sz w:val="24"/>
              </w:rPr>
              <w:t>经计算，堆场起尘量约为</w:t>
            </w:r>
            <w:r>
              <w:rPr>
                <w:rFonts w:hint="eastAsia"/>
                <w:bCs/>
                <w:color w:val="auto"/>
                <w:sz w:val="24"/>
              </w:rPr>
              <w:t>17.2</w:t>
            </w:r>
            <w:r>
              <w:rPr>
                <w:bCs/>
                <w:color w:val="auto"/>
                <w:sz w:val="24"/>
              </w:rPr>
              <w:t>mg/s，</w:t>
            </w:r>
            <w:r>
              <w:rPr>
                <w:rFonts w:hint="eastAsia"/>
                <w:bCs/>
                <w:color w:val="auto"/>
                <w:sz w:val="24"/>
              </w:rPr>
              <w:t>0.4</w:t>
            </w:r>
            <w:r>
              <w:rPr>
                <w:bCs/>
                <w:color w:val="auto"/>
                <w:sz w:val="24"/>
              </w:rPr>
              <w:t>t/a；堆场</w:t>
            </w:r>
            <w:r>
              <w:rPr>
                <w:rFonts w:hint="eastAsia"/>
                <w:bCs/>
                <w:color w:val="auto"/>
                <w:sz w:val="24"/>
              </w:rPr>
              <w:t>每天洒水抑尘2次</w:t>
            </w:r>
            <w:r>
              <w:rPr>
                <w:bCs/>
                <w:color w:val="auto"/>
                <w:sz w:val="24"/>
              </w:rPr>
              <w:t>，</w:t>
            </w:r>
            <w:r>
              <w:rPr>
                <w:bCs/>
                <w:color w:val="auto"/>
                <w:spacing w:val="-6"/>
                <w:sz w:val="24"/>
              </w:rPr>
              <w:t>厂</w:t>
            </w:r>
            <w:r>
              <w:rPr>
                <w:rFonts w:hint="eastAsia"/>
                <w:bCs/>
                <w:color w:val="auto"/>
                <w:spacing w:val="-6"/>
                <w:sz w:val="24"/>
              </w:rPr>
              <w:t>侧</w:t>
            </w:r>
            <w:r>
              <w:rPr>
                <w:bCs/>
                <w:color w:val="auto"/>
                <w:spacing w:val="-6"/>
                <w:sz w:val="24"/>
              </w:rPr>
              <w:t>设置防风抑尘网</w:t>
            </w:r>
            <w:r>
              <w:rPr>
                <w:rFonts w:hint="eastAsia"/>
                <w:bCs/>
                <w:color w:val="auto"/>
                <w:spacing w:val="-6"/>
                <w:sz w:val="24"/>
                <w:lang w:eastAsia="zh-CN"/>
              </w:rPr>
              <w:t>，</w:t>
            </w:r>
            <w:r>
              <w:rPr>
                <w:bCs/>
                <w:color w:val="auto"/>
                <w:sz w:val="24"/>
              </w:rPr>
              <w:t>抑尘效率可达52%，采取洒水抑尘措施后堆场粉尘排放量为0.</w:t>
            </w:r>
            <w:r>
              <w:rPr>
                <w:rFonts w:hint="eastAsia"/>
                <w:bCs/>
                <w:color w:val="auto"/>
                <w:sz w:val="24"/>
              </w:rPr>
              <w:t>192</w:t>
            </w:r>
            <w:r>
              <w:rPr>
                <w:bCs/>
                <w:color w:val="auto"/>
                <w:sz w:val="24"/>
              </w:rPr>
              <w:t>t/a、</w:t>
            </w:r>
            <w:r>
              <w:rPr>
                <w:rFonts w:hint="eastAsia"/>
                <w:bCs/>
                <w:color w:val="auto"/>
                <w:sz w:val="24"/>
              </w:rPr>
              <w:t>0.03</w:t>
            </w:r>
            <w:r>
              <w:rPr>
                <w:bCs/>
                <w:color w:val="auto"/>
                <w:sz w:val="24"/>
              </w:rPr>
              <w:t>kg/h，堆场扬尘以</w:t>
            </w:r>
            <w:r>
              <w:rPr>
                <w:rFonts w:hint="eastAsia"/>
                <w:bCs/>
                <w:color w:val="auto"/>
                <w:sz w:val="24"/>
              </w:rPr>
              <w:t>24h计</w:t>
            </w:r>
            <w:r>
              <w:rPr>
                <w:bCs/>
                <w:color w:val="auto"/>
                <w:sz w:val="24"/>
              </w:rPr>
              <w:t>。</w:t>
            </w:r>
          </w:p>
          <w:p w14:paraId="4F70D177">
            <w:pPr>
              <w:pStyle w:val="135"/>
              <w:ind w:firstLine="480"/>
              <w:rPr>
                <w:bCs/>
                <w:color w:val="auto"/>
                <w:sz w:val="24"/>
              </w:rPr>
            </w:pPr>
            <w:r>
              <w:rPr>
                <w:rFonts w:hint="eastAsia"/>
                <w:bCs/>
                <w:color w:val="auto"/>
                <w:sz w:val="24"/>
              </w:rPr>
              <w:t>（3）上料过程未收集粉尘</w:t>
            </w:r>
          </w:p>
          <w:p w14:paraId="4D55B547">
            <w:pPr>
              <w:spacing w:line="360" w:lineRule="auto"/>
              <w:ind w:firstLine="480" w:firstLineChars="200"/>
              <w:contextualSpacing/>
              <w:jc w:val="left"/>
              <w:rPr>
                <w:rFonts w:hAnsi="宋体"/>
                <w:color w:val="auto"/>
                <w:sz w:val="24"/>
              </w:rPr>
            </w:pPr>
            <w:r>
              <w:rPr>
                <w:rFonts w:hAnsi="宋体"/>
                <w:color w:val="auto"/>
                <w:sz w:val="24"/>
              </w:rPr>
              <w:t>上料过程颗粒物最大产生量为0.</w:t>
            </w:r>
            <w:r>
              <w:rPr>
                <w:rFonts w:hint="eastAsia" w:hAnsi="宋体"/>
                <w:color w:val="auto"/>
                <w:sz w:val="24"/>
                <w:lang w:val="en-US" w:eastAsia="zh-CN"/>
              </w:rPr>
              <w:t>21</w:t>
            </w:r>
            <w:r>
              <w:rPr>
                <w:rFonts w:hAnsi="宋体"/>
                <w:color w:val="auto"/>
                <w:sz w:val="24"/>
              </w:rPr>
              <w:t>t/a，在冷料仓</w:t>
            </w:r>
            <w:r>
              <w:rPr>
                <w:rFonts w:hint="eastAsia" w:hAnsi="宋体"/>
                <w:color w:val="auto"/>
                <w:sz w:val="24"/>
              </w:rPr>
              <w:t>设置集气装置</w:t>
            </w:r>
            <w:r>
              <w:rPr>
                <w:rFonts w:hAnsi="宋体"/>
                <w:color w:val="auto"/>
                <w:sz w:val="24"/>
              </w:rPr>
              <w:t>（集气效率</w:t>
            </w:r>
            <w:r>
              <w:rPr>
                <w:rFonts w:hint="eastAsia" w:hAnsi="宋体"/>
                <w:color w:val="auto"/>
                <w:sz w:val="24"/>
              </w:rPr>
              <w:t>90%</w:t>
            </w:r>
            <w:r>
              <w:rPr>
                <w:rFonts w:hAnsi="宋体"/>
                <w:color w:val="auto"/>
                <w:sz w:val="24"/>
              </w:rPr>
              <w:t>），无组织排放粉尘量为</w:t>
            </w:r>
            <w:r>
              <w:rPr>
                <w:rFonts w:hint="eastAsia" w:hAnsi="宋体"/>
                <w:color w:val="auto"/>
                <w:sz w:val="24"/>
              </w:rPr>
              <w:t>0.0</w:t>
            </w:r>
            <w:r>
              <w:rPr>
                <w:rFonts w:hint="eastAsia" w:hAnsi="宋体"/>
                <w:color w:val="auto"/>
                <w:sz w:val="24"/>
                <w:lang w:val="en-US" w:eastAsia="zh-CN"/>
              </w:rPr>
              <w:t>21</w:t>
            </w:r>
            <w:r>
              <w:rPr>
                <w:rFonts w:hAnsi="宋体"/>
                <w:color w:val="auto"/>
                <w:sz w:val="24"/>
              </w:rPr>
              <w:t>t/a，上料时间为</w:t>
            </w:r>
            <w:r>
              <w:rPr>
                <w:rFonts w:hint="eastAsia" w:hAnsi="宋体"/>
                <w:color w:val="auto"/>
                <w:sz w:val="24"/>
              </w:rPr>
              <w:t>2</w:t>
            </w:r>
            <w:r>
              <w:rPr>
                <w:rFonts w:hint="eastAsia" w:hAnsi="宋体"/>
                <w:color w:val="auto"/>
                <w:sz w:val="24"/>
                <w:lang w:val="en-US" w:eastAsia="zh-CN"/>
              </w:rPr>
              <w:t>4</w:t>
            </w:r>
            <w:r>
              <w:rPr>
                <w:rFonts w:hint="eastAsia" w:hAnsi="宋体"/>
                <w:color w:val="auto"/>
                <w:sz w:val="24"/>
              </w:rPr>
              <w:t>00h，排放速率为</w:t>
            </w:r>
            <w:r>
              <w:rPr>
                <w:rFonts w:hint="eastAsia" w:hAnsi="宋体"/>
                <w:color w:val="auto"/>
                <w:sz w:val="24"/>
              </w:rPr>
              <w:t>0.00</w:t>
            </w:r>
            <w:r>
              <w:rPr>
                <w:rFonts w:hint="eastAsia" w:hAnsi="宋体"/>
                <w:color w:val="auto"/>
                <w:sz w:val="24"/>
                <w:lang w:val="en-US" w:eastAsia="zh-CN"/>
              </w:rPr>
              <w:t>87</w:t>
            </w:r>
            <w:r>
              <w:rPr>
                <w:rFonts w:hint="eastAsia" w:hAnsi="宋体"/>
                <w:color w:val="auto"/>
                <w:sz w:val="24"/>
              </w:rPr>
              <w:t>kg/h。</w:t>
            </w:r>
          </w:p>
          <w:p w14:paraId="11400C28">
            <w:pPr>
              <w:pStyle w:val="135"/>
              <w:ind w:firstLine="480"/>
              <w:rPr>
                <w:color w:val="auto"/>
                <w:sz w:val="24"/>
              </w:rPr>
            </w:pPr>
            <w:r>
              <w:rPr>
                <w:color w:val="auto"/>
                <w:sz w:val="24"/>
              </w:rPr>
              <w:t>全厂无组织粉尘排放量为</w:t>
            </w:r>
            <w:r>
              <w:rPr>
                <w:rFonts w:hint="eastAsia"/>
                <w:color w:val="auto"/>
                <w:sz w:val="24"/>
              </w:rPr>
              <w:t>0.</w:t>
            </w:r>
            <w:r>
              <w:rPr>
                <w:rFonts w:hint="eastAsia"/>
                <w:color w:val="auto"/>
                <w:sz w:val="24"/>
                <w:lang w:val="en-US" w:eastAsia="zh-CN"/>
              </w:rPr>
              <w:t>533</w:t>
            </w:r>
            <w:r>
              <w:rPr>
                <w:color w:val="auto"/>
                <w:sz w:val="24"/>
              </w:rPr>
              <w:t>t/a。</w:t>
            </w:r>
          </w:p>
          <w:p w14:paraId="49A056B5">
            <w:pPr>
              <w:pStyle w:val="65"/>
              <w:ind w:firstLine="0" w:firstLineChars="0"/>
              <w:outlineLvl w:val="2"/>
              <w:rPr>
                <w:snapToGrid w:val="0"/>
                <w:color w:val="auto"/>
                <w:kern w:val="0"/>
              </w:rPr>
            </w:pPr>
            <w:r>
              <w:rPr>
                <w:snapToGrid w:val="0"/>
                <w:color w:val="auto"/>
                <w:kern w:val="0"/>
              </w:rPr>
              <w:t>2.7.</w:t>
            </w:r>
            <w:r>
              <w:rPr>
                <w:rFonts w:hint="eastAsia"/>
                <w:snapToGrid w:val="0"/>
                <w:color w:val="auto"/>
                <w:kern w:val="0"/>
              </w:rPr>
              <w:t>3</w:t>
            </w:r>
            <w:r>
              <w:rPr>
                <w:color w:val="auto"/>
              </w:rPr>
              <w:t>本项目非正常工况</w:t>
            </w:r>
          </w:p>
          <w:p w14:paraId="7850C578">
            <w:pPr>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ascii="宋体" w:hAnsi="宋体"/>
                <w:color w:val="auto"/>
                <w:sz w:val="24"/>
              </w:rPr>
              <w:t>①</w:t>
            </w:r>
            <w:r>
              <w:rPr>
                <w:color w:val="auto"/>
                <w:sz w:val="24"/>
              </w:rPr>
              <w:fldChar w:fldCharType="end"/>
            </w:r>
            <w:r>
              <w:rPr>
                <w:rFonts w:hAnsi="宋体"/>
                <w:color w:val="auto"/>
                <w:sz w:val="24"/>
              </w:rPr>
              <w:t>粉尘</w:t>
            </w:r>
          </w:p>
          <w:p w14:paraId="3B11C982">
            <w:pPr>
              <w:pStyle w:val="65"/>
              <w:jc w:val="left"/>
              <w:rPr>
                <w:color w:val="auto"/>
              </w:rPr>
            </w:pPr>
            <w:r>
              <w:rPr>
                <w:rFonts w:hAnsi="宋体"/>
                <w:color w:val="auto"/>
              </w:rPr>
              <w:t>假定除尘系统布袋破损，</w:t>
            </w:r>
            <w:r>
              <w:rPr>
                <w:rFonts w:hint="eastAsia" w:hAnsi="宋体"/>
                <w:color w:val="auto"/>
                <w:sz w:val="24"/>
                <w:lang w:val="en-US" w:eastAsia="zh-CN"/>
              </w:rPr>
              <w:t>除尘</w:t>
            </w:r>
            <w:r>
              <w:rPr>
                <w:rFonts w:hAnsi="宋体"/>
                <w:color w:val="auto"/>
                <w:sz w:val="24"/>
              </w:rPr>
              <w:t>效率按</w:t>
            </w:r>
            <w:r>
              <w:rPr>
                <w:color w:val="auto"/>
                <w:sz w:val="24"/>
              </w:rPr>
              <w:t>50%</w:t>
            </w:r>
            <w:r>
              <w:rPr>
                <w:rFonts w:hAnsi="宋体"/>
                <w:color w:val="auto"/>
                <w:sz w:val="24"/>
              </w:rPr>
              <w:t>考虑</w:t>
            </w:r>
            <w:r>
              <w:rPr>
                <w:color w:val="auto"/>
              </w:rPr>
              <w:t>。</w:t>
            </w:r>
          </w:p>
          <w:p w14:paraId="5A9C018D">
            <w:pPr>
              <w:spacing w:line="360" w:lineRule="auto"/>
              <w:ind w:firstLine="480" w:firstLineChars="200"/>
              <w:rPr>
                <w:color w:val="auto"/>
                <w:sz w:val="24"/>
                <w:lang w:bidi="zh-CN"/>
              </w:rPr>
            </w:pPr>
            <w:r>
              <w:rPr>
                <w:color w:val="auto"/>
                <w:sz w:val="24"/>
                <w:lang w:bidi="zh-CN"/>
              </w:rPr>
              <w:fldChar w:fldCharType="begin"/>
            </w:r>
            <w:r>
              <w:rPr>
                <w:color w:val="auto"/>
                <w:sz w:val="24"/>
                <w:lang w:bidi="zh-CN"/>
              </w:rPr>
              <w:instrText xml:space="preserve"> = 2 \* GB3 </w:instrText>
            </w:r>
            <w:r>
              <w:rPr>
                <w:color w:val="auto"/>
                <w:sz w:val="24"/>
                <w:lang w:bidi="zh-CN"/>
              </w:rPr>
              <w:fldChar w:fldCharType="separate"/>
            </w:r>
            <w:r>
              <w:rPr>
                <w:rFonts w:ascii="宋体" w:hAnsi="宋体"/>
                <w:color w:val="auto"/>
                <w:sz w:val="24"/>
                <w:lang w:bidi="zh-CN"/>
              </w:rPr>
              <w:t>②</w:t>
            </w:r>
            <w:r>
              <w:rPr>
                <w:color w:val="auto"/>
                <w:sz w:val="24"/>
                <w:lang w:bidi="zh-CN"/>
              </w:rPr>
              <w:fldChar w:fldCharType="end"/>
            </w:r>
            <w:r>
              <w:rPr>
                <w:rFonts w:hAnsi="宋体"/>
                <w:color w:val="auto"/>
                <w:sz w:val="24"/>
                <w:lang w:bidi="zh-CN"/>
              </w:rPr>
              <w:t>沥青烟、苯并</w:t>
            </w:r>
            <w:r>
              <w:rPr>
                <w:color w:val="auto"/>
                <w:sz w:val="24"/>
                <w:lang w:bidi="zh-CN"/>
              </w:rPr>
              <w:t>[a]</w:t>
            </w:r>
            <w:r>
              <w:rPr>
                <w:rFonts w:hAnsi="宋体"/>
                <w:color w:val="auto"/>
                <w:sz w:val="24"/>
                <w:lang w:bidi="zh-CN"/>
              </w:rPr>
              <w:t>芘、非甲烷总烃</w:t>
            </w:r>
          </w:p>
          <w:p w14:paraId="73A3E032">
            <w:pPr>
              <w:spacing w:line="360" w:lineRule="auto"/>
              <w:ind w:firstLine="480" w:firstLineChars="200"/>
              <w:rPr>
                <w:rFonts w:hAnsi="宋体"/>
                <w:color w:val="auto"/>
                <w:sz w:val="24"/>
              </w:rPr>
            </w:pPr>
            <w:r>
              <w:rPr>
                <w:rFonts w:hAnsi="宋体"/>
                <w:color w:val="auto"/>
                <w:sz w:val="24"/>
              </w:rPr>
              <w:t>当</w:t>
            </w:r>
            <w:r>
              <w:rPr>
                <w:rFonts w:hint="eastAsia" w:hAnsi="宋体"/>
                <w:color w:val="auto"/>
                <w:sz w:val="24"/>
              </w:rPr>
              <w:t>气浮旋流塔+三维一体化废气处理设备故障，废气</w:t>
            </w:r>
            <w:r>
              <w:rPr>
                <w:rFonts w:hAnsi="宋体"/>
                <w:color w:val="auto"/>
                <w:sz w:val="24"/>
              </w:rPr>
              <w:t>处理装置异味处理效率下降，</w:t>
            </w:r>
            <w:r>
              <w:rPr>
                <w:rFonts w:hint="eastAsia" w:hAnsi="宋体"/>
                <w:color w:val="auto"/>
                <w:sz w:val="24"/>
              </w:rPr>
              <w:t>处理</w:t>
            </w:r>
            <w:r>
              <w:rPr>
                <w:rFonts w:hAnsi="宋体"/>
                <w:color w:val="auto"/>
                <w:sz w:val="24"/>
              </w:rPr>
              <w:t>效率按</w:t>
            </w:r>
            <w:r>
              <w:rPr>
                <w:color w:val="auto"/>
                <w:sz w:val="24"/>
              </w:rPr>
              <w:t>50%</w:t>
            </w:r>
            <w:r>
              <w:rPr>
                <w:rFonts w:hAnsi="宋体"/>
                <w:color w:val="auto"/>
                <w:sz w:val="24"/>
              </w:rPr>
              <w:t>考虑，</w:t>
            </w:r>
            <w:r>
              <w:rPr>
                <w:rFonts w:hAnsi="宋体"/>
                <w:color w:val="auto"/>
                <w:sz w:val="24"/>
                <w:lang w:bidi="zh-CN"/>
              </w:rPr>
              <w:t>得出非正常工况下</w:t>
            </w:r>
            <w:r>
              <w:rPr>
                <w:color w:val="auto"/>
                <w:sz w:val="24"/>
                <w:lang w:bidi="zh-CN"/>
              </w:rPr>
              <w:t>沥青搅拌排气筒（</w:t>
            </w:r>
            <w:r>
              <w:rPr>
                <w:rFonts w:hint="eastAsia"/>
                <w:color w:val="auto"/>
                <w:sz w:val="24"/>
                <w:lang w:bidi="zh-CN"/>
              </w:rPr>
              <w:t>DA003</w:t>
            </w:r>
            <w:r>
              <w:rPr>
                <w:color w:val="auto"/>
                <w:sz w:val="24"/>
                <w:lang w:bidi="zh-CN"/>
              </w:rPr>
              <w:t>）</w:t>
            </w:r>
            <w:r>
              <w:rPr>
                <w:rFonts w:hAnsi="宋体"/>
                <w:color w:val="auto"/>
                <w:sz w:val="24"/>
                <w:lang w:bidi="zh-CN"/>
              </w:rPr>
              <w:t>沥青烟、苯并</w:t>
            </w:r>
            <w:r>
              <w:rPr>
                <w:color w:val="auto"/>
                <w:sz w:val="24"/>
                <w:lang w:bidi="zh-CN"/>
              </w:rPr>
              <w:t>[a]</w:t>
            </w:r>
            <w:r>
              <w:rPr>
                <w:rFonts w:hAnsi="宋体"/>
                <w:color w:val="auto"/>
                <w:sz w:val="24"/>
                <w:lang w:bidi="zh-CN"/>
              </w:rPr>
              <w:t>芘、非甲烷总烃排放速率分别为</w:t>
            </w:r>
            <w:r>
              <w:rPr>
                <w:rFonts w:hint="eastAsia"/>
                <w:color w:val="auto"/>
                <w:sz w:val="24"/>
                <w:lang w:bidi="zh-CN"/>
              </w:rPr>
              <w:t>0.44</w:t>
            </w:r>
            <w:r>
              <w:rPr>
                <w:color w:val="auto"/>
                <w:sz w:val="24"/>
                <w:lang w:bidi="zh-CN"/>
              </w:rPr>
              <w:t>kg/h</w:t>
            </w:r>
            <w:r>
              <w:rPr>
                <w:rFonts w:hAnsi="宋体"/>
                <w:color w:val="auto"/>
                <w:sz w:val="24"/>
                <w:lang w:bidi="zh-CN"/>
              </w:rPr>
              <w:t>、</w:t>
            </w:r>
            <w:r>
              <w:rPr>
                <w:rFonts w:hint="eastAsia"/>
                <w:color w:val="auto"/>
                <w:sz w:val="24"/>
              </w:rPr>
              <w:t>8.8</w:t>
            </w:r>
            <w:r>
              <w:rPr>
                <w:color w:val="auto"/>
                <w:sz w:val="24"/>
              </w:rPr>
              <w:t>×10</w:t>
            </w:r>
            <w:r>
              <w:rPr>
                <w:color w:val="auto"/>
                <w:sz w:val="24"/>
                <w:vertAlign w:val="superscript"/>
              </w:rPr>
              <w:t>-</w:t>
            </w:r>
            <w:r>
              <w:rPr>
                <w:rFonts w:hint="eastAsia"/>
                <w:color w:val="auto"/>
                <w:sz w:val="24"/>
                <w:vertAlign w:val="superscript"/>
              </w:rPr>
              <w:t>5</w:t>
            </w:r>
            <w:r>
              <w:rPr>
                <w:color w:val="auto"/>
                <w:sz w:val="24"/>
              </w:rPr>
              <w:t>kg/h、</w:t>
            </w:r>
            <w:r>
              <w:rPr>
                <w:rFonts w:hint="eastAsia"/>
                <w:color w:val="auto"/>
                <w:sz w:val="24"/>
              </w:rPr>
              <w:t>0.026</w:t>
            </w:r>
            <w:r>
              <w:rPr>
                <w:color w:val="auto"/>
                <w:sz w:val="24"/>
              </w:rPr>
              <w:t>kg/h</w:t>
            </w:r>
            <w:r>
              <w:rPr>
                <w:rFonts w:hAnsi="宋体"/>
                <w:color w:val="auto"/>
                <w:sz w:val="24"/>
              </w:rPr>
              <w:t>。</w:t>
            </w:r>
          </w:p>
          <w:p w14:paraId="70CE7114">
            <w:pPr>
              <w:pStyle w:val="90"/>
              <w:spacing w:line="240" w:lineRule="auto"/>
              <w:rPr>
                <w:rFonts w:eastAsia="宋体"/>
                <w:b/>
                <w:color w:val="auto"/>
                <w:szCs w:val="24"/>
              </w:rPr>
            </w:pPr>
            <w:r>
              <w:rPr>
                <w:rFonts w:eastAsia="宋体"/>
                <w:b/>
                <w:color w:val="auto"/>
                <w:szCs w:val="24"/>
              </w:rPr>
              <w:t>表</w:t>
            </w:r>
            <w:r>
              <w:rPr>
                <w:rFonts w:hint="eastAsia" w:eastAsia="宋体"/>
                <w:b/>
                <w:color w:val="auto"/>
                <w:szCs w:val="24"/>
                <w:lang w:val="en-US" w:eastAsia="zh-CN"/>
              </w:rPr>
              <w:t>4</w:t>
            </w:r>
            <w:r>
              <w:rPr>
                <w:rFonts w:eastAsia="宋体"/>
                <w:b/>
                <w:color w:val="auto"/>
                <w:szCs w:val="24"/>
              </w:rPr>
              <w:t>-</w:t>
            </w:r>
            <w:r>
              <w:rPr>
                <w:rFonts w:hint="eastAsia" w:eastAsia="宋体"/>
                <w:b/>
                <w:color w:val="auto"/>
                <w:szCs w:val="24"/>
              </w:rPr>
              <w:t xml:space="preserve">3 </w:t>
            </w:r>
            <w:r>
              <w:rPr>
                <w:rFonts w:eastAsia="宋体"/>
                <w:b/>
                <w:color w:val="auto"/>
                <w:szCs w:val="24"/>
              </w:rPr>
              <w:t>废气污染源强核算结果及相关参数一览表</w:t>
            </w:r>
          </w:p>
          <w:tbl>
            <w:tblPr>
              <w:tblStyle w:val="27"/>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319"/>
              <w:gridCol w:w="2"/>
              <w:gridCol w:w="1"/>
              <w:gridCol w:w="266"/>
              <w:gridCol w:w="2"/>
              <w:gridCol w:w="3"/>
              <w:gridCol w:w="800"/>
              <w:gridCol w:w="2"/>
              <w:gridCol w:w="5"/>
              <w:gridCol w:w="389"/>
              <w:gridCol w:w="2"/>
              <w:gridCol w:w="6"/>
              <w:gridCol w:w="568"/>
              <w:gridCol w:w="2"/>
              <w:gridCol w:w="7"/>
              <w:gridCol w:w="667"/>
              <w:gridCol w:w="9"/>
              <w:gridCol w:w="692"/>
              <w:gridCol w:w="3"/>
              <w:gridCol w:w="8"/>
              <w:gridCol w:w="1509"/>
              <w:gridCol w:w="3"/>
              <w:gridCol w:w="9"/>
              <w:gridCol w:w="520"/>
              <w:gridCol w:w="3"/>
              <w:gridCol w:w="2"/>
              <w:gridCol w:w="8"/>
              <w:gridCol w:w="583"/>
              <w:gridCol w:w="3"/>
              <w:gridCol w:w="11"/>
              <w:gridCol w:w="828"/>
              <w:gridCol w:w="15"/>
              <w:gridCol w:w="705"/>
              <w:gridCol w:w="5"/>
              <w:gridCol w:w="5"/>
              <w:gridCol w:w="6"/>
              <w:gridCol w:w="380"/>
              <w:gridCol w:w="5"/>
              <w:gridCol w:w="5"/>
              <w:gridCol w:w="12"/>
            </w:tblGrid>
            <w:tr w14:paraId="2570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815" w:hRule="atLeast"/>
                <w:jc w:val="center"/>
              </w:trPr>
              <w:tc>
                <w:tcPr>
                  <w:tcW w:w="192" w:type="pct"/>
                  <w:gridSpan w:val="2"/>
                  <w:vMerge w:val="restart"/>
                  <w:vAlign w:val="center"/>
                </w:tcPr>
                <w:p w14:paraId="7AA2A025">
                  <w:pPr>
                    <w:contextualSpacing/>
                    <w:jc w:val="center"/>
                    <w:rPr>
                      <w:color w:val="auto"/>
                      <w:sz w:val="18"/>
                      <w:szCs w:val="18"/>
                    </w:rPr>
                  </w:pPr>
                  <w:r>
                    <w:rPr>
                      <w:rFonts w:hAnsi="宋体"/>
                      <w:color w:val="auto"/>
                      <w:sz w:val="18"/>
                      <w:szCs w:val="18"/>
                    </w:rPr>
                    <w:t>工序</w:t>
                  </w:r>
                </w:p>
              </w:tc>
              <w:tc>
                <w:tcPr>
                  <w:tcW w:w="161" w:type="pct"/>
                  <w:gridSpan w:val="3"/>
                  <w:vMerge w:val="restart"/>
                  <w:vAlign w:val="center"/>
                </w:tcPr>
                <w:p w14:paraId="5AD3A9AF">
                  <w:pPr>
                    <w:contextualSpacing/>
                    <w:jc w:val="center"/>
                    <w:rPr>
                      <w:color w:val="auto"/>
                      <w:sz w:val="18"/>
                      <w:szCs w:val="18"/>
                    </w:rPr>
                  </w:pPr>
                  <w:r>
                    <w:rPr>
                      <w:rFonts w:hAnsi="宋体"/>
                      <w:color w:val="auto"/>
                      <w:sz w:val="18"/>
                      <w:szCs w:val="18"/>
                    </w:rPr>
                    <w:t>装置</w:t>
                  </w:r>
                </w:p>
              </w:tc>
              <w:tc>
                <w:tcPr>
                  <w:tcW w:w="481" w:type="pct"/>
                  <w:gridSpan w:val="3"/>
                  <w:vMerge w:val="restart"/>
                  <w:vAlign w:val="center"/>
                </w:tcPr>
                <w:p w14:paraId="1B1DCA37">
                  <w:pPr>
                    <w:contextualSpacing/>
                    <w:jc w:val="center"/>
                    <w:rPr>
                      <w:color w:val="auto"/>
                      <w:sz w:val="18"/>
                      <w:szCs w:val="18"/>
                    </w:rPr>
                  </w:pPr>
                  <w:r>
                    <w:rPr>
                      <w:rFonts w:hAnsi="宋体"/>
                      <w:color w:val="auto"/>
                      <w:sz w:val="18"/>
                      <w:szCs w:val="18"/>
                    </w:rPr>
                    <w:t>污染源</w:t>
                  </w:r>
                </w:p>
              </w:tc>
              <w:tc>
                <w:tcPr>
                  <w:tcW w:w="237" w:type="pct"/>
                  <w:gridSpan w:val="3"/>
                  <w:vMerge w:val="restart"/>
                  <w:vAlign w:val="center"/>
                </w:tcPr>
                <w:p w14:paraId="479484AA">
                  <w:pPr>
                    <w:contextualSpacing/>
                    <w:jc w:val="center"/>
                    <w:rPr>
                      <w:color w:val="auto"/>
                      <w:sz w:val="18"/>
                      <w:szCs w:val="18"/>
                    </w:rPr>
                  </w:pPr>
                  <w:r>
                    <w:rPr>
                      <w:rFonts w:hAnsi="宋体"/>
                      <w:color w:val="auto"/>
                      <w:sz w:val="18"/>
                      <w:szCs w:val="18"/>
                    </w:rPr>
                    <w:t>污染物</w:t>
                  </w:r>
                </w:p>
              </w:tc>
              <w:tc>
                <w:tcPr>
                  <w:tcW w:w="1168" w:type="pct"/>
                  <w:gridSpan w:val="9"/>
                  <w:vAlign w:val="center"/>
                </w:tcPr>
                <w:p w14:paraId="3FACCFB4">
                  <w:pPr>
                    <w:contextualSpacing/>
                    <w:jc w:val="center"/>
                    <w:rPr>
                      <w:color w:val="auto"/>
                      <w:sz w:val="18"/>
                      <w:szCs w:val="18"/>
                    </w:rPr>
                  </w:pPr>
                  <w:r>
                    <w:rPr>
                      <w:rFonts w:hAnsi="宋体"/>
                      <w:color w:val="auto"/>
                      <w:sz w:val="18"/>
                      <w:szCs w:val="18"/>
                    </w:rPr>
                    <w:t>污染物产生</w:t>
                  </w:r>
                </w:p>
              </w:tc>
              <w:tc>
                <w:tcPr>
                  <w:tcW w:w="1227" w:type="pct"/>
                  <w:gridSpan w:val="7"/>
                  <w:vAlign w:val="center"/>
                </w:tcPr>
                <w:p w14:paraId="3CA6E14D">
                  <w:pPr>
                    <w:contextualSpacing/>
                    <w:jc w:val="center"/>
                    <w:rPr>
                      <w:color w:val="auto"/>
                      <w:sz w:val="18"/>
                      <w:szCs w:val="18"/>
                    </w:rPr>
                  </w:pPr>
                  <w:r>
                    <w:rPr>
                      <w:rFonts w:hAnsi="宋体"/>
                      <w:color w:val="auto"/>
                      <w:sz w:val="18"/>
                      <w:szCs w:val="18"/>
                    </w:rPr>
                    <w:t>治理措施</w:t>
                  </w:r>
                </w:p>
              </w:tc>
              <w:tc>
                <w:tcPr>
                  <w:tcW w:w="1292" w:type="pct"/>
                  <w:gridSpan w:val="9"/>
                  <w:vAlign w:val="center"/>
                </w:tcPr>
                <w:p w14:paraId="0B0D0D90">
                  <w:pPr>
                    <w:contextualSpacing/>
                    <w:jc w:val="center"/>
                    <w:rPr>
                      <w:color w:val="auto"/>
                      <w:sz w:val="18"/>
                      <w:szCs w:val="18"/>
                    </w:rPr>
                  </w:pPr>
                  <w:r>
                    <w:rPr>
                      <w:rFonts w:hAnsi="宋体"/>
                      <w:color w:val="auto"/>
                      <w:sz w:val="18"/>
                      <w:szCs w:val="18"/>
                    </w:rPr>
                    <w:t>污染物排放</w:t>
                  </w:r>
                </w:p>
              </w:tc>
              <w:tc>
                <w:tcPr>
                  <w:tcW w:w="237" w:type="pct"/>
                  <w:gridSpan w:val="4"/>
                  <w:vAlign w:val="center"/>
                </w:tcPr>
                <w:p w14:paraId="227ECA15">
                  <w:pPr>
                    <w:contextualSpacing/>
                    <w:jc w:val="center"/>
                    <w:rPr>
                      <w:color w:val="auto"/>
                      <w:sz w:val="18"/>
                      <w:szCs w:val="18"/>
                    </w:rPr>
                  </w:pPr>
                  <w:r>
                    <w:rPr>
                      <w:rFonts w:hAnsi="宋体"/>
                      <w:color w:val="auto"/>
                      <w:spacing w:val="-20"/>
                      <w:sz w:val="18"/>
                      <w:szCs w:val="18"/>
                    </w:rPr>
                    <w:t>工作时间</w:t>
                  </w:r>
                  <w:r>
                    <w:rPr>
                      <w:color w:val="auto"/>
                      <w:spacing w:val="-20"/>
                      <w:sz w:val="18"/>
                      <w:szCs w:val="18"/>
                    </w:rPr>
                    <w:t>h</w:t>
                  </w:r>
                </w:p>
              </w:tc>
            </w:tr>
            <w:tr w14:paraId="3099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098B9EF9">
                  <w:pPr>
                    <w:contextualSpacing/>
                    <w:jc w:val="center"/>
                    <w:rPr>
                      <w:color w:val="auto"/>
                      <w:sz w:val="18"/>
                      <w:szCs w:val="18"/>
                    </w:rPr>
                  </w:pPr>
                </w:p>
              </w:tc>
              <w:tc>
                <w:tcPr>
                  <w:tcW w:w="161" w:type="pct"/>
                  <w:gridSpan w:val="3"/>
                  <w:vMerge w:val="continue"/>
                  <w:vAlign w:val="center"/>
                </w:tcPr>
                <w:p w14:paraId="5B1DEF53">
                  <w:pPr>
                    <w:contextualSpacing/>
                    <w:jc w:val="center"/>
                    <w:rPr>
                      <w:color w:val="auto"/>
                      <w:sz w:val="18"/>
                      <w:szCs w:val="18"/>
                    </w:rPr>
                  </w:pPr>
                </w:p>
              </w:tc>
              <w:tc>
                <w:tcPr>
                  <w:tcW w:w="481" w:type="pct"/>
                  <w:gridSpan w:val="3"/>
                  <w:vMerge w:val="continue"/>
                  <w:vAlign w:val="center"/>
                </w:tcPr>
                <w:p w14:paraId="7CC44EEF">
                  <w:pPr>
                    <w:contextualSpacing/>
                    <w:jc w:val="center"/>
                    <w:rPr>
                      <w:color w:val="auto"/>
                      <w:sz w:val="18"/>
                      <w:szCs w:val="18"/>
                    </w:rPr>
                  </w:pPr>
                </w:p>
              </w:tc>
              <w:tc>
                <w:tcPr>
                  <w:tcW w:w="237" w:type="pct"/>
                  <w:gridSpan w:val="3"/>
                  <w:vMerge w:val="continue"/>
                  <w:vAlign w:val="center"/>
                </w:tcPr>
                <w:p w14:paraId="0E4D04B8">
                  <w:pPr>
                    <w:contextualSpacing/>
                    <w:jc w:val="center"/>
                    <w:rPr>
                      <w:color w:val="auto"/>
                      <w:sz w:val="18"/>
                      <w:szCs w:val="18"/>
                    </w:rPr>
                  </w:pPr>
                </w:p>
              </w:tc>
              <w:tc>
                <w:tcPr>
                  <w:tcW w:w="344" w:type="pct"/>
                  <w:gridSpan w:val="3"/>
                  <w:vAlign w:val="center"/>
                </w:tcPr>
                <w:p w14:paraId="7A88200F">
                  <w:pPr>
                    <w:contextualSpacing/>
                    <w:jc w:val="center"/>
                    <w:rPr>
                      <w:color w:val="auto"/>
                      <w:sz w:val="18"/>
                      <w:szCs w:val="18"/>
                    </w:rPr>
                  </w:pPr>
                  <w:r>
                    <w:rPr>
                      <w:rFonts w:hAnsi="宋体"/>
                      <w:color w:val="auto"/>
                      <w:sz w:val="18"/>
                      <w:szCs w:val="18"/>
                    </w:rPr>
                    <w:t>废气产生量</w:t>
                  </w:r>
                  <w:r>
                    <w:rPr>
                      <w:color w:val="auto"/>
                      <w:sz w:val="18"/>
                      <w:szCs w:val="18"/>
                    </w:rPr>
                    <w:t>m</w:t>
                  </w:r>
                  <w:r>
                    <w:rPr>
                      <w:color w:val="auto"/>
                      <w:sz w:val="18"/>
                      <w:szCs w:val="18"/>
                      <w:vertAlign w:val="superscript"/>
                    </w:rPr>
                    <w:t>3</w:t>
                  </w:r>
                  <w:r>
                    <w:rPr>
                      <w:color w:val="auto"/>
                      <w:sz w:val="18"/>
                      <w:szCs w:val="18"/>
                    </w:rPr>
                    <w:t>/h</w:t>
                  </w:r>
                </w:p>
              </w:tc>
              <w:tc>
                <w:tcPr>
                  <w:tcW w:w="404" w:type="pct"/>
                  <w:gridSpan w:val="3"/>
                  <w:vAlign w:val="center"/>
                </w:tcPr>
                <w:p w14:paraId="193485E8">
                  <w:pPr>
                    <w:contextualSpacing/>
                    <w:jc w:val="center"/>
                    <w:rPr>
                      <w:color w:val="auto"/>
                      <w:sz w:val="18"/>
                      <w:szCs w:val="18"/>
                    </w:rPr>
                  </w:pPr>
                  <w:r>
                    <w:rPr>
                      <w:rFonts w:hAnsi="宋体"/>
                      <w:color w:val="auto"/>
                      <w:sz w:val="18"/>
                      <w:szCs w:val="18"/>
                    </w:rPr>
                    <w:t>产生浓度</w:t>
                  </w:r>
                  <w:r>
                    <w:rPr>
                      <w:color w:val="auto"/>
                      <w:sz w:val="18"/>
                      <w:szCs w:val="18"/>
                    </w:rPr>
                    <w:t>mg/m</w:t>
                  </w:r>
                  <w:r>
                    <w:rPr>
                      <w:color w:val="auto"/>
                      <w:sz w:val="18"/>
                      <w:szCs w:val="18"/>
                      <w:vertAlign w:val="superscript"/>
                    </w:rPr>
                    <w:t>3</w:t>
                  </w:r>
                </w:p>
              </w:tc>
              <w:tc>
                <w:tcPr>
                  <w:tcW w:w="419" w:type="pct"/>
                  <w:gridSpan w:val="2"/>
                  <w:vAlign w:val="center"/>
                </w:tcPr>
                <w:p w14:paraId="7C0918CB">
                  <w:pPr>
                    <w:contextualSpacing/>
                    <w:jc w:val="center"/>
                    <w:rPr>
                      <w:color w:val="auto"/>
                      <w:sz w:val="18"/>
                      <w:szCs w:val="18"/>
                    </w:rPr>
                  </w:pPr>
                  <w:r>
                    <w:rPr>
                      <w:rFonts w:hAnsi="宋体"/>
                      <w:color w:val="auto"/>
                      <w:sz w:val="18"/>
                      <w:szCs w:val="18"/>
                    </w:rPr>
                    <w:t>产生量</w:t>
                  </w:r>
                  <w:r>
                    <w:rPr>
                      <w:color w:val="auto"/>
                      <w:sz w:val="18"/>
                      <w:szCs w:val="18"/>
                    </w:rPr>
                    <w:t>kg/h</w:t>
                  </w:r>
                </w:p>
              </w:tc>
              <w:tc>
                <w:tcPr>
                  <w:tcW w:w="908" w:type="pct"/>
                  <w:gridSpan w:val="3"/>
                  <w:vAlign w:val="center"/>
                </w:tcPr>
                <w:p w14:paraId="3883781D">
                  <w:pPr>
                    <w:jc w:val="center"/>
                    <w:rPr>
                      <w:color w:val="auto"/>
                      <w:sz w:val="18"/>
                      <w:szCs w:val="18"/>
                    </w:rPr>
                  </w:pPr>
                  <w:r>
                    <w:rPr>
                      <w:rFonts w:hAnsi="宋体"/>
                      <w:color w:val="auto"/>
                      <w:sz w:val="18"/>
                      <w:szCs w:val="18"/>
                    </w:rPr>
                    <w:t>处理措施</w:t>
                  </w:r>
                </w:p>
              </w:tc>
              <w:tc>
                <w:tcPr>
                  <w:tcW w:w="318" w:type="pct"/>
                  <w:gridSpan w:val="3"/>
                  <w:vAlign w:val="center"/>
                </w:tcPr>
                <w:p w14:paraId="7A1B1EA6">
                  <w:pPr>
                    <w:jc w:val="center"/>
                    <w:rPr>
                      <w:color w:val="auto"/>
                      <w:sz w:val="18"/>
                      <w:szCs w:val="18"/>
                    </w:rPr>
                  </w:pPr>
                  <w:r>
                    <w:rPr>
                      <w:rFonts w:hAnsi="宋体"/>
                      <w:color w:val="auto"/>
                      <w:sz w:val="18"/>
                      <w:szCs w:val="18"/>
                    </w:rPr>
                    <w:t>处理</w:t>
                  </w:r>
                </w:p>
                <w:p w14:paraId="182B6D5B">
                  <w:pPr>
                    <w:jc w:val="center"/>
                    <w:rPr>
                      <w:color w:val="auto"/>
                      <w:sz w:val="18"/>
                      <w:szCs w:val="18"/>
                    </w:rPr>
                  </w:pPr>
                  <w:r>
                    <w:rPr>
                      <w:rFonts w:hAnsi="宋体"/>
                      <w:color w:val="auto"/>
                      <w:sz w:val="18"/>
                      <w:szCs w:val="18"/>
                    </w:rPr>
                    <w:t>效率</w:t>
                  </w:r>
                </w:p>
              </w:tc>
              <w:tc>
                <w:tcPr>
                  <w:tcW w:w="356" w:type="pct"/>
                  <w:gridSpan w:val="4"/>
                  <w:vAlign w:val="center"/>
                </w:tcPr>
                <w:p w14:paraId="6CF60A28">
                  <w:pPr>
                    <w:jc w:val="center"/>
                    <w:rPr>
                      <w:color w:val="auto"/>
                      <w:sz w:val="18"/>
                      <w:szCs w:val="18"/>
                    </w:rPr>
                  </w:pPr>
                  <w:r>
                    <w:rPr>
                      <w:rFonts w:hAnsi="宋体"/>
                      <w:color w:val="auto"/>
                      <w:sz w:val="18"/>
                      <w:szCs w:val="18"/>
                    </w:rPr>
                    <w:t>废气排放量</w:t>
                  </w:r>
                </w:p>
                <w:p w14:paraId="64A3208E">
                  <w:pPr>
                    <w:contextualSpacing/>
                    <w:jc w:val="center"/>
                    <w:rPr>
                      <w:color w:val="auto"/>
                      <w:sz w:val="18"/>
                      <w:szCs w:val="18"/>
                    </w:rPr>
                  </w:pPr>
                  <w:r>
                    <w:rPr>
                      <w:color w:val="auto"/>
                      <w:sz w:val="18"/>
                      <w:szCs w:val="18"/>
                    </w:rPr>
                    <w:t>m</w:t>
                  </w:r>
                  <w:r>
                    <w:rPr>
                      <w:color w:val="auto"/>
                      <w:sz w:val="18"/>
                      <w:szCs w:val="18"/>
                      <w:vertAlign w:val="superscript"/>
                    </w:rPr>
                    <w:t>3</w:t>
                  </w:r>
                  <w:r>
                    <w:rPr>
                      <w:color w:val="auto"/>
                      <w:sz w:val="18"/>
                      <w:szCs w:val="18"/>
                    </w:rPr>
                    <w:t>/h</w:t>
                  </w:r>
                </w:p>
              </w:tc>
              <w:tc>
                <w:tcPr>
                  <w:tcW w:w="503" w:type="pct"/>
                  <w:gridSpan w:val="3"/>
                  <w:vAlign w:val="center"/>
                </w:tcPr>
                <w:p w14:paraId="4FD167FA">
                  <w:pPr>
                    <w:contextualSpacing/>
                    <w:jc w:val="center"/>
                    <w:rPr>
                      <w:color w:val="auto"/>
                      <w:sz w:val="18"/>
                      <w:szCs w:val="18"/>
                    </w:rPr>
                  </w:pPr>
                  <w:r>
                    <w:rPr>
                      <w:rFonts w:hAnsi="宋体"/>
                      <w:color w:val="auto"/>
                      <w:sz w:val="18"/>
                      <w:szCs w:val="18"/>
                    </w:rPr>
                    <w:t>排放浓度</w:t>
                  </w:r>
                  <w:r>
                    <w:rPr>
                      <w:color w:val="auto"/>
                      <w:sz w:val="18"/>
                      <w:szCs w:val="18"/>
                    </w:rPr>
                    <w:t>mg/m</w:t>
                  </w:r>
                  <w:r>
                    <w:rPr>
                      <w:color w:val="auto"/>
                      <w:sz w:val="18"/>
                      <w:szCs w:val="18"/>
                      <w:vertAlign w:val="superscript"/>
                    </w:rPr>
                    <w:t>3</w:t>
                  </w:r>
                </w:p>
              </w:tc>
              <w:tc>
                <w:tcPr>
                  <w:tcW w:w="430" w:type="pct"/>
                  <w:gridSpan w:val="2"/>
                  <w:vAlign w:val="center"/>
                </w:tcPr>
                <w:p w14:paraId="2285570D">
                  <w:pPr>
                    <w:contextualSpacing/>
                    <w:jc w:val="center"/>
                    <w:rPr>
                      <w:color w:val="auto"/>
                      <w:sz w:val="18"/>
                      <w:szCs w:val="18"/>
                    </w:rPr>
                  </w:pPr>
                  <w:r>
                    <w:rPr>
                      <w:rFonts w:hAnsi="宋体"/>
                      <w:color w:val="auto"/>
                      <w:sz w:val="18"/>
                      <w:szCs w:val="18"/>
                    </w:rPr>
                    <w:t>排放</w:t>
                  </w:r>
                </w:p>
                <w:p w14:paraId="294F9249">
                  <w:pPr>
                    <w:contextualSpacing/>
                    <w:jc w:val="center"/>
                    <w:rPr>
                      <w:color w:val="auto"/>
                      <w:sz w:val="18"/>
                      <w:szCs w:val="18"/>
                    </w:rPr>
                  </w:pPr>
                  <w:r>
                    <w:rPr>
                      <w:rFonts w:hAnsi="宋体"/>
                      <w:color w:val="auto"/>
                      <w:sz w:val="18"/>
                      <w:szCs w:val="18"/>
                    </w:rPr>
                    <w:t>量</w:t>
                  </w:r>
                  <w:r>
                    <w:rPr>
                      <w:color w:val="auto"/>
                      <w:sz w:val="18"/>
                      <w:szCs w:val="18"/>
                    </w:rPr>
                    <w:t>kg/h</w:t>
                  </w:r>
                </w:p>
              </w:tc>
              <w:tc>
                <w:tcPr>
                  <w:tcW w:w="237" w:type="pct"/>
                  <w:gridSpan w:val="4"/>
                  <w:vAlign w:val="center"/>
                </w:tcPr>
                <w:p w14:paraId="1DC3ACAA">
                  <w:pPr>
                    <w:contextualSpacing/>
                    <w:jc w:val="center"/>
                    <w:rPr>
                      <w:color w:val="auto"/>
                      <w:sz w:val="18"/>
                      <w:szCs w:val="18"/>
                    </w:rPr>
                  </w:pPr>
                </w:p>
              </w:tc>
            </w:tr>
            <w:tr w14:paraId="2C1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restart"/>
                  <w:vAlign w:val="center"/>
                </w:tcPr>
                <w:p w14:paraId="38CC3CC7">
                  <w:pPr>
                    <w:contextualSpacing/>
                    <w:rPr>
                      <w:color w:val="auto"/>
                      <w:sz w:val="18"/>
                      <w:szCs w:val="18"/>
                    </w:rPr>
                  </w:pPr>
                  <w:r>
                    <w:rPr>
                      <w:rFonts w:hAnsi="宋体"/>
                      <w:color w:val="auto"/>
                      <w:sz w:val="18"/>
                      <w:szCs w:val="18"/>
                    </w:rPr>
                    <w:t>沥青搅拌站</w:t>
                  </w:r>
                </w:p>
              </w:tc>
              <w:tc>
                <w:tcPr>
                  <w:tcW w:w="161" w:type="pct"/>
                  <w:gridSpan w:val="3"/>
                  <w:vMerge w:val="restart"/>
                  <w:vAlign w:val="center"/>
                </w:tcPr>
                <w:p w14:paraId="4EEDAFE0">
                  <w:pPr>
                    <w:contextualSpacing/>
                    <w:jc w:val="center"/>
                    <w:rPr>
                      <w:color w:val="auto"/>
                      <w:spacing w:val="-14"/>
                      <w:sz w:val="18"/>
                      <w:szCs w:val="18"/>
                    </w:rPr>
                  </w:pPr>
                  <w:r>
                    <w:rPr>
                      <w:rFonts w:hAnsi="宋体"/>
                      <w:color w:val="auto"/>
                      <w:spacing w:val="-14"/>
                      <w:sz w:val="18"/>
                      <w:szCs w:val="18"/>
                    </w:rPr>
                    <w:t>燃烧器</w:t>
                  </w:r>
                </w:p>
              </w:tc>
              <w:tc>
                <w:tcPr>
                  <w:tcW w:w="481" w:type="pct"/>
                  <w:gridSpan w:val="3"/>
                  <w:vMerge w:val="restart"/>
                  <w:shd w:val="clear" w:color="auto" w:fill="auto"/>
                  <w:vAlign w:val="center"/>
                </w:tcPr>
                <w:p w14:paraId="087678ED">
                  <w:pPr>
                    <w:contextualSpacing/>
                    <w:jc w:val="center"/>
                    <w:rPr>
                      <w:color w:val="auto"/>
                      <w:sz w:val="18"/>
                      <w:szCs w:val="18"/>
                    </w:rPr>
                  </w:pPr>
                  <w:r>
                    <w:rPr>
                      <w:rFonts w:hint="eastAsia"/>
                      <w:color w:val="auto"/>
                      <w:sz w:val="18"/>
                      <w:szCs w:val="18"/>
                    </w:rPr>
                    <w:t>除尘</w:t>
                  </w:r>
                  <w:r>
                    <w:rPr>
                      <w:color w:val="auto"/>
                      <w:sz w:val="18"/>
                      <w:szCs w:val="18"/>
                    </w:rPr>
                    <w:t>系统烟囱（</w:t>
                  </w:r>
                  <w:r>
                    <w:rPr>
                      <w:rFonts w:hint="eastAsia"/>
                      <w:color w:val="auto"/>
                      <w:sz w:val="18"/>
                      <w:szCs w:val="18"/>
                    </w:rPr>
                    <w:t>DA001</w:t>
                  </w:r>
                  <w:r>
                    <w:rPr>
                      <w:color w:val="auto"/>
                      <w:sz w:val="18"/>
                      <w:szCs w:val="18"/>
                    </w:rPr>
                    <w:t>）</w:t>
                  </w:r>
                </w:p>
              </w:tc>
              <w:tc>
                <w:tcPr>
                  <w:tcW w:w="237" w:type="pct"/>
                  <w:gridSpan w:val="3"/>
                  <w:shd w:val="clear" w:color="auto" w:fill="auto"/>
                  <w:vAlign w:val="center"/>
                </w:tcPr>
                <w:p w14:paraId="3CB32A90">
                  <w:pPr>
                    <w:jc w:val="center"/>
                    <w:rPr>
                      <w:color w:val="auto"/>
                      <w:sz w:val="18"/>
                      <w:szCs w:val="18"/>
                    </w:rPr>
                  </w:pPr>
                  <w:r>
                    <w:rPr>
                      <w:color w:val="auto"/>
                      <w:sz w:val="18"/>
                      <w:szCs w:val="18"/>
                    </w:rPr>
                    <w:t>SO</w:t>
                  </w:r>
                  <w:r>
                    <w:rPr>
                      <w:color w:val="auto"/>
                      <w:sz w:val="18"/>
                      <w:szCs w:val="18"/>
                      <w:vertAlign w:val="subscript"/>
                    </w:rPr>
                    <w:t>2</w:t>
                  </w:r>
                </w:p>
              </w:tc>
              <w:tc>
                <w:tcPr>
                  <w:tcW w:w="344" w:type="pct"/>
                  <w:gridSpan w:val="3"/>
                  <w:vMerge w:val="restart"/>
                  <w:shd w:val="clear" w:color="auto" w:fill="FFFFFF"/>
                  <w:vAlign w:val="center"/>
                </w:tcPr>
                <w:p w14:paraId="60C13F81">
                  <w:pPr>
                    <w:shd w:val="clear" w:color="auto" w:fill="FFFFFF"/>
                    <w:contextualSpacing/>
                    <w:jc w:val="center"/>
                    <w:rPr>
                      <w:color w:val="auto"/>
                      <w:sz w:val="18"/>
                      <w:szCs w:val="18"/>
                    </w:rPr>
                  </w:pPr>
                  <w:r>
                    <w:rPr>
                      <w:rFonts w:hint="eastAsia"/>
                      <w:color w:val="auto"/>
                      <w:sz w:val="18"/>
                      <w:szCs w:val="18"/>
                    </w:rPr>
                    <w:t>14000</w:t>
                  </w:r>
                </w:p>
              </w:tc>
              <w:tc>
                <w:tcPr>
                  <w:tcW w:w="404" w:type="pct"/>
                  <w:gridSpan w:val="3"/>
                  <w:vAlign w:val="center"/>
                </w:tcPr>
                <w:p w14:paraId="70A7E338">
                  <w:pPr>
                    <w:contextualSpacing/>
                    <w:jc w:val="center"/>
                    <w:rPr>
                      <w:rFonts w:hint="eastAsia" w:eastAsia="宋体"/>
                      <w:color w:val="auto"/>
                      <w:sz w:val="18"/>
                      <w:szCs w:val="18"/>
                      <w:lang w:eastAsia="zh-CN"/>
                    </w:rPr>
                  </w:pPr>
                  <w:r>
                    <w:rPr>
                      <w:rFonts w:hint="eastAsia"/>
                      <w:color w:val="auto"/>
                      <w:sz w:val="18"/>
                      <w:szCs w:val="18"/>
                    </w:rPr>
                    <w:t>0.3</w:t>
                  </w:r>
                  <w:r>
                    <w:rPr>
                      <w:rFonts w:hint="eastAsia"/>
                      <w:color w:val="auto"/>
                      <w:sz w:val="18"/>
                      <w:szCs w:val="18"/>
                      <w:lang w:val="en-US" w:eastAsia="zh-CN"/>
                    </w:rPr>
                    <w:t>4</w:t>
                  </w:r>
                </w:p>
              </w:tc>
              <w:tc>
                <w:tcPr>
                  <w:tcW w:w="419" w:type="pct"/>
                  <w:gridSpan w:val="2"/>
                  <w:vAlign w:val="center"/>
                </w:tcPr>
                <w:p w14:paraId="2D64F66F">
                  <w:pPr>
                    <w:contextualSpacing/>
                    <w:jc w:val="center"/>
                    <w:rPr>
                      <w:color w:val="auto"/>
                      <w:sz w:val="18"/>
                      <w:szCs w:val="18"/>
                    </w:rPr>
                  </w:pPr>
                  <w:r>
                    <w:rPr>
                      <w:rFonts w:hint="eastAsia"/>
                      <w:color w:val="auto"/>
                      <w:sz w:val="18"/>
                      <w:szCs w:val="18"/>
                    </w:rPr>
                    <w:t>0.005</w:t>
                  </w:r>
                </w:p>
              </w:tc>
              <w:tc>
                <w:tcPr>
                  <w:tcW w:w="908" w:type="pct"/>
                  <w:gridSpan w:val="3"/>
                  <w:vMerge w:val="restart"/>
                  <w:vAlign w:val="center"/>
                </w:tcPr>
                <w:p w14:paraId="3FD522E9">
                  <w:pPr>
                    <w:contextualSpacing/>
                    <w:jc w:val="center"/>
                    <w:rPr>
                      <w:rFonts w:hAnsi="宋体"/>
                      <w:color w:val="auto"/>
                      <w:sz w:val="18"/>
                      <w:szCs w:val="18"/>
                    </w:rPr>
                  </w:pPr>
                  <w:r>
                    <w:rPr>
                      <w:rFonts w:hAnsi="宋体"/>
                      <w:color w:val="auto"/>
                      <w:sz w:val="18"/>
                      <w:szCs w:val="18"/>
                    </w:rPr>
                    <w:t>碎石筛分、烘干废气、热料仓落料废气、</w:t>
                  </w:r>
                  <w:r>
                    <w:rPr>
                      <w:rFonts w:hint="eastAsia" w:hAnsi="宋体"/>
                      <w:color w:val="auto"/>
                      <w:sz w:val="18"/>
                      <w:szCs w:val="18"/>
                    </w:rPr>
                    <w:t>矿粉筒仓装卸废气</w:t>
                  </w:r>
                  <w:r>
                    <w:rPr>
                      <w:rFonts w:hAnsi="宋体"/>
                      <w:color w:val="auto"/>
                      <w:sz w:val="18"/>
                      <w:szCs w:val="18"/>
                    </w:rPr>
                    <w:t>经</w:t>
                  </w:r>
                  <w:r>
                    <w:rPr>
                      <w:rFonts w:hint="eastAsia" w:hAnsi="宋体"/>
                      <w:color w:val="auto"/>
                      <w:sz w:val="18"/>
                      <w:szCs w:val="18"/>
                    </w:rPr>
                    <w:t>经除尘系统（重力+布袋）处理后，由20m高除尘系统烟囱（DA001）排放，除尘效率为99%</w:t>
                  </w:r>
                  <w:r>
                    <w:rPr>
                      <w:rFonts w:hAnsi="宋体"/>
                      <w:color w:val="auto"/>
                      <w:sz w:val="18"/>
                      <w:szCs w:val="18"/>
                    </w:rPr>
                    <w:t>旋风除尘器+布袋除尘器处理后，由</w:t>
                  </w:r>
                  <w:r>
                    <w:rPr>
                      <w:rFonts w:hint="eastAsia" w:hAnsi="宋体"/>
                      <w:color w:val="auto"/>
                      <w:sz w:val="18"/>
                      <w:szCs w:val="18"/>
                    </w:rPr>
                    <w:t>15</w:t>
                  </w:r>
                  <w:r>
                    <w:rPr>
                      <w:rFonts w:hAnsi="宋体"/>
                      <w:color w:val="auto"/>
                      <w:sz w:val="18"/>
                      <w:szCs w:val="18"/>
                    </w:rPr>
                    <w:t>m高燃烧器烟囱</w:t>
                  </w:r>
                  <w:r>
                    <w:rPr>
                      <w:rFonts w:hint="eastAsia" w:hAnsi="宋体"/>
                      <w:color w:val="auto"/>
                      <w:sz w:val="18"/>
                      <w:szCs w:val="18"/>
                    </w:rPr>
                    <w:t>（DA001）</w:t>
                  </w:r>
                  <w:r>
                    <w:rPr>
                      <w:rFonts w:hAnsi="宋体"/>
                      <w:color w:val="auto"/>
                      <w:sz w:val="18"/>
                      <w:szCs w:val="18"/>
                    </w:rPr>
                    <w:t>排放，除尘效率为99%；上料废气经</w:t>
                  </w:r>
                  <w:r>
                    <w:rPr>
                      <w:rFonts w:hint="eastAsia" w:hAnsi="宋体"/>
                      <w:color w:val="auto"/>
                      <w:sz w:val="18"/>
                      <w:szCs w:val="18"/>
                    </w:rPr>
                    <w:t>集气装置</w:t>
                  </w:r>
                  <w:r>
                    <w:rPr>
                      <w:rFonts w:hAnsi="宋体"/>
                      <w:color w:val="auto"/>
                      <w:sz w:val="18"/>
                      <w:szCs w:val="18"/>
                    </w:rPr>
                    <w:t>（集气效率</w:t>
                  </w:r>
                  <w:r>
                    <w:rPr>
                      <w:rFonts w:hint="eastAsia" w:hAnsi="宋体"/>
                      <w:color w:val="auto"/>
                      <w:sz w:val="18"/>
                      <w:szCs w:val="18"/>
                    </w:rPr>
                    <w:t>90%</w:t>
                  </w:r>
                  <w:r>
                    <w:rPr>
                      <w:rFonts w:hAnsi="宋体"/>
                      <w:color w:val="auto"/>
                      <w:sz w:val="18"/>
                      <w:szCs w:val="18"/>
                    </w:rPr>
                    <w:t>），</w:t>
                  </w:r>
                  <w:r>
                    <w:rPr>
                      <w:rFonts w:hint="eastAsia" w:hAnsi="宋体"/>
                      <w:color w:val="auto"/>
                      <w:sz w:val="18"/>
                      <w:szCs w:val="18"/>
                    </w:rPr>
                    <w:t>通过</w:t>
                  </w:r>
                  <w:r>
                    <w:rPr>
                      <w:rFonts w:hAnsi="宋体"/>
                      <w:color w:val="auto"/>
                      <w:sz w:val="18"/>
                      <w:szCs w:val="18"/>
                    </w:rPr>
                    <w:t>管道连接至除尘系统（重力</w:t>
                  </w:r>
                  <w:r>
                    <w:rPr>
                      <w:rFonts w:hint="eastAsia" w:hAnsi="宋体"/>
                      <w:color w:val="auto"/>
                      <w:sz w:val="18"/>
                      <w:szCs w:val="18"/>
                    </w:rPr>
                    <w:t>+布袋</w:t>
                  </w:r>
                  <w:r>
                    <w:rPr>
                      <w:rFonts w:hAnsi="宋体"/>
                      <w:color w:val="auto"/>
                      <w:sz w:val="18"/>
                      <w:szCs w:val="18"/>
                    </w:rPr>
                    <w:t>），处理后经除尘系统烟囱（</w:t>
                  </w:r>
                  <w:r>
                    <w:rPr>
                      <w:rFonts w:hint="eastAsia" w:hAnsi="宋体"/>
                      <w:color w:val="auto"/>
                      <w:sz w:val="18"/>
                      <w:szCs w:val="18"/>
                    </w:rPr>
                    <w:t>DA001</w:t>
                  </w:r>
                  <w:r>
                    <w:rPr>
                      <w:rFonts w:hAnsi="宋体"/>
                      <w:color w:val="auto"/>
                      <w:sz w:val="18"/>
                      <w:szCs w:val="18"/>
                    </w:rPr>
                    <w:t>）排放，除尘效率为99%；</w:t>
                  </w:r>
                  <w:r>
                    <w:rPr>
                      <w:rFonts w:hint="eastAsia" w:hAnsi="宋体"/>
                      <w:color w:val="auto"/>
                      <w:sz w:val="18"/>
                      <w:szCs w:val="18"/>
                    </w:rPr>
                    <w:t>燃天然气燃烧器烟气，通过管道连接至15m高除尘系统烟囱（DA001）排放；</w:t>
                  </w:r>
                </w:p>
              </w:tc>
              <w:tc>
                <w:tcPr>
                  <w:tcW w:w="318" w:type="pct"/>
                  <w:gridSpan w:val="3"/>
                  <w:vAlign w:val="center"/>
                </w:tcPr>
                <w:p w14:paraId="03DAEEF9">
                  <w:pPr>
                    <w:contextualSpacing/>
                    <w:jc w:val="center"/>
                    <w:rPr>
                      <w:color w:val="auto"/>
                      <w:spacing w:val="-6"/>
                      <w:sz w:val="18"/>
                      <w:szCs w:val="18"/>
                    </w:rPr>
                  </w:pPr>
                  <w:r>
                    <w:rPr>
                      <w:color w:val="auto"/>
                      <w:spacing w:val="-6"/>
                      <w:sz w:val="18"/>
                      <w:szCs w:val="18"/>
                    </w:rPr>
                    <w:t>/</w:t>
                  </w:r>
                </w:p>
              </w:tc>
              <w:tc>
                <w:tcPr>
                  <w:tcW w:w="356" w:type="pct"/>
                  <w:gridSpan w:val="4"/>
                  <w:vMerge w:val="restart"/>
                  <w:vAlign w:val="center"/>
                </w:tcPr>
                <w:p w14:paraId="72920BAC">
                  <w:pPr>
                    <w:contextualSpacing/>
                    <w:jc w:val="center"/>
                    <w:rPr>
                      <w:color w:val="auto"/>
                      <w:sz w:val="18"/>
                      <w:szCs w:val="18"/>
                    </w:rPr>
                  </w:pPr>
                </w:p>
                <w:p w14:paraId="48FF73A1">
                  <w:pPr>
                    <w:contextualSpacing/>
                    <w:jc w:val="center"/>
                    <w:rPr>
                      <w:color w:val="auto"/>
                      <w:sz w:val="18"/>
                      <w:szCs w:val="18"/>
                    </w:rPr>
                  </w:pPr>
                </w:p>
                <w:p w14:paraId="0F2B417F">
                  <w:pPr>
                    <w:contextualSpacing/>
                    <w:jc w:val="center"/>
                    <w:rPr>
                      <w:color w:val="auto"/>
                      <w:sz w:val="18"/>
                      <w:szCs w:val="18"/>
                    </w:rPr>
                  </w:pPr>
                  <w:r>
                    <w:rPr>
                      <w:rFonts w:hint="eastAsia"/>
                      <w:color w:val="auto"/>
                      <w:sz w:val="18"/>
                      <w:szCs w:val="18"/>
                    </w:rPr>
                    <w:t xml:space="preserve">39000                                                                                                                                                                                                                                                                                                                                                                                                                                                                                                                                                                                                                       </w:t>
                  </w:r>
                </w:p>
              </w:tc>
              <w:tc>
                <w:tcPr>
                  <w:tcW w:w="503" w:type="pct"/>
                  <w:gridSpan w:val="3"/>
                  <w:vAlign w:val="center"/>
                </w:tcPr>
                <w:p w14:paraId="1D410D49">
                  <w:pPr>
                    <w:contextualSpacing/>
                    <w:jc w:val="center"/>
                    <w:rPr>
                      <w:color w:val="auto"/>
                      <w:sz w:val="18"/>
                      <w:szCs w:val="18"/>
                    </w:rPr>
                  </w:pPr>
                  <w:r>
                    <w:rPr>
                      <w:rFonts w:hint="eastAsia"/>
                      <w:color w:val="auto"/>
                      <w:sz w:val="18"/>
                      <w:szCs w:val="18"/>
                    </w:rPr>
                    <w:t>0.3</w:t>
                  </w:r>
                  <w:r>
                    <w:rPr>
                      <w:rFonts w:hint="eastAsia"/>
                      <w:color w:val="auto"/>
                      <w:sz w:val="18"/>
                      <w:szCs w:val="18"/>
                      <w:lang w:val="en-US" w:eastAsia="zh-CN"/>
                    </w:rPr>
                    <w:t>4</w:t>
                  </w:r>
                </w:p>
              </w:tc>
              <w:tc>
                <w:tcPr>
                  <w:tcW w:w="430" w:type="pct"/>
                  <w:gridSpan w:val="2"/>
                  <w:vAlign w:val="center"/>
                </w:tcPr>
                <w:p w14:paraId="24D452D3">
                  <w:pPr>
                    <w:contextualSpacing/>
                    <w:jc w:val="center"/>
                    <w:rPr>
                      <w:color w:val="auto"/>
                      <w:sz w:val="18"/>
                      <w:szCs w:val="18"/>
                    </w:rPr>
                  </w:pPr>
                  <w:r>
                    <w:rPr>
                      <w:rFonts w:hint="eastAsia"/>
                      <w:color w:val="auto"/>
                      <w:sz w:val="18"/>
                      <w:szCs w:val="18"/>
                    </w:rPr>
                    <w:t>0.005</w:t>
                  </w:r>
                </w:p>
              </w:tc>
              <w:tc>
                <w:tcPr>
                  <w:tcW w:w="237" w:type="pct"/>
                  <w:gridSpan w:val="4"/>
                  <w:vMerge w:val="restart"/>
                  <w:shd w:val="clear" w:color="auto" w:fill="auto"/>
                  <w:vAlign w:val="center"/>
                </w:tcPr>
                <w:p w14:paraId="62481D9F">
                  <w:pPr>
                    <w:contextualSpacing/>
                    <w:jc w:val="center"/>
                    <w:rPr>
                      <w:color w:val="auto"/>
                      <w:sz w:val="18"/>
                      <w:szCs w:val="18"/>
                    </w:rPr>
                  </w:pPr>
                  <w:r>
                    <w:rPr>
                      <w:rFonts w:hint="eastAsia"/>
                      <w:color w:val="auto"/>
                      <w:sz w:val="18"/>
                      <w:szCs w:val="18"/>
                    </w:rPr>
                    <w:t>2</w:t>
                  </w:r>
                  <w:r>
                    <w:rPr>
                      <w:rFonts w:hint="eastAsia"/>
                      <w:color w:val="auto"/>
                      <w:sz w:val="18"/>
                      <w:szCs w:val="18"/>
                      <w:lang w:val="en-US" w:eastAsia="zh-CN"/>
                    </w:rPr>
                    <w:t>4</w:t>
                  </w:r>
                  <w:r>
                    <w:rPr>
                      <w:rFonts w:hint="eastAsia"/>
                      <w:color w:val="auto"/>
                      <w:sz w:val="18"/>
                      <w:szCs w:val="18"/>
                    </w:rPr>
                    <w:t>00</w:t>
                  </w:r>
                </w:p>
              </w:tc>
            </w:tr>
            <w:tr w14:paraId="3B8A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5311441D">
                  <w:pPr>
                    <w:ind w:firstLine="420"/>
                    <w:contextualSpacing/>
                    <w:jc w:val="center"/>
                    <w:rPr>
                      <w:color w:val="auto"/>
                      <w:sz w:val="18"/>
                      <w:szCs w:val="18"/>
                    </w:rPr>
                  </w:pPr>
                </w:p>
              </w:tc>
              <w:tc>
                <w:tcPr>
                  <w:tcW w:w="161" w:type="pct"/>
                  <w:gridSpan w:val="3"/>
                  <w:vMerge w:val="continue"/>
                  <w:vAlign w:val="center"/>
                </w:tcPr>
                <w:p w14:paraId="3D475B15">
                  <w:pPr>
                    <w:contextualSpacing/>
                    <w:jc w:val="center"/>
                    <w:rPr>
                      <w:color w:val="auto"/>
                      <w:spacing w:val="-14"/>
                      <w:sz w:val="18"/>
                      <w:szCs w:val="18"/>
                    </w:rPr>
                  </w:pPr>
                </w:p>
              </w:tc>
              <w:tc>
                <w:tcPr>
                  <w:tcW w:w="481" w:type="pct"/>
                  <w:gridSpan w:val="3"/>
                  <w:vMerge w:val="continue"/>
                  <w:shd w:val="clear" w:color="auto" w:fill="auto"/>
                  <w:vAlign w:val="center"/>
                </w:tcPr>
                <w:p w14:paraId="645B0D4B">
                  <w:pPr>
                    <w:contextualSpacing/>
                    <w:jc w:val="center"/>
                    <w:rPr>
                      <w:color w:val="auto"/>
                      <w:sz w:val="18"/>
                      <w:szCs w:val="18"/>
                    </w:rPr>
                  </w:pPr>
                </w:p>
              </w:tc>
              <w:tc>
                <w:tcPr>
                  <w:tcW w:w="237" w:type="pct"/>
                  <w:gridSpan w:val="3"/>
                  <w:shd w:val="clear" w:color="auto" w:fill="auto"/>
                  <w:vAlign w:val="center"/>
                </w:tcPr>
                <w:p w14:paraId="7F747E5F">
                  <w:pPr>
                    <w:jc w:val="center"/>
                    <w:rPr>
                      <w:color w:val="auto"/>
                      <w:sz w:val="18"/>
                      <w:szCs w:val="18"/>
                    </w:rPr>
                  </w:pPr>
                  <w:r>
                    <w:rPr>
                      <w:color w:val="auto"/>
                      <w:spacing w:val="-22"/>
                      <w:sz w:val="18"/>
                      <w:szCs w:val="18"/>
                    </w:rPr>
                    <w:t>NO</w:t>
                  </w:r>
                  <w:r>
                    <w:rPr>
                      <w:color w:val="auto"/>
                      <w:spacing w:val="-22"/>
                      <w:sz w:val="18"/>
                      <w:szCs w:val="18"/>
                      <w:vertAlign w:val="subscript"/>
                    </w:rPr>
                    <w:t>X</w:t>
                  </w:r>
                </w:p>
              </w:tc>
              <w:tc>
                <w:tcPr>
                  <w:tcW w:w="344" w:type="pct"/>
                  <w:gridSpan w:val="3"/>
                  <w:vMerge w:val="continue"/>
                  <w:shd w:val="clear" w:color="auto" w:fill="FFFFFF"/>
                  <w:vAlign w:val="center"/>
                </w:tcPr>
                <w:p w14:paraId="71B78087">
                  <w:pPr>
                    <w:shd w:val="clear" w:color="auto" w:fill="FFFFFF"/>
                    <w:contextualSpacing/>
                    <w:jc w:val="center"/>
                    <w:rPr>
                      <w:color w:val="auto"/>
                      <w:sz w:val="18"/>
                      <w:szCs w:val="18"/>
                    </w:rPr>
                  </w:pPr>
                </w:p>
              </w:tc>
              <w:tc>
                <w:tcPr>
                  <w:tcW w:w="404" w:type="pct"/>
                  <w:gridSpan w:val="3"/>
                  <w:vAlign w:val="center"/>
                </w:tcPr>
                <w:p w14:paraId="717874EB">
                  <w:pPr>
                    <w:contextualSpacing/>
                    <w:jc w:val="center"/>
                    <w:rPr>
                      <w:color w:val="auto"/>
                      <w:sz w:val="18"/>
                      <w:szCs w:val="18"/>
                    </w:rPr>
                  </w:pPr>
                  <w:r>
                    <w:rPr>
                      <w:rFonts w:hint="eastAsia"/>
                      <w:color w:val="auto"/>
                      <w:sz w:val="18"/>
                      <w:szCs w:val="18"/>
                    </w:rPr>
                    <w:t>80.00</w:t>
                  </w:r>
                </w:p>
              </w:tc>
              <w:tc>
                <w:tcPr>
                  <w:tcW w:w="419" w:type="pct"/>
                  <w:gridSpan w:val="2"/>
                  <w:vAlign w:val="center"/>
                </w:tcPr>
                <w:p w14:paraId="7934B7BB">
                  <w:pPr>
                    <w:contextualSpacing/>
                    <w:jc w:val="center"/>
                    <w:rPr>
                      <w:color w:val="auto"/>
                      <w:sz w:val="18"/>
                      <w:szCs w:val="18"/>
                    </w:rPr>
                  </w:pPr>
                  <w:r>
                    <w:rPr>
                      <w:rFonts w:hint="eastAsia"/>
                      <w:color w:val="auto"/>
                      <w:sz w:val="18"/>
                      <w:szCs w:val="18"/>
                    </w:rPr>
                    <w:t>1.12</w:t>
                  </w:r>
                </w:p>
              </w:tc>
              <w:tc>
                <w:tcPr>
                  <w:tcW w:w="908" w:type="pct"/>
                  <w:gridSpan w:val="3"/>
                  <w:vMerge w:val="continue"/>
                  <w:vAlign w:val="center"/>
                </w:tcPr>
                <w:p w14:paraId="00284C70">
                  <w:pPr>
                    <w:contextualSpacing/>
                    <w:jc w:val="center"/>
                    <w:rPr>
                      <w:color w:val="auto"/>
                      <w:spacing w:val="-6"/>
                      <w:sz w:val="18"/>
                      <w:szCs w:val="18"/>
                    </w:rPr>
                  </w:pPr>
                </w:p>
              </w:tc>
              <w:tc>
                <w:tcPr>
                  <w:tcW w:w="318" w:type="pct"/>
                  <w:gridSpan w:val="3"/>
                  <w:vAlign w:val="center"/>
                </w:tcPr>
                <w:p w14:paraId="1A3A883C">
                  <w:pPr>
                    <w:contextualSpacing/>
                    <w:jc w:val="center"/>
                    <w:rPr>
                      <w:color w:val="auto"/>
                      <w:spacing w:val="-6"/>
                      <w:sz w:val="18"/>
                      <w:szCs w:val="18"/>
                    </w:rPr>
                  </w:pPr>
                  <w:r>
                    <w:rPr>
                      <w:color w:val="auto"/>
                      <w:spacing w:val="-6"/>
                      <w:sz w:val="18"/>
                      <w:szCs w:val="18"/>
                    </w:rPr>
                    <w:t>/</w:t>
                  </w:r>
                </w:p>
              </w:tc>
              <w:tc>
                <w:tcPr>
                  <w:tcW w:w="356" w:type="pct"/>
                  <w:gridSpan w:val="4"/>
                  <w:vMerge w:val="continue"/>
                  <w:vAlign w:val="center"/>
                </w:tcPr>
                <w:p w14:paraId="2A9241F6">
                  <w:pPr>
                    <w:contextualSpacing/>
                    <w:jc w:val="center"/>
                    <w:rPr>
                      <w:color w:val="auto"/>
                      <w:sz w:val="18"/>
                      <w:szCs w:val="18"/>
                    </w:rPr>
                  </w:pPr>
                </w:p>
              </w:tc>
              <w:tc>
                <w:tcPr>
                  <w:tcW w:w="503" w:type="pct"/>
                  <w:gridSpan w:val="3"/>
                  <w:vAlign w:val="center"/>
                </w:tcPr>
                <w:p w14:paraId="00FE0D88">
                  <w:pPr>
                    <w:contextualSpacing/>
                    <w:jc w:val="center"/>
                    <w:rPr>
                      <w:color w:val="auto"/>
                      <w:sz w:val="18"/>
                      <w:szCs w:val="18"/>
                    </w:rPr>
                  </w:pPr>
                  <w:r>
                    <w:rPr>
                      <w:rFonts w:hint="eastAsia"/>
                      <w:color w:val="auto"/>
                      <w:sz w:val="18"/>
                      <w:szCs w:val="18"/>
                    </w:rPr>
                    <w:t>80.00</w:t>
                  </w:r>
                </w:p>
              </w:tc>
              <w:tc>
                <w:tcPr>
                  <w:tcW w:w="430" w:type="pct"/>
                  <w:gridSpan w:val="2"/>
                  <w:vAlign w:val="center"/>
                </w:tcPr>
                <w:p w14:paraId="6BD7928C">
                  <w:pPr>
                    <w:contextualSpacing/>
                    <w:jc w:val="center"/>
                    <w:rPr>
                      <w:color w:val="auto"/>
                      <w:sz w:val="18"/>
                      <w:szCs w:val="18"/>
                    </w:rPr>
                  </w:pPr>
                  <w:r>
                    <w:rPr>
                      <w:rFonts w:hint="eastAsia"/>
                      <w:color w:val="auto"/>
                      <w:sz w:val="18"/>
                      <w:szCs w:val="18"/>
                    </w:rPr>
                    <w:t>1.12</w:t>
                  </w:r>
                </w:p>
              </w:tc>
              <w:tc>
                <w:tcPr>
                  <w:tcW w:w="237" w:type="pct"/>
                  <w:gridSpan w:val="4"/>
                  <w:vMerge w:val="continue"/>
                  <w:shd w:val="clear" w:color="auto" w:fill="auto"/>
                  <w:vAlign w:val="center"/>
                </w:tcPr>
                <w:p w14:paraId="34BC891E">
                  <w:pPr>
                    <w:contextualSpacing/>
                    <w:jc w:val="center"/>
                    <w:rPr>
                      <w:color w:val="auto"/>
                      <w:sz w:val="18"/>
                      <w:szCs w:val="18"/>
                    </w:rPr>
                  </w:pPr>
                </w:p>
              </w:tc>
            </w:tr>
            <w:tr w14:paraId="6F2D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38587386">
                  <w:pPr>
                    <w:ind w:firstLine="420"/>
                    <w:contextualSpacing/>
                    <w:jc w:val="center"/>
                    <w:rPr>
                      <w:color w:val="auto"/>
                      <w:sz w:val="18"/>
                      <w:szCs w:val="18"/>
                    </w:rPr>
                  </w:pPr>
                </w:p>
              </w:tc>
              <w:tc>
                <w:tcPr>
                  <w:tcW w:w="161" w:type="pct"/>
                  <w:gridSpan w:val="3"/>
                  <w:vMerge w:val="continue"/>
                  <w:vAlign w:val="center"/>
                </w:tcPr>
                <w:p w14:paraId="46A0D70E">
                  <w:pPr>
                    <w:contextualSpacing/>
                    <w:jc w:val="center"/>
                    <w:rPr>
                      <w:color w:val="auto"/>
                      <w:spacing w:val="-14"/>
                      <w:sz w:val="18"/>
                      <w:szCs w:val="18"/>
                    </w:rPr>
                  </w:pPr>
                </w:p>
              </w:tc>
              <w:tc>
                <w:tcPr>
                  <w:tcW w:w="481" w:type="pct"/>
                  <w:gridSpan w:val="3"/>
                  <w:vMerge w:val="continue"/>
                  <w:shd w:val="clear" w:color="auto" w:fill="auto"/>
                  <w:vAlign w:val="center"/>
                </w:tcPr>
                <w:p w14:paraId="2FA0190D">
                  <w:pPr>
                    <w:contextualSpacing/>
                    <w:jc w:val="center"/>
                    <w:rPr>
                      <w:color w:val="auto"/>
                      <w:sz w:val="18"/>
                      <w:szCs w:val="18"/>
                    </w:rPr>
                  </w:pPr>
                </w:p>
              </w:tc>
              <w:tc>
                <w:tcPr>
                  <w:tcW w:w="237" w:type="pct"/>
                  <w:gridSpan w:val="3"/>
                  <w:shd w:val="clear" w:color="auto" w:fill="auto"/>
                  <w:vAlign w:val="center"/>
                </w:tcPr>
                <w:p w14:paraId="2F4401D6">
                  <w:pPr>
                    <w:jc w:val="center"/>
                    <w:rPr>
                      <w:color w:val="auto"/>
                      <w:spacing w:val="-22"/>
                      <w:sz w:val="18"/>
                      <w:szCs w:val="18"/>
                    </w:rPr>
                  </w:pPr>
                  <w:r>
                    <w:rPr>
                      <w:rFonts w:hAnsi="宋体"/>
                      <w:color w:val="auto"/>
                      <w:sz w:val="18"/>
                      <w:szCs w:val="18"/>
                    </w:rPr>
                    <w:t>颗粒物</w:t>
                  </w:r>
                </w:p>
              </w:tc>
              <w:tc>
                <w:tcPr>
                  <w:tcW w:w="344" w:type="pct"/>
                  <w:gridSpan w:val="3"/>
                  <w:vMerge w:val="continue"/>
                  <w:shd w:val="clear" w:color="auto" w:fill="FFFFFF"/>
                  <w:vAlign w:val="center"/>
                </w:tcPr>
                <w:p w14:paraId="169C4741">
                  <w:pPr>
                    <w:shd w:val="clear" w:color="auto" w:fill="FFFFFF"/>
                    <w:contextualSpacing/>
                    <w:jc w:val="center"/>
                    <w:rPr>
                      <w:color w:val="auto"/>
                      <w:sz w:val="18"/>
                      <w:szCs w:val="18"/>
                    </w:rPr>
                  </w:pPr>
                </w:p>
              </w:tc>
              <w:tc>
                <w:tcPr>
                  <w:tcW w:w="404" w:type="pct"/>
                  <w:gridSpan w:val="3"/>
                  <w:vAlign w:val="center"/>
                </w:tcPr>
                <w:p w14:paraId="32525191">
                  <w:pPr>
                    <w:contextualSpacing/>
                    <w:jc w:val="center"/>
                    <w:rPr>
                      <w:rFonts w:hint="default" w:eastAsia="宋体"/>
                      <w:color w:val="auto"/>
                      <w:sz w:val="18"/>
                      <w:szCs w:val="18"/>
                      <w:lang w:val="en-US" w:eastAsia="zh-CN"/>
                    </w:rPr>
                  </w:pPr>
                  <w:r>
                    <w:rPr>
                      <w:rFonts w:hint="eastAsia"/>
                      <w:color w:val="auto"/>
                      <w:sz w:val="18"/>
                      <w:szCs w:val="18"/>
                      <w:lang w:val="en-US" w:eastAsia="zh-CN"/>
                    </w:rPr>
                    <w:t>16</w:t>
                  </w:r>
                </w:p>
              </w:tc>
              <w:tc>
                <w:tcPr>
                  <w:tcW w:w="419" w:type="pct"/>
                  <w:gridSpan w:val="2"/>
                  <w:vAlign w:val="center"/>
                </w:tcPr>
                <w:p w14:paraId="4EFEBA10">
                  <w:pPr>
                    <w:contextualSpacing/>
                    <w:jc w:val="center"/>
                    <w:rPr>
                      <w:rFonts w:hint="eastAsia" w:eastAsia="宋体"/>
                      <w:color w:val="auto"/>
                      <w:sz w:val="18"/>
                      <w:szCs w:val="18"/>
                      <w:lang w:val="en-US" w:eastAsia="zh-CN"/>
                    </w:rPr>
                  </w:pPr>
                  <w:r>
                    <w:rPr>
                      <w:rFonts w:hint="eastAsia"/>
                      <w:color w:val="auto"/>
                      <w:sz w:val="18"/>
                      <w:szCs w:val="18"/>
                    </w:rPr>
                    <w:t>0.22</w:t>
                  </w:r>
                  <w:r>
                    <w:rPr>
                      <w:rFonts w:hint="eastAsia"/>
                      <w:color w:val="auto"/>
                      <w:sz w:val="18"/>
                      <w:szCs w:val="18"/>
                      <w:lang w:val="en-US" w:eastAsia="zh-CN"/>
                    </w:rPr>
                    <w:t>4</w:t>
                  </w:r>
                </w:p>
              </w:tc>
              <w:tc>
                <w:tcPr>
                  <w:tcW w:w="908" w:type="pct"/>
                  <w:gridSpan w:val="3"/>
                  <w:vMerge w:val="continue"/>
                  <w:vAlign w:val="center"/>
                </w:tcPr>
                <w:p w14:paraId="7461AAFE">
                  <w:pPr>
                    <w:contextualSpacing/>
                    <w:jc w:val="center"/>
                    <w:rPr>
                      <w:color w:val="auto"/>
                      <w:spacing w:val="-6"/>
                      <w:sz w:val="18"/>
                      <w:szCs w:val="18"/>
                    </w:rPr>
                  </w:pPr>
                </w:p>
              </w:tc>
              <w:tc>
                <w:tcPr>
                  <w:tcW w:w="318" w:type="pct"/>
                  <w:gridSpan w:val="3"/>
                  <w:vMerge w:val="restart"/>
                  <w:vAlign w:val="center"/>
                </w:tcPr>
                <w:p w14:paraId="55D4EB7B">
                  <w:pPr>
                    <w:contextualSpacing/>
                    <w:jc w:val="center"/>
                    <w:rPr>
                      <w:color w:val="auto"/>
                      <w:spacing w:val="-6"/>
                      <w:sz w:val="18"/>
                      <w:szCs w:val="18"/>
                    </w:rPr>
                  </w:pPr>
                  <w:r>
                    <w:rPr>
                      <w:color w:val="auto"/>
                      <w:spacing w:val="-6"/>
                      <w:sz w:val="18"/>
                      <w:szCs w:val="18"/>
                    </w:rPr>
                    <w:t>99%</w:t>
                  </w:r>
                </w:p>
              </w:tc>
              <w:tc>
                <w:tcPr>
                  <w:tcW w:w="356" w:type="pct"/>
                  <w:gridSpan w:val="4"/>
                  <w:vMerge w:val="continue"/>
                  <w:vAlign w:val="center"/>
                </w:tcPr>
                <w:p w14:paraId="7E52AD48">
                  <w:pPr>
                    <w:contextualSpacing/>
                    <w:jc w:val="center"/>
                    <w:rPr>
                      <w:color w:val="auto"/>
                      <w:sz w:val="18"/>
                      <w:szCs w:val="18"/>
                    </w:rPr>
                  </w:pPr>
                </w:p>
              </w:tc>
              <w:tc>
                <w:tcPr>
                  <w:tcW w:w="503" w:type="pct"/>
                  <w:gridSpan w:val="3"/>
                  <w:vMerge w:val="restart"/>
                  <w:vAlign w:val="center"/>
                </w:tcPr>
                <w:p w14:paraId="1C73A818">
                  <w:pPr>
                    <w:contextualSpacing/>
                    <w:jc w:val="center"/>
                    <w:rPr>
                      <w:rFonts w:hint="default" w:eastAsia="宋体"/>
                      <w:color w:val="auto"/>
                      <w:sz w:val="18"/>
                      <w:szCs w:val="18"/>
                      <w:lang w:val="en-US" w:eastAsia="zh-CN"/>
                    </w:rPr>
                  </w:pPr>
                  <w:r>
                    <w:rPr>
                      <w:rFonts w:hint="eastAsia"/>
                      <w:color w:val="auto"/>
                      <w:sz w:val="18"/>
                      <w:szCs w:val="18"/>
                      <w:lang w:val="en-US" w:eastAsia="zh-CN"/>
                    </w:rPr>
                    <w:t>43.07</w:t>
                  </w:r>
                </w:p>
              </w:tc>
              <w:tc>
                <w:tcPr>
                  <w:tcW w:w="430" w:type="pct"/>
                  <w:gridSpan w:val="2"/>
                  <w:vMerge w:val="restart"/>
                  <w:vAlign w:val="center"/>
                </w:tcPr>
                <w:p w14:paraId="60541A7C">
                  <w:pPr>
                    <w:contextualSpacing/>
                    <w:jc w:val="center"/>
                    <w:rPr>
                      <w:rFonts w:hint="default" w:eastAsia="宋体"/>
                      <w:color w:val="auto"/>
                      <w:sz w:val="18"/>
                      <w:szCs w:val="18"/>
                      <w:lang w:val="en-US" w:eastAsia="zh-CN"/>
                    </w:rPr>
                  </w:pPr>
                  <w:r>
                    <w:rPr>
                      <w:rFonts w:hint="eastAsia"/>
                      <w:color w:val="auto"/>
                      <w:sz w:val="18"/>
                      <w:szCs w:val="18"/>
                      <w:lang w:val="en-US" w:eastAsia="zh-CN"/>
                    </w:rPr>
                    <w:t>1.68</w:t>
                  </w:r>
                </w:p>
              </w:tc>
              <w:tc>
                <w:tcPr>
                  <w:tcW w:w="237" w:type="pct"/>
                  <w:gridSpan w:val="4"/>
                  <w:vMerge w:val="continue"/>
                  <w:shd w:val="clear" w:color="auto" w:fill="auto"/>
                  <w:vAlign w:val="center"/>
                </w:tcPr>
                <w:p w14:paraId="48F86324">
                  <w:pPr>
                    <w:contextualSpacing/>
                    <w:jc w:val="center"/>
                    <w:rPr>
                      <w:color w:val="auto"/>
                      <w:sz w:val="18"/>
                      <w:szCs w:val="18"/>
                    </w:rPr>
                  </w:pPr>
                </w:p>
              </w:tc>
            </w:tr>
            <w:tr w14:paraId="64E2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21882EF0">
                  <w:pPr>
                    <w:ind w:firstLine="420"/>
                    <w:contextualSpacing/>
                    <w:jc w:val="center"/>
                    <w:rPr>
                      <w:color w:val="auto"/>
                      <w:sz w:val="18"/>
                      <w:szCs w:val="18"/>
                    </w:rPr>
                  </w:pPr>
                </w:p>
              </w:tc>
              <w:tc>
                <w:tcPr>
                  <w:tcW w:w="161" w:type="pct"/>
                  <w:gridSpan w:val="3"/>
                  <w:vAlign w:val="center"/>
                </w:tcPr>
                <w:p w14:paraId="74EB253A">
                  <w:pPr>
                    <w:contextualSpacing/>
                    <w:jc w:val="center"/>
                    <w:rPr>
                      <w:color w:val="auto"/>
                      <w:spacing w:val="-14"/>
                      <w:sz w:val="18"/>
                      <w:szCs w:val="18"/>
                    </w:rPr>
                  </w:pPr>
                  <w:r>
                    <w:rPr>
                      <w:rFonts w:hAnsi="宋体"/>
                      <w:color w:val="auto"/>
                      <w:spacing w:val="-14"/>
                      <w:sz w:val="18"/>
                      <w:szCs w:val="18"/>
                    </w:rPr>
                    <w:t>干燥筒</w:t>
                  </w:r>
                </w:p>
              </w:tc>
              <w:tc>
                <w:tcPr>
                  <w:tcW w:w="481" w:type="pct"/>
                  <w:gridSpan w:val="3"/>
                  <w:vMerge w:val="continue"/>
                  <w:shd w:val="clear" w:color="auto" w:fill="auto"/>
                  <w:vAlign w:val="center"/>
                </w:tcPr>
                <w:p w14:paraId="780ED10E">
                  <w:pPr>
                    <w:contextualSpacing/>
                    <w:jc w:val="center"/>
                    <w:rPr>
                      <w:color w:val="auto"/>
                      <w:sz w:val="18"/>
                      <w:szCs w:val="18"/>
                    </w:rPr>
                  </w:pPr>
                </w:p>
              </w:tc>
              <w:tc>
                <w:tcPr>
                  <w:tcW w:w="237" w:type="pct"/>
                  <w:gridSpan w:val="3"/>
                  <w:vMerge w:val="restart"/>
                  <w:shd w:val="clear" w:color="auto" w:fill="auto"/>
                  <w:vAlign w:val="center"/>
                </w:tcPr>
                <w:p w14:paraId="165B59A8">
                  <w:pPr>
                    <w:contextualSpacing/>
                    <w:jc w:val="center"/>
                    <w:rPr>
                      <w:color w:val="auto"/>
                      <w:sz w:val="18"/>
                      <w:szCs w:val="18"/>
                    </w:rPr>
                  </w:pPr>
                  <w:r>
                    <w:rPr>
                      <w:rFonts w:hAnsi="宋体"/>
                      <w:color w:val="auto"/>
                      <w:sz w:val="18"/>
                      <w:szCs w:val="18"/>
                    </w:rPr>
                    <w:t>颗粒物</w:t>
                  </w:r>
                </w:p>
              </w:tc>
              <w:tc>
                <w:tcPr>
                  <w:tcW w:w="344" w:type="pct"/>
                  <w:gridSpan w:val="3"/>
                  <w:shd w:val="clear" w:color="auto" w:fill="FFFFFF"/>
                  <w:vAlign w:val="center"/>
                </w:tcPr>
                <w:p w14:paraId="0EEA932F">
                  <w:pPr>
                    <w:shd w:val="clear" w:color="auto" w:fill="FFFFFF"/>
                    <w:contextualSpacing/>
                    <w:jc w:val="center"/>
                    <w:rPr>
                      <w:color w:val="auto"/>
                      <w:sz w:val="18"/>
                      <w:szCs w:val="18"/>
                    </w:rPr>
                  </w:pPr>
                  <w:r>
                    <w:rPr>
                      <w:rFonts w:hint="eastAsia"/>
                      <w:color w:val="auto"/>
                      <w:sz w:val="18"/>
                      <w:szCs w:val="18"/>
                    </w:rPr>
                    <w:t>6</w:t>
                  </w:r>
                  <w:r>
                    <w:rPr>
                      <w:color w:val="auto"/>
                      <w:sz w:val="18"/>
                      <w:szCs w:val="18"/>
                    </w:rPr>
                    <w:t>000</w:t>
                  </w:r>
                </w:p>
              </w:tc>
              <w:tc>
                <w:tcPr>
                  <w:tcW w:w="404" w:type="pct"/>
                  <w:gridSpan w:val="3"/>
                  <w:vAlign w:val="center"/>
                </w:tcPr>
                <w:p w14:paraId="15E54D5C">
                  <w:pPr>
                    <w:contextualSpacing/>
                    <w:jc w:val="center"/>
                    <w:rPr>
                      <w:rFonts w:hint="default" w:eastAsia="宋体"/>
                      <w:color w:val="auto"/>
                      <w:sz w:val="18"/>
                      <w:szCs w:val="18"/>
                      <w:lang w:val="en-US" w:eastAsia="zh-CN"/>
                    </w:rPr>
                  </w:pPr>
                  <w:r>
                    <w:rPr>
                      <w:rFonts w:hint="eastAsia"/>
                      <w:color w:val="auto"/>
                      <w:sz w:val="18"/>
                      <w:szCs w:val="18"/>
                      <w:lang w:val="en-US" w:eastAsia="zh-CN"/>
                    </w:rPr>
                    <w:t>5300</w:t>
                  </w:r>
                </w:p>
              </w:tc>
              <w:tc>
                <w:tcPr>
                  <w:tcW w:w="419" w:type="pct"/>
                  <w:gridSpan w:val="2"/>
                  <w:vAlign w:val="center"/>
                </w:tcPr>
                <w:p w14:paraId="6520EA76">
                  <w:pPr>
                    <w:contextualSpacing/>
                    <w:jc w:val="center"/>
                    <w:rPr>
                      <w:rFonts w:hint="default" w:eastAsia="宋体"/>
                      <w:color w:val="auto"/>
                      <w:sz w:val="18"/>
                      <w:szCs w:val="18"/>
                      <w:lang w:val="en-US" w:eastAsia="zh-CN"/>
                    </w:rPr>
                  </w:pPr>
                  <w:r>
                    <w:rPr>
                      <w:rFonts w:hint="eastAsia"/>
                      <w:color w:val="auto"/>
                      <w:sz w:val="18"/>
                      <w:szCs w:val="18"/>
                      <w:lang w:val="en-US" w:eastAsia="zh-CN"/>
                    </w:rPr>
                    <w:t>31.8</w:t>
                  </w:r>
                </w:p>
              </w:tc>
              <w:tc>
                <w:tcPr>
                  <w:tcW w:w="908" w:type="pct"/>
                  <w:gridSpan w:val="3"/>
                  <w:vMerge w:val="continue"/>
                  <w:vAlign w:val="center"/>
                </w:tcPr>
                <w:p w14:paraId="164663DE">
                  <w:pPr>
                    <w:contextualSpacing/>
                    <w:jc w:val="center"/>
                    <w:rPr>
                      <w:color w:val="auto"/>
                      <w:spacing w:val="-6"/>
                      <w:sz w:val="18"/>
                      <w:szCs w:val="18"/>
                    </w:rPr>
                  </w:pPr>
                </w:p>
              </w:tc>
              <w:tc>
                <w:tcPr>
                  <w:tcW w:w="318" w:type="pct"/>
                  <w:gridSpan w:val="3"/>
                  <w:vMerge w:val="continue"/>
                  <w:vAlign w:val="center"/>
                </w:tcPr>
                <w:p w14:paraId="614EC2BF">
                  <w:pPr>
                    <w:contextualSpacing/>
                    <w:jc w:val="center"/>
                    <w:rPr>
                      <w:color w:val="auto"/>
                      <w:spacing w:val="-6"/>
                      <w:sz w:val="18"/>
                      <w:szCs w:val="18"/>
                    </w:rPr>
                  </w:pPr>
                </w:p>
              </w:tc>
              <w:tc>
                <w:tcPr>
                  <w:tcW w:w="356" w:type="pct"/>
                  <w:gridSpan w:val="4"/>
                  <w:vMerge w:val="continue"/>
                  <w:vAlign w:val="center"/>
                </w:tcPr>
                <w:p w14:paraId="4D7043A5">
                  <w:pPr>
                    <w:contextualSpacing/>
                    <w:jc w:val="center"/>
                    <w:rPr>
                      <w:color w:val="auto"/>
                      <w:sz w:val="18"/>
                      <w:szCs w:val="18"/>
                    </w:rPr>
                  </w:pPr>
                </w:p>
              </w:tc>
              <w:tc>
                <w:tcPr>
                  <w:tcW w:w="503" w:type="pct"/>
                  <w:gridSpan w:val="3"/>
                  <w:vMerge w:val="continue"/>
                  <w:vAlign w:val="center"/>
                </w:tcPr>
                <w:p w14:paraId="3ED28C52">
                  <w:pPr>
                    <w:contextualSpacing/>
                    <w:jc w:val="center"/>
                    <w:rPr>
                      <w:color w:val="auto"/>
                      <w:sz w:val="18"/>
                      <w:szCs w:val="18"/>
                    </w:rPr>
                  </w:pPr>
                </w:p>
              </w:tc>
              <w:tc>
                <w:tcPr>
                  <w:tcW w:w="430" w:type="pct"/>
                  <w:gridSpan w:val="2"/>
                  <w:vMerge w:val="continue"/>
                  <w:vAlign w:val="center"/>
                </w:tcPr>
                <w:p w14:paraId="3E00B55C">
                  <w:pPr>
                    <w:contextualSpacing/>
                    <w:jc w:val="center"/>
                    <w:rPr>
                      <w:color w:val="auto"/>
                      <w:sz w:val="18"/>
                      <w:szCs w:val="18"/>
                    </w:rPr>
                  </w:pPr>
                </w:p>
              </w:tc>
              <w:tc>
                <w:tcPr>
                  <w:tcW w:w="237" w:type="pct"/>
                  <w:gridSpan w:val="4"/>
                  <w:vMerge w:val="continue"/>
                  <w:shd w:val="clear" w:color="auto" w:fill="auto"/>
                  <w:vAlign w:val="center"/>
                </w:tcPr>
                <w:p w14:paraId="3DC5F6CC">
                  <w:pPr>
                    <w:contextualSpacing/>
                    <w:jc w:val="center"/>
                    <w:rPr>
                      <w:color w:val="auto"/>
                      <w:sz w:val="18"/>
                      <w:szCs w:val="18"/>
                    </w:rPr>
                  </w:pPr>
                </w:p>
              </w:tc>
            </w:tr>
            <w:tr w14:paraId="15F8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398B1B4A">
                  <w:pPr>
                    <w:ind w:firstLine="420"/>
                    <w:contextualSpacing/>
                    <w:jc w:val="center"/>
                    <w:rPr>
                      <w:color w:val="auto"/>
                      <w:sz w:val="18"/>
                      <w:szCs w:val="18"/>
                    </w:rPr>
                  </w:pPr>
                </w:p>
              </w:tc>
              <w:tc>
                <w:tcPr>
                  <w:tcW w:w="161" w:type="pct"/>
                  <w:gridSpan w:val="3"/>
                  <w:vAlign w:val="center"/>
                </w:tcPr>
                <w:p w14:paraId="1D496FAC">
                  <w:pPr>
                    <w:contextualSpacing/>
                    <w:jc w:val="center"/>
                    <w:rPr>
                      <w:color w:val="auto"/>
                      <w:spacing w:val="-14"/>
                      <w:sz w:val="18"/>
                      <w:szCs w:val="18"/>
                    </w:rPr>
                  </w:pPr>
                  <w:r>
                    <w:rPr>
                      <w:rFonts w:hAnsi="宋体"/>
                      <w:color w:val="auto"/>
                      <w:spacing w:val="-14"/>
                      <w:sz w:val="18"/>
                      <w:szCs w:val="18"/>
                    </w:rPr>
                    <w:t>筛分机</w:t>
                  </w:r>
                </w:p>
              </w:tc>
              <w:tc>
                <w:tcPr>
                  <w:tcW w:w="481" w:type="pct"/>
                  <w:gridSpan w:val="3"/>
                  <w:vMerge w:val="continue"/>
                  <w:shd w:val="clear" w:color="auto" w:fill="auto"/>
                  <w:vAlign w:val="center"/>
                </w:tcPr>
                <w:p w14:paraId="5B560E3F">
                  <w:pPr>
                    <w:contextualSpacing/>
                    <w:jc w:val="center"/>
                    <w:rPr>
                      <w:color w:val="auto"/>
                      <w:sz w:val="18"/>
                      <w:szCs w:val="18"/>
                    </w:rPr>
                  </w:pPr>
                </w:p>
              </w:tc>
              <w:tc>
                <w:tcPr>
                  <w:tcW w:w="237" w:type="pct"/>
                  <w:gridSpan w:val="3"/>
                  <w:vMerge w:val="continue"/>
                  <w:shd w:val="clear" w:color="auto" w:fill="auto"/>
                  <w:vAlign w:val="center"/>
                </w:tcPr>
                <w:p w14:paraId="3F3E1C48">
                  <w:pPr>
                    <w:contextualSpacing/>
                    <w:jc w:val="center"/>
                    <w:rPr>
                      <w:color w:val="auto"/>
                      <w:sz w:val="18"/>
                      <w:szCs w:val="18"/>
                    </w:rPr>
                  </w:pPr>
                </w:p>
              </w:tc>
              <w:tc>
                <w:tcPr>
                  <w:tcW w:w="344" w:type="pct"/>
                  <w:gridSpan w:val="3"/>
                  <w:shd w:val="clear" w:color="auto" w:fill="FFFFFF"/>
                  <w:vAlign w:val="center"/>
                </w:tcPr>
                <w:p w14:paraId="23AA0C6E">
                  <w:pPr>
                    <w:shd w:val="clear" w:color="auto" w:fill="FFFFFF"/>
                    <w:contextualSpacing/>
                    <w:jc w:val="center"/>
                    <w:rPr>
                      <w:color w:val="auto"/>
                      <w:sz w:val="18"/>
                      <w:szCs w:val="18"/>
                    </w:rPr>
                  </w:pPr>
                  <w:r>
                    <w:rPr>
                      <w:rFonts w:hint="eastAsia"/>
                      <w:color w:val="auto"/>
                      <w:sz w:val="18"/>
                      <w:szCs w:val="18"/>
                    </w:rPr>
                    <w:t>10</w:t>
                  </w:r>
                  <w:r>
                    <w:rPr>
                      <w:color w:val="auto"/>
                      <w:sz w:val="18"/>
                      <w:szCs w:val="18"/>
                    </w:rPr>
                    <w:t>000</w:t>
                  </w:r>
                </w:p>
              </w:tc>
              <w:tc>
                <w:tcPr>
                  <w:tcW w:w="404" w:type="pct"/>
                  <w:gridSpan w:val="3"/>
                  <w:vAlign w:val="center"/>
                </w:tcPr>
                <w:p w14:paraId="7A0A3713">
                  <w:pPr>
                    <w:contextualSpacing/>
                    <w:jc w:val="center"/>
                    <w:rPr>
                      <w:rFonts w:hint="default" w:eastAsia="宋体"/>
                      <w:color w:val="auto"/>
                      <w:sz w:val="18"/>
                      <w:szCs w:val="18"/>
                      <w:lang w:val="en-US" w:eastAsia="zh-CN"/>
                    </w:rPr>
                  </w:pPr>
                  <w:r>
                    <w:rPr>
                      <w:rFonts w:hint="eastAsia"/>
                      <w:color w:val="auto"/>
                      <w:sz w:val="18"/>
                      <w:szCs w:val="18"/>
                      <w:lang w:val="en-US" w:eastAsia="zh-CN"/>
                    </w:rPr>
                    <w:t>12700</w:t>
                  </w:r>
                </w:p>
              </w:tc>
              <w:tc>
                <w:tcPr>
                  <w:tcW w:w="419" w:type="pct"/>
                  <w:gridSpan w:val="2"/>
                  <w:vAlign w:val="center"/>
                </w:tcPr>
                <w:p w14:paraId="2A3F6006">
                  <w:pPr>
                    <w:contextualSpacing/>
                    <w:jc w:val="center"/>
                    <w:rPr>
                      <w:rFonts w:hint="default" w:eastAsia="宋体"/>
                      <w:color w:val="auto"/>
                      <w:sz w:val="18"/>
                      <w:szCs w:val="18"/>
                      <w:lang w:val="en-US" w:eastAsia="zh-CN"/>
                    </w:rPr>
                  </w:pPr>
                  <w:r>
                    <w:rPr>
                      <w:rFonts w:hint="eastAsia"/>
                      <w:color w:val="auto"/>
                      <w:sz w:val="18"/>
                      <w:szCs w:val="18"/>
                      <w:lang w:val="en-US" w:eastAsia="zh-CN"/>
                    </w:rPr>
                    <w:t>127</w:t>
                  </w:r>
                </w:p>
              </w:tc>
              <w:tc>
                <w:tcPr>
                  <w:tcW w:w="908" w:type="pct"/>
                  <w:gridSpan w:val="3"/>
                  <w:vMerge w:val="continue"/>
                  <w:vAlign w:val="center"/>
                </w:tcPr>
                <w:p w14:paraId="1F0C0A87">
                  <w:pPr>
                    <w:contextualSpacing/>
                    <w:jc w:val="center"/>
                    <w:rPr>
                      <w:color w:val="auto"/>
                      <w:spacing w:val="-6"/>
                      <w:sz w:val="18"/>
                      <w:szCs w:val="18"/>
                    </w:rPr>
                  </w:pPr>
                </w:p>
              </w:tc>
              <w:tc>
                <w:tcPr>
                  <w:tcW w:w="318" w:type="pct"/>
                  <w:gridSpan w:val="3"/>
                  <w:vMerge w:val="continue"/>
                  <w:vAlign w:val="center"/>
                </w:tcPr>
                <w:p w14:paraId="50A41994">
                  <w:pPr>
                    <w:contextualSpacing/>
                    <w:jc w:val="center"/>
                    <w:rPr>
                      <w:color w:val="auto"/>
                      <w:spacing w:val="-6"/>
                      <w:sz w:val="18"/>
                      <w:szCs w:val="18"/>
                    </w:rPr>
                  </w:pPr>
                </w:p>
              </w:tc>
              <w:tc>
                <w:tcPr>
                  <w:tcW w:w="356" w:type="pct"/>
                  <w:gridSpan w:val="4"/>
                  <w:vMerge w:val="continue"/>
                  <w:vAlign w:val="center"/>
                </w:tcPr>
                <w:p w14:paraId="12859D68">
                  <w:pPr>
                    <w:contextualSpacing/>
                    <w:jc w:val="center"/>
                    <w:rPr>
                      <w:color w:val="auto"/>
                      <w:sz w:val="18"/>
                      <w:szCs w:val="18"/>
                    </w:rPr>
                  </w:pPr>
                </w:p>
              </w:tc>
              <w:tc>
                <w:tcPr>
                  <w:tcW w:w="503" w:type="pct"/>
                  <w:gridSpan w:val="3"/>
                  <w:vMerge w:val="continue"/>
                  <w:vAlign w:val="center"/>
                </w:tcPr>
                <w:p w14:paraId="70BBBFC3">
                  <w:pPr>
                    <w:contextualSpacing/>
                    <w:jc w:val="center"/>
                    <w:rPr>
                      <w:color w:val="auto"/>
                      <w:sz w:val="18"/>
                      <w:szCs w:val="18"/>
                    </w:rPr>
                  </w:pPr>
                </w:p>
              </w:tc>
              <w:tc>
                <w:tcPr>
                  <w:tcW w:w="430" w:type="pct"/>
                  <w:gridSpan w:val="2"/>
                  <w:vMerge w:val="continue"/>
                  <w:vAlign w:val="center"/>
                </w:tcPr>
                <w:p w14:paraId="2C1F6786">
                  <w:pPr>
                    <w:contextualSpacing/>
                    <w:jc w:val="center"/>
                    <w:rPr>
                      <w:color w:val="auto"/>
                      <w:sz w:val="18"/>
                      <w:szCs w:val="18"/>
                    </w:rPr>
                  </w:pPr>
                </w:p>
              </w:tc>
              <w:tc>
                <w:tcPr>
                  <w:tcW w:w="237" w:type="pct"/>
                  <w:gridSpan w:val="4"/>
                  <w:vMerge w:val="continue"/>
                  <w:shd w:val="clear" w:color="auto" w:fill="auto"/>
                  <w:vAlign w:val="center"/>
                </w:tcPr>
                <w:p w14:paraId="6187BFAF">
                  <w:pPr>
                    <w:contextualSpacing/>
                    <w:jc w:val="center"/>
                    <w:rPr>
                      <w:color w:val="auto"/>
                      <w:sz w:val="18"/>
                      <w:szCs w:val="18"/>
                    </w:rPr>
                  </w:pPr>
                </w:p>
              </w:tc>
            </w:tr>
            <w:tr w14:paraId="50DA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4973A828">
                  <w:pPr>
                    <w:ind w:firstLine="420"/>
                    <w:contextualSpacing/>
                    <w:jc w:val="center"/>
                    <w:rPr>
                      <w:color w:val="auto"/>
                      <w:sz w:val="18"/>
                      <w:szCs w:val="18"/>
                    </w:rPr>
                  </w:pPr>
                </w:p>
              </w:tc>
              <w:tc>
                <w:tcPr>
                  <w:tcW w:w="161" w:type="pct"/>
                  <w:gridSpan w:val="3"/>
                  <w:vAlign w:val="center"/>
                </w:tcPr>
                <w:p w14:paraId="531B283B">
                  <w:pPr>
                    <w:contextualSpacing/>
                    <w:jc w:val="center"/>
                    <w:rPr>
                      <w:rFonts w:hAnsi="宋体"/>
                      <w:color w:val="auto"/>
                      <w:spacing w:val="-14"/>
                      <w:sz w:val="18"/>
                      <w:szCs w:val="18"/>
                    </w:rPr>
                  </w:pPr>
                  <w:r>
                    <w:rPr>
                      <w:rFonts w:hAnsi="宋体"/>
                      <w:color w:val="auto"/>
                      <w:spacing w:val="-14"/>
                      <w:sz w:val="18"/>
                      <w:szCs w:val="18"/>
                    </w:rPr>
                    <w:t>热</w:t>
                  </w:r>
                  <w:r>
                    <w:rPr>
                      <w:rFonts w:hint="eastAsia" w:hAnsi="宋体"/>
                      <w:color w:val="auto"/>
                      <w:spacing w:val="-14"/>
                      <w:sz w:val="18"/>
                      <w:szCs w:val="18"/>
                    </w:rPr>
                    <w:t>料</w:t>
                  </w:r>
                  <w:r>
                    <w:rPr>
                      <w:rFonts w:hAnsi="宋体"/>
                      <w:color w:val="auto"/>
                      <w:spacing w:val="-14"/>
                      <w:sz w:val="18"/>
                      <w:szCs w:val="18"/>
                    </w:rPr>
                    <w:t>仓</w:t>
                  </w:r>
                </w:p>
              </w:tc>
              <w:tc>
                <w:tcPr>
                  <w:tcW w:w="481" w:type="pct"/>
                  <w:gridSpan w:val="3"/>
                  <w:vMerge w:val="continue"/>
                  <w:shd w:val="clear" w:color="auto" w:fill="auto"/>
                  <w:vAlign w:val="center"/>
                </w:tcPr>
                <w:p w14:paraId="3EC61E83">
                  <w:pPr>
                    <w:contextualSpacing/>
                    <w:jc w:val="center"/>
                    <w:rPr>
                      <w:color w:val="auto"/>
                      <w:sz w:val="18"/>
                      <w:szCs w:val="18"/>
                    </w:rPr>
                  </w:pPr>
                </w:p>
              </w:tc>
              <w:tc>
                <w:tcPr>
                  <w:tcW w:w="237" w:type="pct"/>
                  <w:gridSpan w:val="3"/>
                  <w:vMerge w:val="continue"/>
                  <w:shd w:val="clear" w:color="auto" w:fill="auto"/>
                  <w:vAlign w:val="center"/>
                </w:tcPr>
                <w:p w14:paraId="55EC8E81">
                  <w:pPr>
                    <w:contextualSpacing/>
                    <w:jc w:val="center"/>
                    <w:rPr>
                      <w:color w:val="auto"/>
                      <w:sz w:val="18"/>
                      <w:szCs w:val="18"/>
                    </w:rPr>
                  </w:pPr>
                </w:p>
              </w:tc>
              <w:tc>
                <w:tcPr>
                  <w:tcW w:w="344" w:type="pct"/>
                  <w:gridSpan w:val="3"/>
                  <w:shd w:val="clear" w:color="auto" w:fill="FFFFFF"/>
                  <w:vAlign w:val="center"/>
                </w:tcPr>
                <w:p w14:paraId="32541D79">
                  <w:pPr>
                    <w:shd w:val="clear" w:color="auto" w:fill="FFFFFF"/>
                    <w:contextualSpacing/>
                    <w:jc w:val="center"/>
                    <w:rPr>
                      <w:color w:val="auto"/>
                      <w:sz w:val="18"/>
                      <w:szCs w:val="18"/>
                    </w:rPr>
                  </w:pPr>
                  <w:r>
                    <w:rPr>
                      <w:rFonts w:hint="eastAsia"/>
                      <w:color w:val="auto"/>
                      <w:sz w:val="18"/>
                      <w:szCs w:val="18"/>
                    </w:rPr>
                    <w:t>3</w:t>
                  </w:r>
                  <w:r>
                    <w:rPr>
                      <w:color w:val="auto"/>
                      <w:sz w:val="18"/>
                      <w:szCs w:val="18"/>
                    </w:rPr>
                    <w:t>000</w:t>
                  </w:r>
                </w:p>
              </w:tc>
              <w:tc>
                <w:tcPr>
                  <w:tcW w:w="404" w:type="pct"/>
                  <w:gridSpan w:val="3"/>
                  <w:vAlign w:val="center"/>
                </w:tcPr>
                <w:p w14:paraId="1CDEBB1C">
                  <w:pPr>
                    <w:contextualSpacing/>
                    <w:jc w:val="center"/>
                    <w:rPr>
                      <w:rFonts w:hint="default" w:eastAsia="宋体"/>
                      <w:color w:val="auto"/>
                      <w:sz w:val="18"/>
                      <w:szCs w:val="18"/>
                      <w:lang w:val="en-US" w:eastAsia="zh-CN"/>
                    </w:rPr>
                  </w:pPr>
                  <w:r>
                    <w:rPr>
                      <w:rFonts w:hint="eastAsia"/>
                      <w:color w:val="auto"/>
                      <w:sz w:val="18"/>
                      <w:szCs w:val="18"/>
                      <w:lang w:val="en-US" w:eastAsia="zh-CN"/>
                    </w:rPr>
                    <w:t>2116.6</w:t>
                  </w:r>
                </w:p>
              </w:tc>
              <w:tc>
                <w:tcPr>
                  <w:tcW w:w="419" w:type="pct"/>
                  <w:gridSpan w:val="2"/>
                  <w:vAlign w:val="center"/>
                </w:tcPr>
                <w:p w14:paraId="53F81A1C">
                  <w:pPr>
                    <w:contextualSpacing/>
                    <w:jc w:val="center"/>
                    <w:rPr>
                      <w:rFonts w:hint="default" w:eastAsia="宋体"/>
                      <w:color w:val="auto"/>
                      <w:sz w:val="18"/>
                      <w:szCs w:val="18"/>
                      <w:lang w:val="en-US" w:eastAsia="zh-CN"/>
                    </w:rPr>
                  </w:pPr>
                  <w:r>
                    <w:rPr>
                      <w:rFonts w:hint="eastAsia"/>
                      <w:color w:val="auto"/>
                      <w:sz w:val="18"/>
                      <w:szCs w:val="18"/>
                      <w:lang w:val="en-US" w:eastAsia="zh-CN"/>
                    </w:rPr>
                    <w:t>6.35</w:t>
                  </w:r>
                </w:p>
              </w:tc>
              <w:tc>
                <w:tcPr>
                  <w:tcW w:w="908" w:type="pct"/>
                  <w:gridSpan w:val="3"/>
                  <w:vMerge w:val="continue"/>
                  <w:vAlign w:val="center"/>
                </w:tcPr>
                <w:p w14:paraId="4FE0A356">
                  <w:pPr>
                    <w:contextualSpacing/>
                    <w:jc w:val="center"/>
                    <w:rPr>
                      <w:color w:val="auto"/>
                      <w:spacing w:val="-6"/>
                      <w:sz w:val="18"/>
                      <w:szCs w:val="18"/>
                    </w:rPr>
                  </w:pPr>
                </w:p>
              </w:tc>
              <w:tc>
                <w:tcPr>
                  <w:tcW w:w="318" w:type="pct"/>
                  <w:gridSpan w:val="3"/>
                  <w:vMerge w:val="continue"/>
                  <w:vAlign w:val="center"/>
                </w:tcPr>
                <w:p w14:paraId="3012F8D2">
                  <w:pPr>
                    <w:contextualSpacing/>
                    <w:jc w:val="center"/>
                    <w:rPr>
                      <w:color w:val="auto"/>
                      <w:spacing w:val="-6"/>
                      <w:sz w:val="18"/>
                      <w:szCs w:val="18"/>
                    </w:rPr>
                  </w:pPr>
                </w:p>
              </w:tc>
              <w:tc>
                <w:tcPr>
                  <w:tcW w:w="356" w:type="pct"/>
                  <w:gridSpan w:val="4"/>
                  <w:vMerge w:val="continue"/>
                  <w:vAlign w:val="center"/>
                </w:tcPr>
                <w:p w14:paraId="57945F24">
                  <w:pPr>
                    <w:contextualSpacing/>
                    <w:jc w:val="center"/>
                    <w:rPr>
                      <w:color w:val="auto"/>
                      <w:sz w:val="18"/>
                      <w:szCs w:val="18"/>
                    </w:rPr>
                  </w:pPr>
                </w:p>
              </w:tc>
              <w:tc>
                <w:tcPr>
                  <w:tcW w:w="503" w:type="pct"/>
                  <w:gridSpan w:val="3"/>
                  <w:vMerge w:val="continue"/>
                  <w:vAlign w:val="center"/>
                </w:tcPr>
                <w:p w14:paraId="0A9438EF">
                  <w:pPr>
                    <w:contextualSpacing/>
                    <w:jc w:val="center"/>
                    <w:rPr>
                      <w:color w:val="auto"/>
                      <w:sz w:val="18"/>
                      <w:szCs w:val="18"/>
                    </w:rPr>
                  </w:pPr>
                </w:p>
              </w:tc>
              <w:tc>
                <w:tcPr>
                  <w:tcW w:w="430" w:type="pct"/>
                  <w:gridSpan w:val="2"/>
                  <w:vMerge w:val="continue"/>
                  <w:vAlign w:val="center"/>
                </w:tcPr>
                <w:p w14:paraId="0B802F96">
                  <w:pPr>
                    <w:contextualSpacing/>
                    <w:jc w:val="center"/>
                    <w:rPr>
                      <w:color w:val="auto"/>
                      <w:sz w:val="18"/>
                      <w:szCs w:val="18"/>
                    </w:rPr>
                  </w:pPr>
                </w:p>
              </w:tc>
              <w:tc>
                <w:tcPr>
                  <w:tcW w:w="237" w:type="pct"/>
                  <w:gridSpan w:val="4"/>
                  <w:vMerge w:val="continue"/>
                  <w:shd w:val="clear" w:color="auto" w:fill="auto"/>
                  <w:vAlign w:val="center"/>
                </w:tcPr>
                <w:p w14:paraId="3015F3A3">
                  <w:pPr>
                    <w:contextualSpacing/>
                    <w:jc w:val="center"/>
                    <w:rPr>
                      <w:color w:val="auto"/>
                      <w:sz w:val="18"/>
                      <w:szCs w:val="18"/>
                    </w:rPr>
                  </w:pPr>
                </w:p>
              </w:tc>
            </w:tr>
            <w:tr w14:paraId="51FC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23ADF3BD">
                  <w:pPr>
                    <w:ind w:firstLine="420"/>
                    <w:contextualSpacing/>
                    <w:jc w:val="center"/>
                    <w:rPr>
                      <w:color w:val="auto"/>
                      <w:sz w:val="18"/>
                      <w:szCs w:val="18"/>
                    </w:rPr>
                  </w:pPr>
                </w:p>
              </w:tc>
              <w:tc>
                <w:tcPr>
                  <w:tcW w:w="161" w:type="pct"/>
                  <w:gridSpan w:val="3"/>
                  <w:vAlign w:val="center"/>
                </w:tcPr>
                <w:p w14:paraId="36296015">
                  <w:pPr>
                    <w:contextualSpacing/>
                    <w:jc w:val="center"/>
                    <w:rPr>
                      <w:rFonts w:hAnsi="宋体"/>
                      <w:color w:val="auto"/>
                      <w:spacing w:val="-14"/>
                      <w:sz w:val="18"/>
                      <w:szCs w:val="18"/>
                    </w:rPr>
                  </w:pPr>
                  <w:r>
                    <w:rPr>
                      <w:rFonts w:hAnsi="宋体"/>
                      <w:color w:val="auto"/>
                      <w:spacing w:val="-14"/>
                      <w:sz w:val="18"/>
                      <w:szCs w:val="18"/>
                    </w:rPr>
                    <w:t>上料仓</w:t>
                  </w:r>
                </w:p>
              </w:tc>
              <w:tc>
                <w:tcPr>
                  <w:tcW w:w="481" w:type="pct"/>
                  <w:gridSpan w:val="3"/>
                  <w:vMerge w:val="continue"/>
                  <w:shd w:val="clear" w:color="auto" w:fill="auto"/>
                  <w:vAlign w:val="center"/>
                </w:tcPr>
                <w:p w14:paraId="168515A8">
                  <w:pPr>
                    <w:contextualSpacing/>
                    <w:jc w:val="center"/>
                    <w:rPr>
                      <w:color w:val="auto"/>
                      <w:sz w:val="18"/>
                      <w:szCs w:val="18"/>
                    </w:rPr>
                  </w:pPr>
                </w:p>
              </w:tc>
              <w:tc>
                <w:tcPr>
                  <w:tcW w:w="237" w:type="pct"/>
                  <w:gridSpan w:val="3"/>
                  <w:vMerge w:val="continue"/>
                  <w:shd w:val="clear" w:color="auto" w:fill="auto"/>
                  <w:vAlign w:val="center"/>
                </w:tcPr>
                <w:p w14:paraId="762EF26B">
                  <w:pPr>
                    <w:contextualSpacing/>
                    <w:jc w:val="center"/>
                    <w:rPr>
                      <w:color w:val="auto"/>
                      <w:sz w:val="18"/>
                      <w:szCs w:val="18"/>
                    </w:rPr>
                  </w:pPr>
                </w:p>
              </w:tc>
              <w:tc>
                <w:tcPr>
                  <w:tcW w:w="344" w:type="pct"/>
                  <w:gridSpan w:val="3"/>
                  <w:shd w:val="clear" w:color="auto" w:fill="FFFFFF"/>
                  <w:vAlign w:val="center"/>
                </w:tcPr>
                <w:p w14:paraId="7A6D78A7">
                  <w:pPr>
                    <w:shd w:val="clear" w:color="auto" w:fill="FFFFFF"/>
                    <w:contextualSpacing/>
                    <w:jc w:val="center"/>
                    <w:rPr>
                      <w:color w:val="auto"/>
                      <w:sz w:val="18"/>
                      <w:szCs w:val="18"/>
                    </w:rPr>
                  </w:pPr>
                  <w:r>
                    <w:rPr>
                      <w:rFonts w:hint="eastAsia"/>
                      <w:color w:val="auto"/>
                      <w:sz w:val="18"/>
                      <w:szCs w:val="18"/>
                    </w:rPr>
                    <w:t>3</w:t>
                  </w:r>
                  <w:r>
                    <w:rPr>
                      <w:color w:val="auto"/>
                      <w:sz w:val="18"/>
                      <w:szCs w:val="18"/>
                    </w:rPr>
                    <w:t>000</w:t>
                  </w:r>
                </w:p>
              </w:tc>
              <w:tc>
                <w:tcPr>
                  <w:tcW w:w="404" w:type="pct"/>
                  <w:gridSpan w:val="3"/>
                  <w:vAlign w:val="center"/>
                </w:tcPr>
                <w:p w14:paraId="0960A889">
                  <w:pPr>
                    <w:contextualSpacing/>
                    <w:jc w:val="center"/>
                    <w:rPr>
                      <w:rFonts w:hint="default" w:eastAsia="宋体"/>
                      <w:color w:val="auto"/>
                      <w:sz w:val="18"/>
                      <w:szCs w:val="18"/>
                      <w:lang w:val="en-US" w:eastAsia="zh-CN"/>
                    </w:rPr>
                  </w:pPr>
                  <w:r>
                    <w:rPr>
                      <w:rFonts w:hint="eastAsia"/>
                      <w:color w:val="auto"/>
                      <w:sz w:val="18"/>
                      <w:szCs w:val="18"/>
                      <w:lang w:val="en-US" w:eastAsia="zh-CN"/>
                    </w:rPr>
                    <w:t>26.7</w:t>
                  </w:r>
                </w:p>
              </w:tc>
              <w:tc>
                <w:tcPr>
                  <w:tcW w:w="419" w:type="pct"/>
                  <w:gridSpan w:val="2"/>
                  <w:vAlign w:val="center"/>
                </w:tcPr>
                <w:p w14:paraId="19FE2326">
                  <w:pPr>
                    <w:contextualSpacing/>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8</w:t>
                  </w:r>
                </w:p>
              </w:tc>
              <w:tc>
                <w:tcPr>
                  <w:tcW w:w="908" w:type="pct"/>
                  <w:gridSpan w:val="3"/>
                  <w:vMerge w:val="continue"/>
                  <w:vAlign w:val="center"/>
                </w:tcPr>
                <w:p w14:paraId="247A4EE5">
                  <w:pPr>
                    <w:contextualSpacing/>
                    <w:jc w:val="center"/>
                    <w:rPr>
                      <w:color w:val="auto"/>
                      <w:spacing w:val="-6"/>
                      <w:sz w:val="18"/>
                      <w:szCs w:val="18"/>
                    </w:rPr>
                  </w:pPr>
                </w:p>
              </w:tc>
              <w:tc>
                <w:tcPr>
                  <w:tcW w:w="318" w:type="pct"/>
                  <w:gridSpan w:val="3"/>
                  <w:vMerge w:val="continue"/>
                  <w:vAlign w:val="center"/>
                </w:tcPr>
                <w:p w14:paraId="73A3E6DC">
                  <w:pPr>
                    <w:contextualSpacing/>
                    <w:jc w:val="center"/>
                    <w:rPr>
                      <w:color w:val="auto"/>
                      <w:spacing w:val="-6"/>
                      <w:sz w:val="18"/>
                      <w:szCs w:val="18"/>
                    </w:rPr>
                  </w:pPr>
                </w:p>
              </w:tc>
              <w:tc>
                <w:tcPr>
                  <w:tcW w:w="356" w:type="pct"/>
                  <w:gridSpan w:val="4"/>
                  <w:vMerge w:val="continue"/>
                  <w:vAlign w:val="center"/>
                </w:tcPr>
                <w:p w14:paraId="4D3FC882">
                  <w:pPr>
                    <w:contextualSpacing/>
                    <w:jc w:val="center"/>
                    <w:rPr>
                      <w:color w:val="auto"/>
                      <w:sz w:val="18"/>
                      <w:szCs w:val="18"/>
                    </w:rPr>
                  </w:pPr>
                </w:p>
              </w:tc>
              <w:tc>
                <w:tcPr>
                  <w:tcW w:w="503" w:type="pct"/>
                  <w:gridSpan w:val="3"/>
                  <w:vMerge w:val="continue"/>
                  <w:vAlign w:val="center"/>
                </w:tcPr>
                <w:p w14:paraId="7473CEBE">
                  <w:pPr>
                    <w:contextualSpacing/>
                    <w:jc w:val="center"/>
                    <w:rPr>
                      <w:color w:val="auto"/>
                      <w:sz w:val="18"/>
                      <w:szCs w:val="18"/>
                    </w:rPr>
                  </w:pPr>
                </w:p>
              </w:tc>
              <w:tc>
                <w:tcPr>
                  <w:tcW w:w="430" w:type="pct"/>
                  <w:gridSpan w:val="2"/>
                  <w:vMerge w:val="continue"/>
                  <w:vAlign w:val="center"/>
                </w:tcPr>
                <w:p w14:paraId="530FDEFC">
                  <w:pPr>
                    <w:contextualSpacing/>
                    <w:jc w:val="center"/>
                    <w:rPr>
                      <w:color w:val="auto"/>
                      <w:sz w:val="18"/>
                      <w:szCs w:val="18"/>
                    </w:rPr>
                  </w:pPr>
                </w:p>
              </w:tc>
              <w:tc>
                <w:tcPr>
                  <w:tcW w:w="237" w:type="pct"/>
                  <w:gridSpan w:val="4"/>
                  <w:vMerge w:val="continue"/>
                  <w:shd w:val="clear" w:color="auto" w:fill="auto"/>
                  <w:vAlign w:val="center"/>
                </w:tcPr>
                <w:p w14:paraId="60B42280">
                  <w:pPr>
                    <w:contextualSpacing/>
                    <w:jc w:val="center"/>
                    <w:rPr>
                      <w:color w:val="auto"/>
                      <w:sz w:val="18"/>
                      <w:szCs w:val="18"/>
                    </w:rPr>
                  </w:pPr>
                </w:p>
              </w:tc>
            </w:tr>
            <w:tr w14:paraId="5447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 w:type="pct"/>
                <w:trHeight w:val="397" w:hRule="atLeast"/>
                <w:jc w:val="center"/>
              </w:trPr>
              <w:tc>
                <w:tcPr>
                  <w:tcW w:w="192" w:type="pct"/>
                  <w:gridSpan w:val="2"/>
                  <w:vMerge w:val="continue"/>
                  <w:vAlign w:val="center"/>
                </w:tcPr>
                <w:p w14:paraId="68684869">
                  <w:pPr>
                    <w:ind w:firstLine="420"/>
                    <w:contextualSpacing/>
                    <w:jc w:val="center"/>
                    <w:rPr>
                      <w:color w:val="auto"/>
                      <w:sz w:val="18"/>
                      <w:szCs w:val="18"/>
                    </w:rPr>
                  </w:pPr>
                </w:p>
              </w:tc>
              <w:tc>
                <w:tcPr>
                  <w:tcW w:w="161" w:type="pct"/>
                  <w:gridSpan w:val="3"/>
                  <w:vAlign w:val="center"/>
                </w:tcPr>
                <w:p w14:paraId="59A243BF">
                  <w:pPr>
                    <w:contextualSpacing/>
                    <w:jc w:val="center"/>
                    <w:rPr>
                      <w:rFonts w:hAnsi="宋体"/>
                      <w:color w:val="auto"/>
                      <w:spacing w:val="-14"/>
                      <w:sz w:val="18"/>
                      <w:szCs w:val="18"/>
                    </w:rPr>
                  </w:pPr>
                  <w:r>
                    <w:rPr>
                      <w:color w:val="auto"/>
                      <w:sz w:val="18"/>
                      <w:szCs w:val="18"/>
                    </w:rPr>
                    <w:t>矿粉筒仓</w:t>
                  </w:r>
                </w:p>
              </w:tc>
              <w:tc>
                <w:tcPr>
                  <w:tcW w:w="481" w:type="pct"/>
                  <w:gridSpan w:val="3"/>
                  <w:vMerge w:val="continue"/>
                  <w:shd w:val="clear" w:color="auto" w:fill="auto"/>
                  <w:vAlign w:val="center"/>
                </w:tcPr>
                <w:p w14:paraId="2795F502">
                  <w:pPr>
                    <w:contextualSpacing/>
                    <w:jc w:val="center"/>
                    <w:rPr>
                      <w:color w:val="auto"/>
                      <w:sz w:val="18"/>
                      <w:szCs w:val="18"/>
                    </w:rPr>
                  </w:pPr>
                </w:p>
              </w:tc>
              <w:tc>
                <w:tcPr>
                  <w:tcW w:w="237" w:type="pct"/>
                  <w:gridSpan w:val="3"/>
                  <w:vMerge w:val="continue"/>
                  <w:shd w:val="clear" w:color="auto" w:fill="auto"/>
                  <w:vAlign w:val="center"/>
                </w:tcPr>
                <w:p w14:paraId="5750CF64">
                  <w:pPr>
                    <w:contextualSpacing/>
                    <w:jc w:val="center"/>
                    <w:rPr>
                      <w:color w:val="auto"/>
                      <w:sz w:val="18"/>
                      <w:szCs w:val="18"/>
                    </w:rPr>
                  </w:pPr>
                </w:p>
              </w:tc>
              <w:tc>
                <w:tcPr>
                  <w:tcW w:w="344" w:type="pct"/>
                  <w:gridSpan w:val="3"/>
                  <w:shd w:val="clear" w:color="auto" w:fill="FFFFFF"/>
                  <w:vAlign w:val="center"/>
                </w:tcPr>
                <w:p w14:paraId="74113F10">
                  <w:pPr>
                    <w:shd w:val="clear" w:color="auto" w:fill="FFFFFF"/>
                    <w:contextualSpacing/>
                    <w:jc w:val="center"/>
                    <w:rPr>
                      <w:color w:val="auto"/>
                      <w:sz w:val="18"/>
                      <w:szCs w:val="18"/>
                    </w:rPr>
                  </w:pPr>
                  <w:r>
                    <w:rPr>
                      <w:rFonts w:hint="eastAsia"/>
                      <w:color w:val="auto"/>
                      <w:sz w:val="18"/>
                      <w:szCs w:val="18"/>
                    </w:rPr>
                    <w:t>3000</w:t>
                  </w:r>
                </w:p>
              </w:tc>
              <w:tc>
                <w:tcPr>
                  <w:tcW w:w="404" w:type="pct"/>
                  <w:gridSpan w:val="3"/>
                  <w:vAlign w:val="center"/>
                </w:tcPr>
                <w:p w14:paraId="5FAC0AF3">
                  <w:pPr>
                    <w:contextualSpacing/>
                    <w:jc w:val="center"/>
                    <w:rPr>
                      <w:rFonts w:hint="default" w:eastAsia="宋体"/>
                      <w:color w:val="auto"/>
                      <w:sz w:val="18"/>
                      <w:szCs w:val="18"/>
                      <w:lang w:val="en-US" w:eastAsia="zh-CN"/>
                    </w:rPr>
                  </w:pPr>
                  <w:r>
                    <w:rPr>
                      <w:rFonts w:hint="eastAsia"/>
                      <w:color w:val="auto"/>
                      <w:sz w:val="18"/>
                      <w:szCs w:val="18"/>
                      <w:lang w:val="en-US" w:eastAsia="zh-CN"/>
                    </w:rPr>
                    <w:t>1000</w:t>
                  </w:r>
                </w:p>
              </w:tc>
              <w:tc>
                <w:tcPr>
                  <w:tcW w:w="419" w:type="pct"/>
                  <w:gridSpan w:val="2"/>
                  <w:vAlign w:val="center"/>
                </w:tcPr>
                <w:p w14:paraId="64F52316">
                  <w:pPr>
                    <w:contextualSpacing/>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908" w:type="pct"/>
                  <w:gridSpan w:val="3"/>
                  <w:vMerge w:val="continue"/>
                  <w:vAlign w:val="center"/>
                </w:tcPr>
                <w:p w14:paraId="083257B8">
                  <w:pPr>
                    <w:contextualSpacing/>
                    <w:jc w:val="center"/>
                    <w:rPr>
                      <w:color w:val="auto"/>
                      <w:spacing w:val="-6"/>
                      <w:sz w:val="18"/>
                      <w:szCs w:val="18"/>
                    </w:rPr>
                  </w:pPr>
                </w:p>
              </w:tc>
              <w:tc>
                <w:tcPr>
                  <w:tcW w:w="318" w:type="pct"/>
                  <w:gridSpan w:val="3"/>
                  <w:vMerge w:val="continue"/>
                  <w:vAlign w:val="center"/>
                </w:tcPr>
                <w:p w14:paraId="54206E9E">
                  <w:pPr>
                    <w:contextualSpacing/>
                    <w:jc w:val="center"/>
                    <w:rPr>
                      <w:color w:val="auto"/>
                      <w:spacing w:val="-6"/>
                      <w:sz w:val="18"/>
                      <w:szCs w:val="18"/>
                    </w:rPr>
                  </w:pPr>
                </w:p>
              </w:tc>
              <w:tc>
                <w:tcPr>
                  <w:tcW w:w="356" w:type="pct"/>
                  <w:gridSpan w:val="4"/>
                  <w:vMerge w:val="continue"/>
                  <w:vAlign w:val="center"/>
                </w:tcPr>
                <w:p w14:paraId="336B2CC1">
                  <w:pPr>
                    <w:contextualSpacing/>
                    <w:jc w:val="center"/>
                    <w:rPr>
                      <w:color w:val="auto"/>
                      <w:sz w:val="18"/>
                      <w:szCs w:val="18"/>
                    </w:rPr>
                  </w:pPr>
                </w:p>
              </w:tc>
              <w:tc>
                <w:tcPr>
                  <w:tcW w:w="503" w:type="pct"/>
                  <w:gridSpan w:val="3"/>
                  <w:vMerge w:val="continue"/>
                  <w:vAlign w:val="center"/>
                </w:tcPr>
                <w:p w14:paraId="5D35C448">
                  <w:pPr>
                    <w:contextualSpacing/>
                    <w:jc w:val="center"/>
                    <w:rPr>
                      <w:color w:val="auto"/>
                      <w:sz w:val="18"/>
                      <w:szCs w:val="18"/>
                    </w:rPr>
                  </w:pPr>
                </w:p>
              </w:tc>
              <w:tc>
                <w:tcPr>
                  <w:tcW w:w="430" w:type="pct"/>
                  <w:gridSpan w:val="2"/>
                  <w:vMerge w:val="continue"/>
                  <w:vAlign w:val="center"/>
                </w:tcPr>
                <w:p w14:paraId="5033B64C">
                  <w:pPr>
                    <w:contextualSpacing/>
                    <w:jc w:val="center"/>
                    <w:rPr>
                      <w:color w:val="auto"/>
                      <w:sz w:val="18"/>
                      <w:szCs w:val="18"/>
                    </w:rPr>
                  </w:pPr>
                </w:p>
              </w:tc>
              <w:tc>
                <w:tcPr>
                  <w:tcW w:w="237" w:type="pct"/>
                  <w:gridSpan w:val="4"/>
                  <w:shd w:val="clear" w:color="auto" w:fill="auto"/>
                  <w:vAlign w:val="center"/>
                </w:tcPr>
                <w:p w14:paraId="430D11CF">
                  <w:pPr>
                    <w:contextualSpacing/>
                    <w:jc w:val="center"/>
                    <w:rPr>
                      <w:color w:val="auto"/>
                      <w:sz w:val="18"/>
                      <w:szCs w:val="18"/>
                    </w:rPr>
                  </w:pPr>
                  <w:r>
                    <w:rPr>
                      <w:rFonts w:hint="eastAsia"/>
                      <w:color w:val="auto"/>
                      <w:sz w:val="18"/>
                      <w:szCs w:val="18"/>
                    </w:rPr>
                    <w:t>600</w:t>
                  </w:r>
                </w:p>
              </w:tc>
            </w:tr>
            <w:tr w14:paraId="4158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restart"/>
                  <w:vAlign w:val="center"/>
                </w:tcPr>
                <w:p w14:paraId="788A0A97">
                  <w:pPr>
                    <w:contextualSpacing/>
                    <w:jc w:val="center"/>
                    <w:rPr>
                      <w:color w:val="auto"/>
                      <w:sz w:val="18"/>
                      <w:szCs w:val="18"/>
                    </w:rPr>
                  </w:pPr>
                  <w:r>
                    <w:rPr>
                      <w:rFonts w:hAnsi="宋体"/>
                      <w:color w:val="auto"/>
                      <w:sz w:val="18"/>
                      <w:szCs w:val="18"/>
                    </w:rPr>
                    <w:t>沥青搅拌站</w:t>
                  </w:r>
                </w:p>
              </w:tc>
              <w:tc>
                <w:tcPr>
                  <w:tcW w:w="161" w:type="pct"/>
                  <w:gridSpan w:val="3"/>
                  <w:vMerge w:val="restart"/>
                  <w:vAlign w:val="center"/>
                </w:tcPr>
                <w:p w14:paraId="351D824F">
                  <w:pPr>
                    <w:contextualSpacing/>
                    <w:jc w:val="center"/>
                    <w:rPr>
                      <w:color w:val="auto"/>
                      <w:sz w:val="18"/>
                      <w:szCs w:val="18"/>
                    </w:rPr>
                  </w:pPr>
                  <w:r>
                    <w:rPr>
                      <w:rFonts w:hAnsi="宋体"/>
                      <w:color w:val="auto"/>
                      <w:sz w:val="18"/>
                      <w:szCs w:val="18"/>
                    </w:rPr>
                    <w:t>导热油炉</w:t>
                  </w:r>
                </w:p>
              </w:tc>
              <w:tc>
                <w:tcPr>
                  <w:tcW w:w="481" w:type="pct"/>
                  <w:gridSpan w:val="3"/>
                  <w:vMerge w:val="restart"/>
                  <w:shd w:val="clear" w:color="auto" w:fill="auto"/>
                  <w:vAlign w:val="center"/>
                </w:tcPr>
                <w:p w14:paraId="5D663436">
                  <w:pPr>
                    <w:contextualSpacing/>
                    <w:jc w:val="center"/>
                    <w:rPr>
                      <w:color w:val="auto"/>
                      <w:sz w:val="18"/>
                      <w:szCs w:val="18"/>
                    </w:rPr>
                  </w:pPr>
                  <w:r>
                    <w:rPr>
                      <w:color w:val="auto"/>
                      <w:sz w:val="18"/>
                      <w:szCs w:val="18"/>
                    </w:rPr>
                    <w:t>导热油炉烟囱（</w:t>
                  </w:r>
                  <w:r>
                    <w:rPr>
                      <w:rFonts w:hint="eastAsia"/>
                      <w:color w:val="auto"/>
                      <w:sz w:val="18"/>
                      <w:szCs w:val="18"/>
                    </w:rPr>
                    <w:t>DA002</w:t>
                  </w:r>
                  <w:r>
                    <w:rPr>
                      <w:color w:val="auto"/>
                      <w:sz w:val="18"/>
                      <w:szCs w:val="18"/>
                    </w:rPr>
                    <w:t>）</w:t>
                  </w:r>
                </w:p>
              </w:tc>
              <w:tc>
                <w:tcPr>
                  <w:tcW w:w="237" w:type="pct"/>
                  <w:gridSpan w:val="3"/>
                  <w:shd w:val="clear" w:color="auto" w:fill="auto"/>
                  <w:vAlign w:val="center"/>
                </w:tcPr>
                <w:p w14:paraId="67B0714A">
                  <w:pPr>
                    <w:jc w:val="center"/>
                    <w:rPr>
                      <w:color w:val="auto"/>
                      <w:sz w:val="18"/>
                      <w:szCs w:val="18"/>
                    </w:rPr>
                  </w:pPr>
                  <w:r>
                    <w:rPr>
                      <w:rFonts w:hAnsi="宋体"/>
                      <w:color w:val="auto"/>
                      <w:sz w:val="18"/>
                      <w:szCs w:val="18"/>
                    </w:rPr>
                    <w:t>颗粒物</w:t>
                  </w:r>
                </w:p>
              </w:tc>
              <w:tc>
                <w:tcPr>
                  <w:tcW w:w="344" w:type="pct"/>
                  <w:gridSpan w:val="3"/>
                  <w:vMerge w:val="restart"/>
                  <w:shd w:val="clear" w:color="auto" w:fill="FFFFFF"/>
                  <w:vAlign w:val="center"/>
                </w:tcPr>
                <w:p w14:paraId="526D3C5C">
                  <w:pPr>
                    <w:shd w:val="clear" w:color="auto" w:fill="FFFFFF"/>
                    <w:contextualSpacing/>
                    <w:jc w:val="center"/>
                    <w:rPr>
                      <w:rFonts w:hint="default" w:eastAsia="宋体"/>
                      <w:color w:val="auto"/>
                      <w:sz w:val="18"/>
                      <w:szCs w:val="18"/>
                      <w:lang w:val="en-US" w:eastAsia="zh-CN"/>
                    </w:rPr>
                  </w:pPr>
                  <w:r>
                    <w:rPr>
                      <w:rFonts w:hint="eastAsia"/>
                      <w:color w:val="auto"/>
                      <w:sz w:val="18"/>
                      <w:szCs w:val="18"/>
                    </w:rPr>
                    <w:t>1</w:t>
                  </w:r>
                  <w:r>
                    <w:rPr>
                      <w:rFonts w:hint="eastAsia"/>
                      <w:color w:val="auto"/>
                      <w:sz w:val="18"/>
                      <w:szCs w:val="18"/>
                      <w:lang w:val="en-US" w:eastAsia="zh-CN"/>
                    </w:rPr>
                    <w:t>157</w:t>
                  </w:r>
                </w:p>
              </w:tc>
              <w:tc>
                <w:tcPr>
                  <w:tcW w:w="403" w:type="pct"/>
                  <w:gridSpan w:val="2"/>
                  <w:vAlign w:val="center"/>
                </w:tcPr>
                <w:p w14:paraId="0C688AD0">
                  <w:pPr>
                    <w:contextualSpacing/>
                    <w:jc w:val="center"/>
                    <w:rPr>
                      <w:rFonts w:hint="eastAsia"/>
                      <w:color w:val="auto"/>
                      <w:sz w:val="18"/>
                      <w:szCs w:val="18"/>
                      <w:lang w:val="en-US" w:eastAsia="zh-CN"/>
                    </w:rPr>
                  </w:pPr>
                  <w:r>
                    <w:rPr>
                      <w:rFonts w:hint="eastAsia"/>
                      <w:color w:val="auto"/>
                      <w:sz w:val="18"/>
                      <w:szCs w:val="18"/>
                      <w:lang w:val="en-US" w:eastAsia="zh-CN"/>
                    </w:rPr>
                    <w:t>16.2</w:t>
                  </w:r>
                </w:p>
              </w:tc>
              <w:tc>
                <w:tcPr>
                  <w:tcW w:w="419" w:type="pct"/>
                  <w:gridSpan w:val="2"/>
                  <w:vAlign w:val="center"/>
                </w:tcPr>
                <w:p w14:paraId="5CF6EE5E">
                  <w:pPr>
                    <w:contextualSpacing/>
                    <w:jc w:val="center"/>
                    <w:rPr>
                      <w:rFonts w:hint="eastAsia"/>
                      <w:color w:val="auto"/>
                      <w:sz w:val="18"/>
                      <w:szCs w:val="18"/>
                      <w:lang w:val="en-US" w:eastAsia="zh-CN"/>
                    </w:rPr>
                  </w:pPr>
                  <w:r>
                    <w:rPr>
                      <w:rFonts w:hint="eastAsia"/>
                      <w:color w:val="auto"/>
                      <w:sz w:val="18"/>
                      <w:szCs w:val="18"/>
                      <w:lang w:val="en-US" w:eastAsia="zh-CN"/>
                    </w:rPr>
                    <w:t>0.019</w:t>
                  </w:r>
                </w:p>
              </w:tc>
              <w:tc>
                <w:tcPr>
                  <w:tcW w:w="908" w:type="pct"/>
                  <w:gridSpan w:val="3"/>
                  <w:vMerge w:val="restart"/>
                  <w:vAlign w:val="center"/>
                </w:tcPr>
                <w:p w14:paraId="07915E5F">
                  <w:pPr>
                    <w:contextualSpacing/>
                    <w:jc w:val="center"/>
                    <w:rPr>
                      <w:color w:val="auto"/>
                      <w:spacing w:val="-6"/>
                      <w:sz w:val="18"/>
                      <w:szCs w:val="18"/>
                    </w:rPr>
                  </w:pPr>
                  <w:r>
                    <w:rPr>
                      <w:rFonts w:hAnsi="宋体"/>
                      <w:color w:val="auto"/>
                      <w:sz w:val="18"/>
                      <w:szCs w:val="18"/>
                    </w:rPr>
                    <w:t>导热油炉</w:t>
                  </w:r>
                  <w:r>
                    <w:rPr>
                      <w:rFonts w:hAnsi="宋体"/>
                      <w:bCs/>
                      <w:color w:val="auto"/>
                      <w:sz w:val="18"/>
                      <w:szCs w:val="18"/>
                    </w:rPr>
                    <w:t>烟气</w:t>
                  </w:r>
                  <w:r>
                    <w:rPr>
                      <w:rFonts w:hint="eastAsia" w:hAnsi="宋体"/>
                      <w:bCs/>
                      <w:color w:val="auto"/>
                      <w:sz w:val="18"/>
                      <w:szCs w:val="18"/>
                    </w:rPr>
                    <w:t>经低氮燃烧处理后（除氮效率30%），由1根12m高排气筒（DA002）排放</w:t>
                  </w:r>
                </w:p>
              </w:tc>
              <w:tc>
                <w:tcPr>
                  <w:tcW w:w="318" w:type="pct"/>
                  <w:gridSpan w:val="3"/>
                  <w:vAlign w:val="center"/>
                </w:tcPr>
                <w:p w14:paraId="2760DA6E">
                  <w:pPr>
                    <w:contextualSpacing/>
                    <w:jc w:val="center"/>
                    <w:rPr>
                      <w:color w:val="auto"/>
                      <w:spacing w:val="-6"/>
                      <w:sz w:val="18"/>
                      <w:szCs w:val="18"/>
                    </w:rPr>
                  </w:pPr>
                  <w:r>
                    <w:rPr>
                      <w:rFonts w:hint="eastAsia"/>
                      <w:color w:val="auto"/>
                      <w:spacing w:val="-6"/>
                      <w:sz w:val="18"/>
                      <w:szCs w:val="18"/>
                    </w:rPr>
                    <w:t>/</w:t>
                  </w:r>
                </w:p>
              </w:tc>
              <w:tc>
                <w:tcPr>
                  <w:tcW w:w="356" w:type="pct"/>
                  <w:gridSpan w:val="4"/>
                  <w:vMerge w:val="restart"/>
                  <w:vAlign w:val="center"/>
                </w:tcPr>
                <w:p w14:paraId="20686351">
                  <w:pPr>
                    <w:contextualSpacing/>
                    <w:jc w:val="center"/>
                    <w:rPr>
                      <w:color w:val="auto"/>
                      <w:sz w:val="18"/>
                      <w:szCs w:val="18"/>
                    </w:rPr>
                  </w:pPr>
                  <w:r>
                    <w:rPr>
                      <w:rFonts w:hint="eastAsia"/>
                      <w:color w:val="auto"/>
                      <w:sz w:val="18"/>
                      <w:szCs w:val="18"/>
                    </w:rPr>
                    <w:t>1</w:t>
                  </w:r>
                  <w:r>
                    <w:rPr>
                      <w:rFonts w:hint="eastAsia"/>
                      <w:color w:val="auto"/>
                      <w:sz w:val="18"/>
                      <w:szCs w:val="18"/>
                      <w:lang w:val="en-US" w:eastAsia="zh-CN"/>
                    </w:rPr>
                    <w:t>157</w:t>
                  </w:r>
                </w:p>
              </w:tc>
              <w:tc>
                <w:tcPr>
                  <w:tcW w:w="503" w:type="pct"/>
                  <w:gridSpan w:val="3"/>
                  <w:vAlign w:val="center"/>
                </w:tcPr>
                <w:p w14:paraId="69903A9D">
                  <w:pPr>
                    <w:contextualSpacing/>
                    <w:jc w:val="center"/>
                    <w:rPr>
                      <w:rFonts w:hint="eastAsia"/>
                      <w:color w:val="auto"/>
                      <w:sz w:val="18"/>
                      <w:szCs w:val="18"/>
                      <w:lang w:val="en-US" w:eastAsia="zh-CN"/>
                    </w:rPr>
                  </w:pPr>
                  <w:r>
                    <w:rPr>
                      <w:rFonts w:hint="eastAsia"/>
                      <w:color w:val="auto"/>
                      <w:sz w:val="18"/>
                      <w:szCs w:val="18"/>
                      <w:lang w:val="en-US" w:eastAsia="zh-CN"/>
                    </w:rPr>
                    <w:t>16.2</w:t>
                  </w:r>
                </w:p>
              </w:tc>
              <w:tc>
                <w:tcPr>
                  <w:tcW w:w="430" w:type="pct"/>
                  <w:gridSpan w:val="2"/>
                  <w:vAlign w:val="center"/>
                </w:tcPr>
                <w:p w14:paraId="126F7714">
                  <w:pPr>
                    <w:contextualSpacing/>
                    <w:jc w:val="center"/>
                    <w:rPr>
                      <w:rFonts w:hint="eastAsia"/>
                      <w:color w:val="auto"/>
                      <w:sz w:val="18"/>
                      <w:szCs w:val="18"/>
                      <w:lang w:val="en-US" w:eastAsia="zh-CN"/>
                    </w:rPr>
                  </w:pPr>
                  <w:r>
                    <w:rPr>
                      <w:rFonts w:hint="eastAsia"/>
                      <w:color w:val="auto"/>
                      <w:sz w:val="18"/>
                      <w:szCs w:val="18"/>
                      <w:lang w:val="en-US" w:eastAsia="zh-CN"/>
                    </w:rPr>
                    <w:t>0.019</w:t>
                  </w:r>
                </w:p>
              </w:tc>
              <w:tc>
                <w:tcPr>
                  <w:tcW w:w="240" w:type="pct"/>
                  <w:gridSpan w:val="5"/>
                  <w:vMerge w:val="restart"/>
                  <w:shd w:val="clear" w:color="auto" w:fill="auto"/>
                  <w:vAlign w:val="center"/>
                </w:tcPr>
                <w:p w14:paraId="4906B588">
                  <w:pPr>
                    <w:contextualSpacing/>
                    <w:jc w:val="center"/>
                    <w:rPr>
                      <w:color w:val="auto"/>
                      <w:sz w:val="18"/>
                      <w:szCs w:val="18"/>
                    </w:rPr>
                  </w:pPr>
                  <w:r>
                    <w:rPr>
                      <w:rFonts w:hint="eastAsia"/>
                      <w:color w:val="auto"/>
                      <w:sz w:val="18"/>
                      <w:szCs w:val="18"/>
                    </w:rPr>
                    <w:t>2</w:t>
                  </w:r>
                  <w:r>
                    <w:rPr>
                      <w:rFonts w:hint="eastAsia"/>
                      <w:color w:val="auto"/>
                      <w:sz w:val="18"/>
                      <w:szCs w:val="18"/>
                      <w:lang w:val="en-US" w:eastAsia="zh-CN"/>
                    </w:rPr>
                    <w:t>4</w:t>
                  </w:r>
                  <w:r>
                    <w:rPr>
                      <w:rFonts w:hint="eastAsia"/>
                      <w:color w:val="auto"/>
                      <w:sz w:val="18"/>
                      <w:szCs w:val="18"/>
                    </w:rPr>
                    <w:t>00</w:t>
                  </w:r>
                </w:p>
              </w:tc>
            </w:tr>
            <w:tr w14:paraId="4834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continue"/>
                  <w:vAlign w:val="center"/>
                </w:tcPr>
                <w:p w14:paraId="095843ED">
                  <w:pPr>
                    <w:ind w:firstLine="420"/>
                    <w:contextualSpacing/>
                    <w:jc w:val="center"/>
                    <w:rPr>
                      <w:color w:val="auto"/>
                      <w:sz w:val="18"/>
                      <w:szCs w:val="18"/>
                    </w:rPr>
                  </w:pPr>
                </w:p>
              </w:tc>
              <w:tc>
                <w:tcPr>
                  <w:tcW w:w="161" w:type="pct"/>
                  <w:gridSpan w:val="3"/>
                  <w:vMerge w:val="continue"/>
                  <w:vAlign w:val="center"/>
                </w:tcPr>
                <w:p w14:paraId="4C410151">
                  <w:pPr>
                    <w:contextualSpacing/>
                    <w:jc w:val="center"/>
                    <w:rPr>
                      <w:color w:val="auto"/>
                      <w:sz w:val="18"/>
                      <w:szCs w:val="18"/>
                    </w:rPr>
                  </w:pPr>
                </w:p>
              </w:tc>
              <w:tc>
                <w:tcPr>
                  <w:tcW w:w="481" w:type="pct"/>
                  <w:gridSpan w:val="3"/>
                  <w:vMerge w:val="continue"/>
                  <w:shd w:val="clear" w:color="auto" w:fill="auto"/>
                  <w:vAlign w:val="center"/>
                </w:tcPr>
                <w:p w14:paraId="4E638CBC">
                  <w:pPr>
                    <w:contextualSpacing/>
                    <w:jc w:val="center"/>
                    <w:rPr>
                      <w:color w:val="auto"/>
                      <w:sz w:val="18"/>
                      <w:szCs w:val="18"/>
                    </w:rPr>
                  </w:pPr>
                </w:p>
              </w:tc>
              <w:tc>
                <w:tcPr>
                  <w:tcW w:w="237" w:type="pct"/>
                  <w:gridSpan w:val="3"/>
                  <w:shd w:val="clear" w:color="auto" w:fill="auto"/>
                  <w:vAlign w:val="center"/>
                </w:tcPr>
                <w:p w14:paraId="47165591">
                  <w:pPr>
                    <w:jc w:val="center"/>
                    <w:rPr>
                      <w:color w:val="auto"/>
                      <w:sz w:val="18"/>
                      <w:szCs w:val="18"/>
                    </w:rPr>
                  </w:pPr>
                  <w:r>
                    <w:rPr>
                      <w:color w:val="auto"/>
                      <w:sz w:val="18"/>
                      <w:szCs w:val="18"/>
                    </w:rPr>
                    <w:t>SO</w:t>
                  </w:r>
                  <w:r>
                    <w:rPr>
                      <w:color w:val="auto"/>
                      <w:sz w:val="18"/>
                      <w:szCs w:val="18"/>
                      <w:vertAlign w:val="subscript"/>
                    </w:rPr>
                    <w:t>2</w:t>
                  </w:r>
                </w:p>
              </w:tc>
              <w:tc>
                <w:tcPr>
                  <w:tcW w:w="344" w:type="pct"/>
                  <w:gridSpan w:val="3"/>
                  <w:vMerge w:val="continue"/>
                  <w:shd w:val="clear" w:color="auto" w:fill="FFFFFF"/>
                  <w:vAlign w:val="center"/>
                </w:tcPr>
                <w:p w14:paraId="036CC37B">
                  <w:pPr>
                    <w:shd w:val="clear" w:color="auto" w:fill="FFFFFF"/>
                    <w:contextualSpacing/>
                    <w:jc w:val="center"/>
                    <w:rPr>
                      <w:color w:val="auto"/>
                      <w:sz w:val="18"/>
                      <w:szCs w:val="18"/>
                    </w:rPr>
                  </w:pPr>
                </w:p>
              </w:tc>
              <w:tc>
                <w:tcPr>
                  <w:tcW w:w="403" w:type="pct"/>
                  <w:gridSpan w:val="2"/>
                  <w:vAlign w:val="center"/>
                </w:tcPr>
                <w:p w14:paraId="6901F79C">
                  <w:pPr>
                    <w:contextualSpacing/>
                    <w:jc w:val="center"/>
                    <w:rPr>
                      <w:rFonts w:hint="eastAsia"/>
                      <w:color w:val="auto"/>
                      <w:sz w:val="18"/>
                      <w:szCs w:val="18"/>
                      <w:lang w:val="en-US" w:eastAsia="zh-CN"/>
                    </w:rPr>
                  </w:pPr>
                  <w:r>
                    <w:rPr>
                      <w:rFonts w:hint="eastAsia"/>
                      <w:color w:val="auto"/>
                      <w:sz w:val="18"/>
                      <w:szCs w:val="18"/>
                      <w:lang w:val="en-US" w:eastAsia="zh-CN"/>
                    </w:rPr>
                    <w:t>0.25</w:t>
                  </w:r>
                </w:p>
              </w:tc>
              <w:tc>
                <w:tcPr>
                  <w:tcW w:w="419" w:type="pct"/>
                  <w:gridSpan w:val="2"/>
                  <w:vAlign w:val="center"/>
                </w:tcPr>
                <w:p w14:paraId="090DAC50">
                  <w:pPr>
                    <w:contextualSpacing/>
                    <w:jc w:val="center"/>
                    <w:rPr>
                      <w:rFonts w:hint="eastAsia"/>
                      <w:color w:val="auto"/>
                      <w:sz w:val="18"/>
                      <w:szCs w:val="18"/>
                      <w:lang w:val="en-US" w:eastAsia="zh-CN"/>
                    </w:rPr>
                  </w:pPr>
                  <w:r>
                    <w:rPr>
                      <w:rFonts w:hint="eastAsia"/>
                      <w:color w:val="auto"/>
                      <w:sz w:val="18"/>
                      <w:szCs w:val="18"/>
                      <w:lang w:val="en-US" w:eastAsia="zh-CN"/>
                    </w:rPr>
                    <w:t>0.0003</w:t>
                  </w:r>
                </w:p>
              </w:tc>
              <w:tc>
                <w:tcPr>
                  <w:tcW w:w="908" w:type="pct"/>
                  <w:gridSpan w:val="3"/>
                  <w:vMerge w:val="continue"/>
                  <w:vAlign w:val="center"/>
                </w:tcPr>
                <w:p w14:paraId="376229CE">
                  <w:pPr>
                    <w:contextualSpacing/>
                    <w:jc w:val="center"/>
                    <w:rPr>
                      <w:color w:val="auto"/>
                      <w:spacing w:val="-6"/>
                      <w:sz w:val="18"/>
                      <w:szCs w:val="18"/>
                    </w:rPr>
                  </w:pPr>
                </w:p>
              </w:tc>
              <w:tc>
                <w:tcPr>
                  <w:tcW w:w="318" w:type="pct"/>
                  <w:gridSpan w:val="3"/>
                  <w:vAlign w:val="center"/>
                </w:tcPr>
                <w:p w14:paraId="3FC9AD47">
                  <w:pPr>
                    <w:contextualSpacing/>
                    <w:jc w:val="center"/>
                    <w:rPr>
                      <w:color w:val="auto"/>
                      <w:spacing w:val="-6"/>
                      <w:sz w:val="18"/>
                      <w:szCs w:val="18"/>
                    </w:rPr>
                  </w:pPr>
                  <w:r>
                    <w:rPr>
                      <w:color w:val="auto"/>
                      <w:spacing w:val="-6"/>
                      <w:sz w:val="18"/>
                      <w:szCs w:val="18"/>
                    </w:rPr>
                    <w:t>/</w:t>
                  </w:r>
                </w:p>
              </w:tc>
              <w:tc>
                <w:tcPr>
                  <w:tcW w:w="356" w:type="pct"/>
                  <w:gridSpan w:val="4"/>
                  <w:vMerge w:val="continue"/>
                  <w:vAlign w:val="center"/>
                </w:tcPr>
                <w:p w14:paraId="06FFCA50">
                  <w:pPr>
                    <w:contextualSpacing/>
                    <w:jc w:val="center"/>
                    <w:rPr>
                      <w:color w:val="auto"/>
                      <w:sz w:val="18"/>
                      <w:szCs w:val="18"/>
                    </w:rPr>
                  </w:pPr>
                </w:p>
              </w:tc>
              <w:tc>
                <w:tcPr>
                  <w:tcW w:w="503" w:type="pct"/>
                  <w:gridSpan w:val="3"/>
                  <w:vAlign w:val="center"/>
                </w:tcPr>
                <w:p w14:paraId="0D07429A">
                  <w:pPr>
                    <w:contextualSpacing/>
                    <w:jc w:val="center"/>
                    <w:rPr>
                      <w:rFonts w:hint="eastAsia"/>
                      <w:color w:val="auto"/>
                      <w:sz w:val="18"/>
                      <w:szCs w:val="18"/>
                      <w:lang w:val="en-US" w:eastAsia="zh-CN"/>
                    </w:rPr>
                  </w:pPr>
                  <w:r>
                    <w:rPr>
                      <w:rFonts w:hint="eastAsia"/>
                      <w:color w:val="auto"/>
                      <w:sz w:val="18"/>
                      <w:szCs w:val="18"/>
                      <w:lang w:val="en-US" w:eastAsia="zh-CN"/>
                    </w:rPr>
                    <w:t>0.25</w:t>
                  </w:r>
                </w:p>
              </w:tc>
              <w:tc>
                <w:tcPr>
                  <w:tcW w:w="430" w:type="pct"/>
                  <w:gridSpan w:val="2"/>
                  <w:vAlign w:val="center"/>
                </w:tcPr>
                <w:p w14:paraId="621FFDB0">
                  <w:pPr>
                    <w:contextualSpacing/>
                    <w:jc w:val="center"/>
                    <w:rPr>
                      <w:rFonts w:hint="eastAsia"/>
                      <w:color w:val="auto"/>
                      <w:sz w:val="18"/>
                      <w:szCs w:val="18"/>
                      <w:lang w:val="en-US" w:eastAsia="zh-CN"/>
                    </w:rPr>
                  </w:pPr>
                  <w:r>
                    <w:rPr>
                      <w:rFonts w:hint="eastAsia"/>
                      <w:color w:val="auto"/>
                      <w:sz w:val="18"/>
                      <w:szCs w:val="18"/>
                      <w:lang w:val="en-US" w:eastAsia="zh-CN"/>
                    </w:rPr>
                    <w:t>0.0003</w:t>
                  </w:r>
                </w:p>
              </w:tc>
              <w:tc>
                <w:tcPr>
                  <w:tcW w:w="240" w:type="pct"/>
                  <w:gridSpan w:val="5"/>
                  <w:vMerge w:val="continue"/>
                  <w:shd w:val="clear" w:color="auto" w:fill="auto"/>
                  <w:vAlign w:val="center"/>
                </w:tcPr>
                <w:p w14:paraId="2EE3F7AB">
                  <w:pPr>
                    <w:contextualSpacing/>
                    <w:jc w:val="center"/>
                    <w:rPr>
                      <w:color w:val="auto"/>
                      <w:sz w:val="18"/>
                      <w:szCs w:val="18"/>
                    </w:rPr>
                  </w:pPr>
                </w:p>
              </w:tc>
            </w:tr>
            <w:tr w14:paraId="329A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2"/>
                <w:wBefore w:w="1" w:type="pct"/>
                <w:wAfter w:w="1" w:type="pct"/>
                <w:trHeight w:val="397" w:hRule="atLeast"/>
                <w:jc w:val="center"/>
              </w:trPr>
              <w:tc>
                <w:tcPr>
                  <w:tcW w:w="192" w:type="pct"/>
                  <w:gridSpan w:val="2"/>
                  <w:vMerge w:val="continue"/>
                  <w:vAlign w:val="center"/>
                </w:tcPr>
                <w:p w14:paraId="7D69CC72">
                  <w:pPr>
                    <w:ind w:firstLine="420"/>
                    <w:contextualSpacing/>
                    <w:jc w:val="center"/>
                    <w:rPr>
                      <w:color w:val="auto"/>
                      <w:sz w:val="18"/>
                      <w:szCs w:val="18"/>
                    </w:rPr>
                  </w:pPr>
                </w:p>
              </w:tc>
              <w:tc>
                <w:tcPr>
                  <w:tcW w:w="161" w:type="pct"/>
                  <w:gridSpan w:val="3"/>
                  <w:vMerge w:val="continue"/>
                  <w:vAlign w:val="center"/>
                </w:tcPr>
                <w:p w14:paraId="4D3A4FCE">
                  <w:pPr>
                    <w:contextualSpacing/>
                    <w:jc w:val="center"/>
                    <w:rPr>
                      <w:color w:val="auto"/>
                      <w:sz w:val="18"/>
                      <w:szCs w:val="18"/>
                    </w:rPr>
                  </w:pPr>
                </w:p>
              </w:tc>
              <w:tc>
                <w:tcPr>
                  <w:tcW w:w="481" w:type="pct"/>
                  <w:gridSpan w:val="3"/>
                  <w:vMerge w:val="continue"/>
                  <w:shd w:val="clear" w:color="auto" w:fill="auto"/>
                  <w:vAlign w:val="center"/>
                </w:tcPr>
                <w:p w14:paraId="6648A66B">
                  <w:pPr>
                    <w:contextualSpacing/>
                    <w:jc w:val="center"/>
                    <w:rPr>
                      <w:color w:val="auto"/>
                      <w:sz w:val="18"/>
                      <w:szCs w:val="18"/>
                    </w:rPr>
                  </w:pPr>
                </w:p>
              </w:tc>
              <w:tc>
                <w:tcPr>
                  <w:tcW w:w="237" w:type="pct"/>
                  <w:gridSpan w:val="3"/>
                  <w:shd w:val="clear" w:color="auto" w:fill="auto"/>
                  <w:vAlign w:val="center"/>
                </w:tcPr>
                <w:p w14:paraId="0B3DE8E1">
                  <w:pPr>
                    <w:jc w:val="center"/>
                    <w:rPr>
                      <w:color w:val="auto"/>
                      <w:sz w:val="18"/>
                      <w:szCs w:val="18"/>
                    </w:rPr>
                  </w:pPr>
                  <w:r>
                    <w:rPr>
                      <w:color w:val="auto"/>
                      <w:sz w:val="18"/>
                      <w:szCs w:val="18"/>
                    </w:rPr>
                    <w:t>NO</w:t>
                  </w:r>
                  <w:r>
                    <w:rPr>
                      <w:color w:val="auto"/>
                      <w:sz w:val="18"/>
                      <w:szCs w:val="18"/>
                      <w:vertAlign w:val="subscript"/>
                    </w:rPr>
                    <w:t>X</w:t>
                  </w:r>
                </w:p>
              </w:tc>
              <w:tc>
                <w:tcPr>
                  <w:tcW w:w="344" w:type="pct"/>
                  <w:gridSpan w:val="3"/>
                  <w:vMerge w:val="continue"/>
                  <w:shd w:val="clear" w:color="auto" w:fill="FFFFFF"/>
                  <w:vAlign w:val="center"/>
                </w:tcPr>
                <w:p w14:paraId="652354DD">
                  <w:pPr>
                    <w:shd w:val="clear" w:color="auto" w:fill="FFFFFF"/>
                    <w:contextualSpacing/>
                    <w:jc w:val="center"/>
                    <w:rPr>
                      <w:color w:val="auto"/>
                      <w:sz w:val="18"/>
                      <w:szCs w:val="18"/>
                    </w:rPr>
                  </w:pPr>
                </w:p>
              </w:tc>
              <w:tc>
                <w:tcPr>
                  <w:tcW w:w="403" w:type="pct"/>
                  <w:gridSpan w:val="2"/>
                  <w:vAlign w:val="center"/>
                </w:tcPr>
                <w:p w14:paraId="25ACB03E">
                  <w:pPr>
                    <w:jc w:val="center"/>
                    <w:rPr>
                      <w:color w:val="auto"/>
                      <w:sz w:val="18"/>
                      <w:szCs w:val="18"/>
                    </w:rPr>
                  </w:pPr>
                  <w:r>
                    <w:rPr>
                      <w:rFonts w:hint="eastAsia"/>
                      <w:color w:val="auto"/>
                      <w:sz w:val="18"/>
                      <w:szCs w:val="18"/>
                    </w:rPr>
                    <w:t>200</w:t>
                  </w:r>
                </w:p>
              </w:tc>
              <w:tc>
                <w:tcPr>
                  <w:tcW w:w="419" w:type="pct"/>
                  <w:gridSpan w:val="2"/>
                  <w:vAlign w:val="center"/>
                </w:tcPr>
                <w:p w14:paraId="3B39A3FE">
                  <w:pPr>
                    <w:contextualSpacing/>
                    <w:jc w:val="center"/>
                    <w:rPr>
                      <w:rFonts w:hint="eastAsia"/>
                      <w:color w:val="auto"/>
                      <w:sz w:val="18"/>
                      <w:szCs w:val="18"/>
                      <w:lang w:val="en-US" w:eastAsia="zh-CN"/>
                    </w:rPr>
                  </w:pPr>
                  <w:r>
                    <w:rPr>
                      <w:rFonts w:hint="eastAsia"/>
                      <w:color w:val="auto"/>
                      <w:sz w:val="18"/>
                      <w:szCs w:val="18"/>
                      <w:lang w:val="en-US" w:eastAsia="zh-CN"/>
                    </w:rPr>
                    <w:t>0.23</w:t>
                  </w:r>
                </w:p>
              </w:tc>
              <w:tc>
                <w:tcPr>
                  <w:tcW w:w="908" w:type="pct"/>
                  <w:gridSpan w:val="3"/>
                  <w:vMerge w:val="continue"/>
                  <w:vAlign w:val="center"/>
                </w:tcPr>
                <w:p w14:paraId="0386A8C0">
                  <w:pPr>
                    <w:contextualSpacing/>
                    <w:jc w:val="center"/>
                    <w:rPr>
                      <w:rFonts w:hint="eastAsia"/>
                      <w:color w:val="auto"/>
                      <w:sz w:val="18"/>
                      <w:szCs w:val="18"/>
                      <w:lang w:val="en-US" w:eastAsia="zh-CN"/>
                    </w:rPr>
                  </w:pPr>
                </w:p>
              </w:tc>
              <w:tc>
                <w:tcPr>
                  <w:tcW w:w="318" w:type="pct"/>
                  <w:gridSpan w:val="3"/>
                  <w:vAlign w:val="center"/>
                </w:tcPr>
                <w:p w14:paraId="05E04654">
                  <w:pPr>
                    <w:contextualSpacing/>
                    <w:jc w:val="center"/>
                    <w:rPr>
                      <w:rFonts w:hint="eastAsia"/>
                      <w:color w:val="auto"/>
                      <w:sz w:val="18"/>
                      <w:szCs w:val="18"/>
                      <w:lang w:val="en-US" w:eastAsia="zh-CN"/>
                    </w:rPr>
                  </w:pPr>
                  <w:r>
                    <w:rPr>
                      <w:rFonts w:hint="eastAsia"/>
                      <w:color w:val="auto"/>
                      <w:sz w:val="18"/>
                      <w:szCs w:val="18"/>
                      <w:lang w:val="en-US" w:eastAsia="zh-CN"/>
                    </w:rPr>
                    <w:t>30%</w:t>
                  </w:r>
                </w:p>
              </w:tc>
              <w:tc>
                <w:tcPr>
                  <w:tcW w:w="356" w:type="pct"/>
                  <w:gridSpan w:val="4"/>
                  <w:vMerge w:val="continue"/>
                  <w:vAlign w:val="center"/>
                </w:tcPr>
                <w:p w14:paraId="6CD088CD">
                  <w:pPr>
                    <w:contextualSpacing/>
                    <w:jc w:val="center"/>
                    <w:rPr>
                      <w:rFonts w:hint="eastAsia"/>
                      <w:color w:val="auto"/>
                      <w:sz w:val="18"/>
                      <w:szCs w:val="18"/>
                      <w:lang w:val="en-US" w:eastAsia="zh-CN"/>
                    </w:rPr>
                  </w:pPr>
                </w:p>
              </w:tc>
              <w:tc>
                <w:tcPr>
                  <w:tcW w:w="503" w:type="pct"/>
                  <w:gridSpan w:val="3"/>
                  <w:vAlign w:val="center"/>
                </w:tcPr>
                <w:p w14:paraId="3E9948AF">
                  <w:pPr>
                    <w:contextualSpacing/>
                    <w:jc w:val="center"/>
                    <w:rPr>
                      <w:rFonts w:hint="eastAsia"/>
                      <w:color w:val="auto"/>
                      <w:sz w:val="18"/>
                      <w:szCs w:val="18"/>
                      <w:lang w:val="en-US" w:eastAsia="zh-CN"/>
                    </w:rPr>
                  </w:pPr>
                  <w:r>
                    <w:rPr>
                      <w:rFonts w:hint="eastAsia"/>
                      <w:color w:val="auto"/>
                      <w:sz w:val="18"/>
                      <w:szCs w:val="18"/>
                      <w:lang w:val="en-US" w:eastAsia="zh-CN"/>
                    </w:rPr>
                    <w:t>139.3</w:t>
                  </w:r>
                </w:p>
              </w:tc>
              <w:tc>
                <w:tcPr>
                  <w:tcW w:w="430" w:type="pct"/>
                  <w:gridSpan w:val="2"/>
                  <w:vAlign w:val="center"/>
                </w:tcPr>
                <w:p w14:paraId="2B178762">
                  <w:pPr>
                    <w:contextualSpacing/>
                    <w:jc w:val="center"/>
                    <w:rPr>
                      <w:rFonts w:hint="eastAsia"/>
                      <w:color w:val="auto"/>
                      <w:sz w:val="18"/>
                      <w:szCs w:val="18"/>
                      <w:lang w:val="en-US" w:eastAsia="zh-CN"/>
                    </w:rPr>
                  </w:pPr>
                  <w:r>
                    <w:rPr>
                      <w:rFonts w:hint="eastAsia"/>
                      <w:color w:val="auto"/>
                      <w:sz w:val="18"/>
                      <w:szCs w:val="18"/>
                      <w:lang w:val="en-US" w:eastAsia="zh-CN"/>
                    </w:rPr>
                    <w:t>0.16</w:t>
                  </w:r>
                </w:p>
              </w:tc>
              <w:tc>
                <w:tcPr>
                  <w:tcW w:w="240" w:type="pct"/>
                  <w:gridSpan w:val="5"/>
                  <w:vMerge w:val="continue"/>
                  <w:shd w:val="clear" w:color="auto" w:fill="auto"/>
                  <w:vAlign w:val="center"/>
                </w:tcPr>
                <w:p w14:paraId="0D81888E">
                  <w:pPr>
                    <w:contextualSpacing/>
                    <w:jc w:val="center"/>
                    <w:rPr>
                      <w:color w:val="auto"/>
                      <w:sz w:val="18"/>
                      <w:szCs w:val="18"/>
                    </w:rPr>
                  </w:pPr>
                </w:p>
              </w:tc>
            </w:tr>
            <w:tr w14:paraId="6DBA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1" w:type="pct"/>
                <w:wAfter w:w="12" w:type="dxa"/>
                <w:trHeight w:val="397" w:hRule="atLeast"/>
                <w:jc w:val="center"/>
              </w:trPr>
              <w:tc>
                <w:tcPr>
                  <w:tcW w:w="192" w:type="pct"/>
                  <w:gridSpan w:val="2"/>
                  <w:vMerge w:val="continue"/>
                  <w:vAlign w:val="center"/>
                </w:tcPr>
                <w:p w14:paraId="74B1050E">
                  <w:pPr>
                    <w:ind w:firstLine="420"/>
                    <w:contextualSpacing/>
                    <w:jc w:val="center"/>
                    <w:rPr>
                      <w:color w:val="auto"/>
                      <w:sz w:val="18"/>
                      <w:szCs w:val="18"/>
                    </w:rPr>
                  </w:pPr>
                </w:p>
              </w:tc>
              <w:tc>
                <w:tcPr>
                  <w:tcW w:w="161" w:type="pct"/>
                  <w:gridSpan w:val="3"/>
                  <w:vMerge w:val="continue"/>
                  <w:vAlign w:val="center"/>
                </w:tcPr>
                <w:p w14:paraId="119D4A50">
                  <w:pPr>
                    <w:contextualSpacing/>
                    <w:jc w:val="center"/>
                    <w:rPr>
                      <w:color w:val="auto"/>
                      <w:sz w:val="18"/>
                      <w:szCs w:val="18"/>
                    </w:rPr>
                  </w:pPr>
                </w:p>
              </w:tc>
              <w:tc>
                <w:tcPr>
                  <w:tcW w:w="481" w:type="pct"/>
                  <w:gridSpan w:val="3"/>
                  <w:vMerge w:val="continue"/>
                  <w:shd w:val="clear" w:color="auto" w:fill="auto"/>
                  <w:vAlign w:val="center"/>
                </w:tcPr>
                <w:p w14:paraId="372A49D7">
                  <w:pPr>
                    <w:contextualSpacing/>
                    <w:jc w:val="center"/>
                    <w:rPr>
                      <w:color w:val="auto"/>
                      <w:sz w:val="18"/>
                      <w:szCs w:val="18"/>
                    </w:rPr>
                  </w:pPr>
                </w:p>
              </w:tc>
              <w:tc>
                <w:tcPr>
                  <w:tcW w:w="237" w:type="pct"/>
                  <w:gridSpan w:val="3"/>
                  <w:shd w:val="clear" w:color="auto" w:fill="auto"/>
                  <w:vAlign w:val="center"/>
                </w:tcPr>
                <w:p w14:paraId="414348CC">
                  <w:pPr>
                    <w:jc w:val="center"/>
                    <w:rPr>
                      <w:color w:val="auto"/>
                      <w:sz w:val="18"/>
                      <w:szCs w:val="18"/>
                    </w:rPr>
                  </w:pPr>
                  <w:r>
                    <w:rPr>
                      <w:color w:val="auto"/>
                      <w:sz w:val="18"/>
                      <w:szCs w:val="18"/>
                    </w:rPr>
                    <w:t>林格曼黑度</w:t>
                  </w:r>
                </w:p>
              </w:tc>
              <w:tc>
                <w:tcPr>
                  <w:tcW w:w="344" w:type="pct"/>
                  <w:gridSpan w:val="3"/>
                  <w:vMerge w:val="continue"/>
                  <w:shd w:val="clear" w:color="auto" w:fill="FFFFFF"/>
                  <w:vAlign w:val="center"/>
                </w:tcPr>
                <w:p w14:paraId="36E612C4">
                  <w:pPr>
                    <w:shd w:val="clear" w:color="auto" w:fill="FFFFFF"/>
                    <w:contextualSpacing/>
                    <w:jc w:val="center"/>
                    <w:rPr>
                      <w:color w:val="auto"/>
                      <w:sz w:val="18"/>
                      <w:szCs w:val="18"/>
                    </w:rPr>
                  </w:pPr>
                </w:p>
              </w:tc>
              <w:tc>
                <w:tcPr>
                  <w:tcW w:w="823" w:type="pct"/>
                  <w:gridSpan w:val="5"/>
                  <w:vAlign w:val="center"/>
                </w:tcPr>
                <w:p w14:paraId="0FDBDA0F">
                  <w:pPr>
                    <w:contextualSpacing/>
                    <w:jc w:val="center"/>
                    <w:rPr>
                      <w:color w:val="auto"/>
                      <w:sz w:val="18"/>
                      <w:szCs w:val="18"/>
                    </w:rPr>
                  </w:pPr>
                  <w:r>
                    <w:rPr>
                      <w:rFonts w:hint="eastAsia"/>
                      <w:color w:val="auto"/>
                      <w:sz w:val="18"/>
                      <w:szCs w:val="18"/>
                    </w:rPr>
                    <w:t>&lt;1</w:t>
                  </w:r>
                </w:p>
              </w:tc>
              <w:tc>
                <w:tcPr>
                  <w:tcW w:w="908" w:type="pct"/>
                  <w:gridSpan w:val="3"/>
                  <w:vAlign w:val="center"/>
                </w:tcPr>
                <w:p w14:paraId="63AAF055">
                  <w:pPr>
                    <w:contextualSpacing/>
                    <w:jc w:val="center"/>
                    <w:rPr>
                      <w:color w:val="auto"/>
                      <w:spacing w:val="-6"/>
                      <w:sz w:val="18"/>
                      <w:szCs w:val="18"/>
                    </w:rPr>
                  </w:pPr>
                </w:p>
              </w:tc>
              <w:tc>
                <w:tcPr>
                  <w:tcW w:w="318" w:type="pct"/>
                  <w:gridSpan w:val="3"/>
                  <w:vAlign w:val="center"/>
                </w:tcPr>
                <w:p w14:paraId="624DF027">
                  <w:pPr>
                    <w:contextualSpacing/>
                    <w:jc w:val="center"/>
                    <w:rPr>
                      <w:color w:val="auto"/>
                      <w:spacing w:val="-6"/>
                      <w:sz w:val="18"/>
                      <w:szCs w:val="18"/>
                    </w:rPr>
                  </w:pPr>
                  <w:r>
                    <w:rPr>
                      <w:color w:val="auto"/>
                      <w:spacing w:val="-6"/>
                      <w:sz w:val="18"/>
                      <w:szCs w:val="18"/>
                    </w:rPr>
                    <w:t>/</w:t>
                  </w:r>
                </w:p>
              </w:tc>
              <w:tc>
                <w:tcPr>
                  <w:tcW w:w="356" w:type="pct"/>
                  <w:gridSpan w:val="4"/>
                  <w:vAlign w:val="center"/>
                </w:tcPr>
                <w:p w14:paraId="4C501914">
                  <w:pPr>
                    <w:contextualSpacing/>
                    <w:jc w:val="center"/>
                    <w:rPr>
                      <w:color w:val="auto"/>
                      <w:sz w:val="18"/>
                      <w:szCs w:val="18"/>
                    </w:rPr>
                  </w:pPr>
                </w:p>
              </w:tc>
              <w:tc>
                <w:tcPr>
                  <w:tcW w:w="934" w:type="pct"/>
                  <w:gridSpan w:val="5"/>
                  <w:vAlign w:val="center"/>
                </w:tcPr>
                <w:p w14:paraId="72D0B526">
                  <w:pPr>
                    <w:contextualSpacing/>
                    <w:jc w:val="center"/>
                    <w:rPr>
                      <w:color w:val="auto"/>
                      <w:sz w:val="18"/>
                      <w:szCs w:val="18"/>
                    </w:rPr>
                  </w:pPr>
                  <w:r>
                    <w:rPr>
                      <w:rFonts w:hint="eastAsia"/>
                      <w:color w:val="auto"/>
                      <w:sz w:val="18"/>
                      <w:szCs w:val="18"/>
                    </w:rPr>
                    <w:t>&lt;1</w:t>
                  </w:r>
                </w:p>
              </w:tc>
              <w:tc>
                <w:tcPr>
                  <w:tcW w:w="240" w:type="pct"/>
                  <w:gridSpan w:val="5"/>
                  <w:shd w:val="clear" w:color="auto" w:fill="auto"/>
                  <w:vAlign w:val="center"/>
                </w:tcPr>
                <w:p w14:paraId="04253312">
                  <w:pPr>
                    <w:contextualSpacing/>
                    <w:jc w:val="center"/>
                    <w:rPr>
                      <w:color w:val="auto"/>
                      <w:sz w:val="18"/>
                      <w:szCs w:val="18"/>
                    </w:rPr>
                  </w:pPr>
                </w:p>
              </w:tc>
            </w:tr>
            <w:tr w14:paraId="31D3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continue"/>
                  <w:vAlign w:val="center"/>
                </w:tcPr>
                <w:p w14:paraId="48A0B910">
                  <w:pPr>
                    <w:contextualSpacing/>
                    <w:jc w:val="center"/>
                    <w:rPr>
                      <w:color w:val="auto"/>
                      <w:sz w:val="18"/>
                      <w:szCs w:val="18"/>
                    </w:rPr>
                  </w:pPr>
                </w:p>
              </w:tc>
              <w:tc>
                <w:tcPr>
                  <w:tcW w:w="161" w:type="pct"/>
                  <w:gridSpan w:val="3"/>
                  <w:vMerge w:val="restart"/>
                  <w:vAlign w:val="center"/>
                </w:tcPr>
                <w:p w14:paraId="6E91560F">
                  <w:pPr>
                    <w:contextualSpacing/>
                    <w:jc w:val="center"/>
                    <w:rPr>
                      <w:rFonts w:hAnsi="宋体"/>
                      <w:color w:val="auto"/>
                      <w:spacing w:val="-14"/>
                      <w:sz w:val="18"/>
                      <w:szCs w:val="18"/>
                    </w:rPr>
                  </w:pPr>
                  <w:r>
                    <w:rPr>
                      <w:rFonts w:hAnsi="宋体"/>
                      <w:color w:val="auto"/>
                      <w:spacing w:val="-14"/>
                      <w:sz w:val="18"/>
                      <w:szCs w:val="18"/>
                    </w:rPr>
                    <w:t>搅拌缸</w:t>
                  </w:r>
                </w:p>
                <w:p w14:paraId="2676ACEE">
                  <w:pPr>
                    <w:contextualSpacing/>
                    <w:jc w:val="center"/>
                    <w:rPr>
                      <w:color w:val="auto"/>
                      <w:sz w:val="18"/>
                      <w:szCs w:val="18"/>
                    </w:rPr>
                  </w:pPr>
                  <w:r>
                    <w:rPr>
                      <w:rFonts w:hAnsi="宋体"/>
                      <w:color w:val="auto"/>
                      <w:spacing w:val="-14"/>
                      <w:sz w:val="18"/>
                      <w:szCs w:val="18"/>
                    </w:rPr>
                    <w:t>沥青储罐</w:t>
                  </w:r>
                </w:p>
              </w:tc>
              <w:tc>
                <w:tcPr>
                  <w:tcW w:w="481" w:type="pct"/>
                  <w:gridSpan w:val="3"/>
                  <w:vMerge w:val="restart"/>
                  <w:shd w:val="clear" w:color="auto" w:fill="auto"/>
                  <w:vAlign w:val="center"/>
                </w:tcPr>
                <w:p w14:paraId="738E29BA">
                  <w:pPr>
                    <w:contextualSpacing/>
                    <w:jc w:val="center"/>
                    <w:rPr>
                      <w:color w:val="auto"/>
                      <w:sz w:val="18"/>
                      <w:szCs w:val="18"/>
                    </w:rPr>
                  </w:pPr>
                  <w:r>
                    <w:rPr>
                      <w:color w:val="auto"/>
                      <w:sz w:val="18"/>
                      <w:szCs w:val="18"/>
                    </w:rPr>
                    <w:t>沥青</w:t>
                  </w:r>
                  <w:r>
                    <w:rPr>
                      <w:rFonts w:hint="eastAsia"/>
                      <w:color w:val="auto"/>
                      <w:sz w:val="18"/>
                      <w:szCs w:val="18"/>
                    </w:rPr>
                    <w:t>搅拌</w:t>
                  </w:r>
                  <w:r>
                    <w:rPr>
                      <w:color w:val="auto"/>
                      <w:sz w:val="18"/>
                      <w:szCs w:val="18"/>
                    </w:rPr>
                    <w:t>排气筒（</w:t>
                  </w:r>
                  <w:r>
                    <w:rPr>
                      <w:rFonts w:hint="eastAsia"/>
                      <w:color w:val="auto"/>
                      <w:sz w:val="18"/>
                      <w:szCs w:val="18"/>
                    </w:rPr>
                    <w:t>DA003</w:t>
                  </w:r>
                  <w:r>
                    <w:rPr>
                      <w:color w:val="auto"/>
                      <w:sz w:val="18"/>
                      <w:szCs w:val="18"/>
                    </w:rPr>
                    <w:t>）</w:t>
                  </w:r>
                </w:p>
              </w:tc>
              <w:tc>
                <w:tcPr>
                  <w:tcW w:w="237" w:type="pct"/>
                  <w:gridSpan w:val="3"/>
                  <w:shd w:val="clear" w:color="auto" w:fill="auto"/>
                  <w:vAlign w:val="center"/>
                </w:tcPr>
                <w:p w14:paraId="3137EC17">
                  <w:pPr>
                    <w:contextualSpacing/>
                    <w:jc w:val="center"/>
                    <w:rPr>
                      <w:rFonts w:hAnsi="宋体"/>
                      <w:color w:val="auto"/>
                      <w:sz w:val="18"/>
                      <w:szCs w:val="18"/>
                    </w:rPr>
                  </w:pPr>
                  <w:r>
                    <w:rPr>
                      <w:rFonts w:hAnsi="宋体"/>
                      <w:color w:val="auto"/>
                      <w:sz w:val="18"/>
                      <w:szCs w:val="18"/>
                    </w:rPr>
                    <w:t>沥青烟</w:t>
                  </w:r>
                </w:p>
              </w:tc>
              <w:tc>
                <w:tcPr>
                  <w:tcW w:w="344" w:type="pct"/>
                  <w:gridSpan w:val="3"/>
                  <w:vMerge w:val="restart"/>
                  <w:shd w:val="clear" w:color="auto" w:fill="FFFFFF"/>
                  <w:vAlign w:val="center"/>
                </w:tcPr>
                <w:p w14:paraId="6FAE56B9">
                  <w:pPr>
                    <w:shd w:val="clear" w:color="auto" w:fill="FFFFFF"/>
                    <w:contextualSpacing/>
                    <w:jc w:val="center"/>
                    <w:rPr>
                      <w:color w:val="auto"/>
                      <w:sz w:val="18"/>
                      <w:szCs w:val="18"/>
                    </w:rPr>
                  </w:pPr>
                  <w:r>
                    <w:rPr>
                      <w:rFonts w:hint="eastAsia"/>
                      <w:color w:val="auto"/>
                      <w:sz w:val="18"/>
                      <w:szCs w:val="18"/>
                    </w:rPr>
                    <w:t>40000</w:t>
                  </w:r>
                </w:p>
              </w:tc>
              <w:tc>
                <w:tcPr>
                  <w:tcW w:w="403" w:type="pct"/>
                  <w:gridSpan w:val="2"/>
                  <w:vAlign w:val="center"/>
                </w:tcPr>
                <w:p w14:paraId="17D3D2B2">
                  <w:pPr>
                    <w:contextualSpacing/>
                    <w:jc w:val="center"/>
                    <w:rPr>
                      <w:rFonts w:hAnsi="宋体"/>
                      <w:color w:val="auto"/>
                      <w:spacing w:val="-14"/>
                      <w:sz w:val="18"/>
                      <w:szCs w:val="18"/>
                    </w:rPr>
                  </w:pPr>
                  <w:r>
                    <w:rPr>
                      <w:rFonts w:hint="eastAsia"/>
                      <w:color w:val="auto"/>
                      <w:sz w:val="18"/>
                      <w:szCs w:val="18"/>
                      <w:lang w:val="en-US" w:eastAsia="zh-CN"/>
                    </w:rPr>
                    <w:t>3</w:t>
                  </w:r>
                  <w:r>
                    <w:rPr>
                      <w:rFonts w:hint="eastAsia"/>
                      <w:color w:val="auto"/>
                      <w:sz w:val="18"/>
                      <w:szCs w:val="18"/>
                    </w:rPr>
                    <w:t>2</w:t>
                  </w:r>
                  <w:r>
                    <w:rPr>
                      <w:rFonts w:hint="eastAsia"/>
                      <w:color w:val="auto"/>
                      <w:sz w:val="18"/>
                      <w:szCs w:val="18"/>
                      <w:lang w:val="en-US" w:eastAsia="zh-CN"/>
                    </w:rPr>
                    <w:t>.1</w:t>
                  </w:r>
                </w:p>
              </w:tc>
              <w:tc>
                <w:tcPr>
                  <w:tcW w:w="419" w:type="pct"/>
                  <w:gridSpan w:val="2"/>
                  <w:vAlign w:val="center"/>
                </w:tcPr>
                <w:p w14:paraId="1353932F">
                  <w:pPr>
                    <w:contextualSpacing/>
                    <w:jc w:val="center"/>
                    <w:rPr>
                      <w:color w:val="auto"/>
                      <w:sz w:val="18"/>
                      <w:szCs w:val="18"/>
                    </w:rPr>
                  </w:pPr>
                  <w:r>
                    <w:rPr>
                      <w:rFonts w:hint="eastAsia"/>
                      <w:color w:val="auto"/>
                      <w:sz w:val="18"/>
                      <w:szCs w:val="18"/>
                      <w:lang w:val="en-US" w:eastAsia="zh-CN"/>
                    </w:rPr>
                    <w:t>1.286</w:t>
                  </w:r>
                </w:p>
              </w:tc>
              <w:tc>
                <w:tcPr>
                  <w:tcW w:w="908" w:type="pct"/>
                  <w:gridSpan w:val="3"/>
                  <w:vMerge w:val="restart"/>
                  <w:vAlign w:val="center"/>
                </w:tcPr>
                <w:p w14:paraId="64087821">
                  <w:pPr>
                    <w:contextualSpacing/>
                    <w:jc w:val="center"/>
                    <w:rPr>
                      <w:color w:val="auto"/>
                      <w:spacing w:val="-6"/>
                      <w:sz w:val="18"/>
                      <w:szCs w:val="18"/>
                    </w:rPr>
                  </w:pPr>
                  <w:r>
                    <w:rPr>
                      <w:rFonts w:hAnsi="宋体"/>
                      <w:bCs/>
                      <w:color w:val="auto"/>
                      <w:sz w:val="18"/>
                      <w:szCs w:val="18"/>
                    </w:rPr>
                    <w:t>搅拌机出料口处进行局部封闭，采用集气装置（收集效率9</w:t>
                  </w:r>
                  <w:r>
                    <w:rPr>
                      <w:rFonts w:hint="eastAsia" w:hAnsi="宋体"/>
                      <w:bCs/>
                      <w:color w:val="auto"/>
                      <w:sz w:val="18"/>
                      <w:szCs w:val="18"/>
                    </w:rPr>
                    <w:t>5</w:t>
                  </w:r>
                  <w:r>
                    <w:rPr>
                      <w:rFonts w:hAnsi="宋体"/>
                      <w:bCs/>
                      <w:color w:val="auto"/>
                      <w:sz w:val="18"/>
                      <w:szCs w:val="18"/>
                    </w:rPr>
                    <w:t>%）后经</w:t>
                  </w:r>
                  <w:r>
                    <w:rPr>
                      <w:rFonts w:hint="eastAsia" w:hAnsi="宋体"/>
                      <w:bCs/>
                      <w:color w:val="auto"/>
                      <w:sz w:val="18"/>
                      <w:szCs w:val="18"/>
                    </w:rPr>
                    <w:t>气浮旋流塔+三维一体化废气处理设备（由电离子+光催化+高碘值碳吸附组成）（处理效率95%）处理后，经15m高沥青搅拌排气筒（DA003）排放</w:t>
                  </w:r>
                </w:p>
              </w:tc>
              <w:tc>
                <w:tcPr>
                  <w:tcW w:w="318" w:type="pct"/>
                  <w:gridSpan w:val="3"/>
                  <w:vMerge w:val="restart"/>
                  <w:vAlign w:val="center"/>
                </w:tcPr>
                <w:p w14:paraId="13BEEFBC">
                  <w:pPr>
                    <w:jc w:val="center"/>
                    <w:rPr>
                      <w:color w:val="auto"/>
                      <w:sz w:val="18"/>
                      <w:szCs w:val="18"/>
                    </w:rPr>
                  </w:pPr>
                  <w:r>
                    <w:rPr>
                      <w:rFonts w:hint="eastAsia"/>
                      <w:color w:val="auto"/>
                      <w:sz w:val="18"/>
                      <w:szCs w:val="18"/>
                    </w:rPr>
                    <w:t>95</w:t>
                  </w:r>
                  <w:r>
                    <w:rPr>
                      <w:color w:val="auto"/>
                      <w:sz w:val="18"/>
                      <w:szCs w:val="18"/>
                    </w:rPr>
                    <w:t>%</w:t>
                  </w:r>
                </w:p>
              </w:tc>
              <w:tc>
                <w:tcPr>
                  <w:tcW w:w="356" w:type="pct"/>
                  <w:gridSpan w:val="4"/>
                  <w:vMerge w:val="restart"/>
                  <w:vAlign w:val="center"/>
                </w:tcPr>
                <w:p w14:paraId="084F44E9">
                  <w:pPr>
                    <w:contextualSpacing/>
                    <w:jc w:val="center"/>
                    <w:rPr>
                      <w:color w:val="auto"/>
                      <w:sz w:val="18"/>
                      <w:szCs w:val="18"/>
                    </w:rPr>
                  </w:pPr>
                  <w:r>
                    <w:rPr>
                      <w:rFonts w:hint="eastAsia"/>
                      <w:color w:val="auto"/>
                      <w:sz w:val="18"/>
                      <w:szCs w:val="18"/>
                    </w:rPr>
                    <w:t>40000</w:t>
                  </w:r>
                </w:p>
              </w:tc>
              <w:tc>
                <w:tcPr>
                  <w:tcW w:w="503" w:type="pct"/>
                  <w:gridSpan w:val="3"/>
                  <w:vAlign w:val="center"/>
                </w:tcPr>
                <w:p w14:paraId="7CD9B18C">
                  <w:pPr>
                    <w:shd w:val="clear" w:color="auto" w:fill="FFFFFF"/>
                    <w:contextualSpacing/>
                    <w:jc w:val="center"/>
                    <w:rPr>
                      <w:color w:val="auto"/>
                      <w:sz w:val="18"/>
                      <w:szCs w:val="18"/>
                    </w:rPr>
                  </w:pPr>
                  <w:r>
                    <w:rPr>
                      <w:rFonts w:hint="eastAsia"/>
                      <w:color w:val="auto"/>
                      <w:sz w:val="18"/>
                      <w:szCs w:val="18"/>
                    </w:rPr>
                    <w:t>1.</w:t>
                  </w:r>
                  <w:r>
                    <w:rPr>
                      <w:rFonts w:hint="eastAsia"/>
                      <w:color w:val="auto"/>
                      <w:sz w:val="18"/>
                      <w:szCs w:val="18"/>
                      <w:lang w:val="en-US" w:eastAsia="zh-CN"/>
                    </w:rPr>
                    <w:t>6</w:t>
                  </w:r>
                </w:p>
              </w:tc>
              <w:tc>
                <w:tcPr>
                  <w:tcW w:w="430" w:type="pct"/>
                  <w:gridSpan w:val="2"/>
                  <w:vAlign w:val="center"/>
                </w:tcPr>
                <w:p w14:paraId="203416D1">
                  <w:pPr>
                    <w:contextualSpacing/>
                    <w:jc w:val="center"/>
                    <w:rPr>
                      <w:color w:val="auto"/>
                      <w:sz w:val="18"/>
                      <w:szCs w:val="18"/>
                    </w:rPr>
                  </w:pPr>
                  <w:r>
                    <w:rPr>
                      <w:rFonts w:hint="eastAsia"/>
                      <w:color w:val="auto"/>
                      <w:sz w:val="18"/>
                      <w:szCs w:val="18"/>
                    </w:rPr>
                    <w:t>0.0</w:t>
                  </w:r>
                  <w:r>
                    <w:rPr>
                      <w:rFonts w:hint="eastAsia"/>
                      <w:color w:val="auto"/>
                      <w:sz w:val="18"/>
                      <w:szCs w:val="18"/>
                      <w:lang w:val="en-US" w:eastAsia="zh-CN"/>
                    </w:rPr>
                    <w:t>6</w:t>
                  </w:r>
                  <w:r>
                    <w:rPr>
                      <w:rFonts w:hint="eastAsia"/>
                      <w:color w:val="auto"/>
                      <w:sz w:val="18"/>
                      <w:szCs w:val="18"/>
                    </w:rPr>
                    <w:t>4</w:t>
                  </w:r>
                </w:p>
              </w:tc>
              <w:tc>
                <w:tcPr>
                  <w:tcW w:w="240" w:type="pct"/>
                  <w:gridSpan w:val="5"/>
                  <w:vMerge w:val="restart"/>
                  <w:shd w:val="clear" w:color="auto" w:fill="auto"/>
                  <w:vAlign w:val="center"/>
                </w:tcPr>
                <w:p w14:paraId="461DC033">
                  <w:pPr>
                    <w:contextualSpacing/>
                    <w:jc w:val="center"/>
                    <w:rPr>
                      <w:color w:val="auto"/>
                      <w:sz w:val="18"/>
                      <w:szCs w:val="18"/>
                    </w:rPr>
                  </w:pPr>
                  <w:r>
                    <w:rPr>
                      <w:rFonts w:hint="eastAsia"/>
                      <w:color w:val="auto"/>
                      <w:sz w:val="18"/>
                      <w:szCs w:val="18"/>
                    </w:rPr>
                    <w:t>2</w:t>
                  </w:r>
                  <w:r>
                    <w:rPr>
                      <w:rFonts w:hint="eastAsia"/>
                      <w:color w:val="auto"/>
                      <w:sz w:val="18"/>
                      <w:szCs w:val="18"/>
                      <w:lang w:val="en-US" w:eastAsia="zh-CN"/>
                    </w:rPr>
                    <w:t>4</w:t>
                  </w:r>
                  <w:r>
                    <w:rPr>
                      <w:rFonts w:hint="eastAsia"/>
                      <w:color w:val="auto"/>
                      <w:sz w:val="18"/>
                      <w:szCs w:val="18"/>
                    </w:rPr>
                    <w:t>00</w:t>
                  </w:r>
                </w:p>
              </w:tc>
            </w:tr>
            <w:tr w14:paraId="5609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continue"/>
                  <w:vAlign w:val="center"/>
                </w:tcPr>
                <w:p w14:paraId="244ADD44">
                  <w:pPr>
                    <w:contextualSpacing/>
                    <w:jc w:val="center"/>
                    <w:rPr>
                      <w:color w:val="auto"/>
                      <w:sz w:val="18"/>
                      <w:szCs w:val="18"/>
                    </w:rPr>
                  </w:pPr>
                </w:p>
              </w:tc>
              <w:tc>
                <w:tcPr>
                  <w:tcW w:w="161" w:type="pct"/>
                  <w:gridSpan w:val="3"/>
                  <w:vMerge w:val="continue"/>
                  <w:vAlign w:val="center"/>
                </w:tcPr>
                <w:p w14:paraId="35614240">
                  <w:pPr>
                    <w:ind w:firstLine="420"/>
                    <w:contextualSpacing/>
                    <w:jc w:val="center"/>
                    <w:rPr>
                      <w:color w:val="auto"/>
                      <w:sz w:val="18"/>
                      <w:szCs w:val="18"/>
                    </w:rPr>
                  </w:pPr>
                </w:p>
              </w:tc>
              <w:tc>
                <w:tcPr>
                  <w:tcW w:w="481" w:type="pct"/>
                  <w:gridSpan w:val="3"/>
                  <w:vMerge w:val="continue"/>
                  <w:shd w:val="clear" w:color="auto" w:fill="auto"/>
                  <w:vAlign w:val="center"/>
                </w:tcPr>
                <w:p w14:paraId="33C2C2C9">
                  <w:pPr>
                    <w:ind w:firstLine="420"/>
                    <w:contextualSpacing/>
                    <w:jc w:val="center"/>
                    <w:rPr>
                      <w:color w:val="auto"/>
                      <w:sz w:val="18"/>
                      <w:szCs w:val="18"/>
                    </w:rPr>
                  </w:pPr>
                </w:p>
              </w:tc>
              <w:tc>
                <w:tcPr>
                  <w:tcW w:w="237" w:type="pct"/>
                  <w:gridSpan w:val="3"/>
                  <w:shd w:val="clear" w:color="auto" w:fill="auto"/>
                  <w:vAlign w:val="center"/>
                </w:tcPr>
                <w:p w14:paraId="187FA9F6">
                  <w:pPr>
                    <w:contextualSpacing/>
                    <w:jc w:val="center"/>
                    <w:rPr>
                      <w:rFonts w:hAnsi="宋体"/>
                      <w:color w:val="auto"/>
                      <w:sz w:val="18"/>
                      <w:szCs w:val="18"/>
                    </w:rPr>
                  </w:pPr>
                  <w:r>
                    <w:rPr>
                      <w:rFonts w:hAnsi="宋体"/>
                      <w:color w:val="auto"/>
                      <w:sz w:val="18"/>
                      <w:szCs w:val="18"/>
                    </w:rPr>
                    <w:t>苯并[a]芘</w:t>
                  </w:r>
                </w:p>
              </w:tc>
              <w:tc>
                <w:tcPr>
                  <w:tcW w:w="344" w:type="pct"/>
                  <w:gridSpan w:val="3"/>
                  <w:vMerge w:val="continue"/>
                  <w:shd w:val="clear" w:color="auto" w:fill="FFFFFF"/>
                  <w:vAlign w:val="center"/>
                </w:tcPr>
                <w:p w14:paraId="5D7089E0">
                  <w:pPr>
                    <w:shd w:val="clear" w:color="auto" w:fill="FFFFFF"/>
                    <w:contextualSpacing/>
                    <w:jc w:val="center"/>
                    <w:rPr>
                      <w:color w:val="auto"/>
                      <w:sz w:val="18"/>
                      <w:szCs w:val="18"/>
                    </w:rPr>
                  </w:pPr>
                </w:p>
              </w:tc>
              <w:tc>
                <w:tcPr>
                  <w:tcW w:w="403" w:type="pct"/>
                  <w:gridSpan w:val="2"/>
                  <w:vAlign w:val="center"/>
                </w:tcPr>
                <w:p w14:paraId="5FB28A8F">
                  <w:pPr>
                    <w:contextualSpacing/>
                    <w:jc w:val="center"/>
                    <w:rPr>
                      <w:rFonts w:hAnsi="宋体"/>
                      <w:color w:val="auto"/>
                      <w:spacing w:val="-14"/>
                      <w:sz w:val="18"/>
                      <w:szCs w:val="18"/>
                    </w:rPr>
                  </w:pPr>
                  <w:r>
                    <w:rPr>
                      <w:rFonts w:hint="eastAsia"/>
                      <w:color w:val="auto"/>
                      <w:sz w:val="18"/>
                      <w:szCs w:val="18"/>
                    </w:rPr>
                    <w:t>0.00</w:t>
                  </w:r>
                  <w:r>
                    <w:rPr>
                      <w:rFonts w:hint="eastAsia"/>
                      <w:color w:val="auto"/>
                      <w:sz w:val="18"/>
                      <w:szCs w:val="18"/>
                      <w:lang w:val="en-US" w:eastAsia="zh-CN"/>
                    </w:rPr>
                    <w:t>64</w:t>
                  </w:r>
                </w:p>
              </w:tc>
              <w:tc>
                <w:tcPr>
                  <w:tcW w:w="419" w:type="pct"/>
                  <w:gridSpan w:val="2"/>
                  <w:vAlign w:val="center"/>
                </w:tcPr>
                <w:p w14:paraId="73433E42">
                  <w:pPr>
                    <w:contextualSpacing/>
                    <w:jc w:val="center"/>
                    <w:rPr>
                      <w:color w:val="auto"/>
                      <w:sz w:val="18"/>
                      <w:szCs w:val="18"/>
                    </w:rPr>
                  </w:pPr>
                  <w:r>
                    <w:rPr>
                      <w:rFonts w:hint="eastAsia"/>
                      <w:color w:val="auto"/>
                      <w:sz w:val="18"/>
                      <w:szCs w:val="18"/>
                      <w:lang w:val="en-US" w:eastAsia="zh-CN"/>
                    </w:rPr>
                    <w:t>2.57</w:t>
                  </w:r>
                  <w:r>
                    <w:rPr>
                      <w:color w:val="auto"/>
                      <w:sz w:val="18"/>
                      <w:szCs w:val="18"/>
                    </w:rPr>
                    <w:t>×10</w:t>
                  </w:r>
                  <w:r>
                    <w:rPr>
                      <w:color w:val="auto"/>
                      <w:sz w:val="18"/>
                      <w:szCs w:val="18"/>
                      <w:vertAlign w:val="superscript"/>
                    </w:rPr>
                    <w:t>-</w:t>
                  </w:r>
                  <w:r>
                    <w:rPr>
                      <w:rFonts w:hint="eastAsia"/>
                      <w:color w:val="auto"/>
                      <w:sz w:val="18"/>
                      <w:szCs w:val="18"/>
                      <w:vertAlign w:val="superscript"/>
                    </w:rPr>
                    <w:t>4</w:t>
                  </w:r>
                </w:p>
              </w:tc>
              <w:tc>
                <w:tcPr>
                  <w:tcW w:w="908" w:type="pct"/>
                  <w:gridSpan w:val="3"/>
                  <w:vMerge w:val="continue"/>
                  <w:vAlign w:val="center"/>
                </w:tcPr>
                <w:p w14:paraId="765CCBA1">
                  <w:pPr>
                    <w:contextualSpacing/>
                    <w:jc w:val="center"/>
                    <w:rPr>
                      <w:color w:val="auto"/>
                      <w:spacing w:val="-6"/>
                      <w:sz w:val="18"/>
                      <w:szCs w:val="18"/>
                    </w:rPr>
                  </w:pPr>
                </w:p>
              </w:tc>
              <w:tc>
                <w:tcPr>
                  <w:tcW w:w="318" w:type="pct"/>
                  <w:gridSpan w:val="3"/>
                  <w:vMerge w:val="continue"/>
                  <w:vAlign w:val="center"/>
                </w:tcPr>
                <w:p w14:paraId="7E55BDC7">
                  <w:pPr>
                    <w:jc w:val="center"/>
                    <w:rPr>
                      <w:color w:val="auto"/>
                      <w:sz w:val="18"/>
                      <w:szCs w:val="18"/>
                    </w:rPr>
                  </w:pPr>
                </w:p>
              </w:tc>
              <w:tc>
                <w:tcPr>
                  <w:tcW w:w="356" w:type="pct"/>
                  <w:gridSpan w:val="4"/>
                  <w:vMerge w:val="continue"/>
                  <w:vAlign w:val="center"/>
                </w:tcPr>
                <w:p w14:paraId="24037BD2">
                  <w:pPr>
                    <w:contextualSpacing/>
                    <w:jc w:val="center"/>
                    <w:rPr>
                      <w:color w:val="auto"/>
                      <w:sz w:val="18"/>
                      <w:szCs w:val="18"/>
                    </w:rPr>
                  </w:pPr>
                </w:p>
              </w:tc>
              <w:tc>
                <w:tcPr>
                  <w:tcW w:w="503" w:type="pct"/>
                  <w:gridSpan w:val="3"/>
                  <w:vAlign w:val="center"/>
                </w:tcPr>
                <w:p w14:paraId="7DA5D6CC">
                  <w:pPr>
                    <w:shd w:val="clear" w:color="auto" w:fill="FFFFFF"/>
                    <w:contextualSpacing/>
                    <w:jc w:val="center"/>
                    <w:rPr>
                      <w:color w:val="auto"/>
                      <w:sz w:val="18"/>
                      <w:szCs w:val="18"/>
                    </w:rPr>
                  </w:pPr>
                  <w:r>
                    <w:rPr>
                      <w:rFonts w:hint="eastAsia"/>
                      <w:color w:val="auto"/>
                      <w:sz w:val="18"/>
                      <w:szCs w:val="18"/>
                    </w:rPr>
                    <w:t>0.000</w:t>
                  </w:r>
                  <w:r>
                    <w:rPr>
                      <w:rFonts w:hint="eastAsia"/>
                      <w:color w:val="auto"/>
                      <w:sz w:val="18"/>
                      <w:szCs w:val="18"/>
                      <w:lang w:val="en-US" w:eastAsia="zh-CN"/>
                    </w:rPr>
                    <w:t>32</w:t>
                  </w:r>
                </w:p>
              </w:tc>
              <w:tc>
                <w:tcPr>
                  <w:tcW w:w="430" w:type="pct"/>
                  <w:gridSpan w:val="2"/>
                  <w:vAlign w:val="center"/>
                </w:tcPr>
                <w:p w14:paraId="5A9A1009">
                  <w:pPr>
                    <w:contextualSpacing/>
                    <w:jc w:val="center"/>
                    <w:rPr>
                      <w:rFonts w:hint="eastAsia" w:eastAsia="宋体"/>
                      <w:color w:val="auto"/>
                      <w:sz w:val="18"/>
                      <w:szCs w:val="18"/>
                      <w:lang w:eastAsia="zh-CN"/>
                    </w:rPr>
                  </w:pPr>
                  <w:r>
                    <w:rPr>
                      <w:rFonts w:hint="eastAsia"/>
                      <w:color w:val="auto"/>
                      <w:sz w:val="18"/>
                      <w:szCs w:val="18"/>
                      <w:lang w:val="en-US" w:eastAsia="zh-CN"/>
                    </w:rPr>
                    <w:t>1.28</w:t>
                  </w:r>
                  <w:r>
                    <w:rPr>
                      <w:color w:val="auto"/>
                      <w:sz w:val="18"/>
                      <w:szCs w:val="18"/>
                    </w:rPr>
                    <w:t>×10</w:t>
                  </w:r>
                  <w:r>
                    <w:rPr>
                      <w:color w:val="auto"/>
                      <w:sz w:val="18"/>
                      <w:szCs w:val="18"/>
                      <w:vertAlign w:val="superscript"/>
                    </w:rPr>
                    <w:t>-</w:t>
                  </w:r>
                  <w:r>
                    <w:rPr>
                      <w:rFonts w:hint="eastAsia"/>
                      <w:color w:val="auto"/>
                      <w:sz w:val="18"/>
                      <w:szCs w:val="18"/>
                      <w:vertAlign w:val="superscript"/>
                      <w:lang w:val="en-US" w:eastAsia="zh-CN"/>
                    </w:rPr>
                    <w:t>5</w:t>
                  </w:r>
                </w:p>
              </w:tc>
              <w:tc>
                <w:tcPr>
                  <w:tcW w:w="240" w:type="pct"/>
                  <w:gridSpan w:val="5"/>
                  <w:vMerge w:val="continue"/>
                  <w:shd w:val="clear" w:color="auto" w:fill="auto"/>
                  <w:vAlign w:val="center"/>
                </w:tcPr>
                <w:p w14:paraId="595C0C41">
                  <w:pPr>
                    <w:contextualSpacing/>
                    <w:jc w:val="center"/>
                    <w:rPr>
                      <w:color w:val="auto"/>
                      <w:sz w:val="18"/>
                      <w:szCs w:val="18"/>
                    </w:rPr>
                  </w:pPr>
                </w:p>
              </w:tc>
            </w:tr>
            <w:tr w14:paraId="537C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continue"/>
                  <w:vAlign w:val="center"/>
                </w:tcPr>
                <w:p w14:paraId="017258C7">
                  <w:pPr>
                    <w:contextualSpacing/>
                    <w:jc w:val="center"/>
                    <w:rPr>
                      <w:color w:val="auto"/>
                      <w:sz w:val="18"/>
                      <w:szCs w:val="18"/>
                    </w:rPr>
                  </w:pPr>
                </w:p>
              </w:tc>
              <w:tc>
                <w:tcPr>
                  <w:tcW w:w="161" w:type="pct"/>
                  <w:gridSpan w:val="3"/>
                  <w:vMerge w:val="continue"/>
                  <w:vAlign w:val="center"/>
                </w:tcPr>
                <w:p w14:paraId="16BFA954">
                  <w:pPr>
                    <w:ind w:firstLine="420"/>
                    <w:contextualSpacing/>
                    <w:jc w:val="center"/>
                    <w:rPr>
                      <w:color w:val="auto"/>
                      <w:sz w:val="18"/>
                      <w:szCs w:val="18"/>
                    </w:rPr>
                  </w:pPr>
                </w:p>
              </w:tc>
              <w:tc>
                <w:tcPr>
                  <w:tcW w:w="481" w:type="pct"/>
                  <w:gridSpan w:val="3"/>
                  <w:vMerge w:val="continue"/>
                  <w:shd w:val="clear" w:color="auto" w:fill="auto"/>
                  <w:vAlign w:val="center"/>
                </w:tcPr>
                <w:p w14:paraId="73604FD8">
                  <w:pPr>
                    <w:ind w:firstLine="420"/>
                    <w:contextualSpacing/>
                    <w:jc w:val="center"/>
                    <w:rPr>
                      <w:color w:val="auto"/>
                      <w:sz w:val="18"/>
                      <w:szCs w:val="18"/>
                    </w:rPr>
                  </w:pPr>
                </w:p>
              </w:tc>
              <w:tc>
                <w:tcPr>
                  <w:tcW w:w="237" w:type="pct"/>
                  <w:gridSpan w:val="3"/>
                  <w:shd w:val="clear" w:color="auto" w:fill="auto"/>
                  <w:vAlign w:val="center"/>
                </w:tcPr>
                <w:p w14:paraId="51039E73">
                  <w:pPr>
                    <w:contextualSpacing/>
                    <w:jc w:val="center"/>
                    <w:rPr>
                      <w:rFonts w:hAnsi="宋体"/>
                      <w:color w:val="auto"/>
                      <w:sz w:val="18"/>
                      <w:szCs w:val="18"/>
                    </w:rPr>
                  </w:pPr>
                  <w:r>
                    <w:rPr>
                      <w:rFonts w:hAnsi="宋体"/>
                      <w:color w:val="auto"/>
                      <w:sz w:val="18"/>
                      <w:szCs w:val="18"/>
                    </w:rPr>
                    <w:t>非甲烷总烃</w:t>
                  </w:r>
                </w:p>
              </w:tc>
              <w:tc>
                <w:tcPr>
                  <w:tcW w:w="344" w:type="pct"/>
                  <w:gridSpan w:val="3"/>
                  <w:vMerge w:val="continue"/>
                  <w:shd w:val="clear" w:color="auto" w:fill="FFFFFF"/>
                  <w:vAlign w:val="center"/>
                </w:tcPr>
                <w:p w14:paraId="5551F484">
                  <w:pPr>
                    <w:shd w:val="clear" w:color="auto" w:fill="FFFFFF"/>
                    <w:contextualSpacing/>
                    <w:jc w:val="center"/>
                    <w:rPr>
                      <w:color w:val="auto"/>
                      <w:sz w:val="18"/>
                      <w:szCs w:val="18"/>
                    </w:rPr>
                  </w:pPr>
                </w:p>
              </w:tc>
              <w:tc>
                <w:tcPr>
                  <w:tcW w:w="403" w:type="pct"/>
                  <w:gridSpan w:val="2"/>
                  <w:vAlign w:val="center"/>
                </w:tcPr>
                <w:p w14:paraId="3F7A11BE">
                  <w:pPr>
                    <w:contextualSpacing/>
                    <w:jc w:val="center"/>
                    <w:rPr>
                      <w:rFonts w:hAnsi="宋体"/>
                      <w:color w:val="auto"/>
                      <w:spacing w:val="-14"/>
                      <w:sz w:val="18"/>
                      <w:szCs w:val="18"/>
                    </w:rPr>
                  </w:pPr>
                  <w:r>
                    <w:rPr>
                      <w:rFonts w:hint="eastAsia"/>
                      <w:color w:val="auto"/>
                      <w:sz w:val="18"/>
                      <w:szCs w:val="18"/>
                    </w:rPr>
                    <w:t>1.</w:t>
                  </w:r>
                  <w:r>
                    <w:rPr>
                      <w:rFonts w:hint="eastAsia"/>
                      <w:color w:val="auto"/>
                      <w:sz w:val="18"/>
                      <w:szCs w:val="18"/>
                      <w:lang w:val="en-US" w:eastAsia="zh-CN"/>
                    </w:rPr>
                    <w:t>8</w:t>
                  </w:r>
                </w:p>
              </w:tc>
              <w:tc>
                <w:tcPr>
                  <w:tcW w:w="419" w:type="pct"/>
                  <w:gridSpan w:val="2"/>
                  <w:vAlign w:val="center"/>
                </w:tcPr>
                <w:p w14:paraId="09F3F20A">
                  <w:pPr>
                    <w:contextualSpacing/>
                    <w:jc w:val="center"/>
                    <w:rPr>
                      <w:color w:val="auto"/>
                      <w:sz w:val="18"/>
                      <w:szCs w:val="18"/>
                    </w:rPr>
                  </w:pPr>
                  <w:r>
                    <w:rPr>
                      <w:color w:val="auto"/>
                      <w:sz w:val="18"/>
                      <w:szCs w:val="18"/>
                    </w:rPr>
                    <w:t>0.</w:t>
                  </w:r>
                  <w:r>
                    <w:rPr>
                      <w:rFonts w:hint="eastAsia"/>
                      <w:color w:val="auto"/>
                      <w:sz w:val="18"/>
                      <w:szCs w:val="18"/>
                    </w:rPr>
                    <w:t>0</w:t>
                  </w:r>
                  <w:r>
                    <w:rPr>
                      <w:rFonts w:hint="eastAsia"/>
                      <w:color w:val="auto"/>
                      <w:sz w:val="18"/>
                      <w:szCs w:val="18"/>
                      <w:lang w:val="en-US" w:eastAsia="zh-CN"/>
                    </w:rPr>
                    <w:t>72</w:t>
                  </w:r>
                </w:p>
              </w:tc>
              <w:tc>
                <w:tcPr>
                  <w:tcW w:w="908" w:type="pct"/>
                  <w:gridSpan w:val="3"/>
                  <w:vMerge w:val="continue"/>
                  <w:vAlign w:val="center"/>
                </w:tcPr>
                <w:p w14:paraId="704EFA86">
                  <w:pPr>
                    <w:contextualSpacing/>
                    <w:jc w:val="center"/>
                    <w:rPr>
                      <w:color w:val="auto"/>
                      <w:spacing w:val="-6"/>
                      <w:sz w:val="18"/>
                      <w:szCs w:val="18"/>
                    </w:rPr>
                  </w:pPr>
                </w:p>
              </w:tc>
              <w:tc>
                <w:tcPr>
                  <w:tcW w:w="318" w:type="pct"/>
                  <w:gridSpan w:val="3"/>
                  <w:vMerge w:val="continue"/>
                  <w:vAlign w:val="center"/>
                </w:tcPr>
                <w:p w14:paraId="64C99EEE">
                  <w:pPr>
                    <w:jc w:val="center"/>
                    <w:rPr>
                      <w:color w:val="auto"/>
                      <w:sz w:val="18"/>
                      <w:szCs w:val="18"/>
                    </w:rPr>
                  </w:pPr>
                </w:p>
              </w:tc>
              <w:tc>
                <w:tcPr>
                  <w:tcW w:w="356" w:type="pct"/>
                  <w:gridSpan w:val="4"/>
                  <w:vMerge w:val="continue"/>
                  <w:vAlign w:val="center"/>
                </w:tcPr>
                <w:p w14:paraId="1C470509">
                  <w:pPr>
                    <w:contextualSpacing/>
                    <w:jc w:val="center"/>
                    <w:rPr>
                      <w:color w:val="auto"/>
                      <w:sz w:val="18"/>
                      <w:szCs w:val="18"/>
                    </w:rPr>
                  </w:pPr>
                </w:p>
              </w:tc>
              <w:tc>
                <w:tcPr>
                  <w:tcW w:w="503" w:type="pct"/>
                  <w:gridSpan w:val="3"/>
                  <w:vAlign w:val="center"/>
                </w:tcPr>
                <w:p w14:paraId="7B7C8E5F">
                  <w:pPr>
                    <w:shd w:val="clear" w:color="auto" w:fill="FFFFFF"/>
                    <w:contextualSpacing/>
                    <w:jc w:val="center"/>
                    <w:rPr>
                      <w:color w:val="auto"/>
                      <w:sz w:val="18"/>
                      <w:szCs w:val="18"/>
                    </w:rPr>
                  </w:pPr>
                  <w:r>
                    <w:rPr>
                      <w:rFonts w:hint="eastAsia"/>
                      <w:color w:val="auto"/>
                      <w:sz w:val="18"/>
                      <w:szCs w:val="18"/>
                    </w:rPr>
                    <w:t>0.0</w:t>
                  </w:r>
                  <w:r>
                    <w:rPr>
                      <w:rFonts w:hint="eastAsia"/>
                      <w:color w:val="auto"/>
                      <w:sz w:val="18"/>
                      <w:szCs w:val="18"/>
                      <w:lang w:val="en-US" w:eastAsia="zh-CN"/>
                    </w:rPr>
                    <w:t>9</w:t>
                  </w:r>
                </w:p>
              </w:tc>
              <w:tc>
                <w:tcPr>
                  <w:tcW w:w="430" w:type="pct"/>
                  <w:gridSpan w:val="2"/>
                  <w:vAlign w:val="center"/>
                </w:tcPr>
                <w:p w14:paraId="60E2A6DB">
                  <w:pPr>
                    <w:contextualSpacing/>
                    <w:jc w:val="center"/>
                    <w:rPr>
                      <w:color w:val="auto"/>
                      <w:sz w:val="18"/>
                      <w:szCs w:val="18"/>
                    </w:rPr>
                  </w:pPr>
                  <w:r>
                    <w:rPr>
                      <w:rFonts w:hint="eastAsia"/>
                      <w:color w:val="auto"/>
                      <w:sz w:val="18"/>
                      <w:szCs w:val="18"/>
                    </w:rPr>
                    <w:t>0.003</w:t>
                  </w:r>
                  <w:r>
                    <w:rPr>
                      <w:rFonts w:hint="eastAsia"/>
                      <w:color w:val="auto"/>
                      <w:sz w:val="18"/>
                      <w:szCs w:val="18"/>
                      <w:lang w:val="en-US" w:eastAsia="zh-CN"/>
                    </w:rPr>
                    <w:t>6</w:t>
                  </w:r>
                </w:p>
              </w:tc>
              <w:tc>
                <w:tcPr>
                  <w:tcW w:w="240" w:type="pct"/>
                  <w:gridSpan w:val="5"/>
                  <w:vMerge w:val="continue"/>
                  <w:shd w:val="clear" w:color="auto" w:fill="auto"/>
                  <w:vAlign w:val="center"/>
                </w:tcPr>
                <w:p w14:paraId="40108E0C">
                  <w:pPr>
                    <w:contextualSpacing/>
                    <w:jc w:val="center"/>
                    <w:rPr>
                      <w:color w:val="auto"/>
                      <w:sz w:val="18"/>
                      <w:szCs w:val="18"/>
                    </w:rPr>
                  </w:pPr>
                </w:p>
              </w:tc>
            </w:tr>
            <w:tr w14:paraId="751E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restart"/>
                  <w:vAlign w:val="center"/>
                </w:tcPr>
                <w:p w14:paraId="775AE8DD">
                  <w:pPr>
                    <w:contextualSpacing/>
                    <w:jc w:val="center"/>
                    <w:rPr>
                      <w:rFonts w:hint="eastAsia" w:eastAsia="宋体"/>
                      <w:color w:val="auto"/>
                      <w:sz w:val="18"/>
                      <w:szCs w:val="18"/>
                      <w:lang w:val="en-US" w:eastAsia="zh-CN"/>
                    </w:rPr>
                  </w:pPr>
                  <w:r>
                    <w:rPr>
                      <w:rFonts w:hint="eastAsia"/>
                      <w:color w:val="auto"/>
                      <w:sz w:val="18"/>
                      <w:szCs w:val="18"/>
                      <w:lang w:val="en-US" w:eastAsia="zh-CN"/>
                    </w:rPr>
                    <w:t>无组织</w:t>
                  </w:r>
                </w:p>
              </w:tc>
              <w:tc>
                <w:tcPr>
                  <w:tcW w:w="161" w:type="pct"/>
                  <w:gridSpan w:val="3"/>
                  <w:vAlign w:val="center"/>
                </w:tcPr>
                <w:p w14:paraId="7E0D588E">
                  <w:pPr>
                    <w:contextualSpacing/>
                    <w:jc w:val="center"/>
                    <w:rPr>
                      <w:color w:val="auto"/>
                      <w:sz w:val="18"/>
                      <w:szCs w:val="18"/>
                    </w:rPr>
                  </w:pPr>
                  <w:r>
                    <w:rPr>
                      <w:color w:val="auto"/>
                      <w:sz w:val="18"/>
                      <w:szCs w:val="18"/>
                    </w:rPr>
                    <w:t>堆场</w:t>
                  </w:r>
                </w:p>
              </w:tc>
              <w:tc>
                <w:tcPr>
                  <w:tcW w:w="481" w:type="pct"/>
                  <w:gridSpan w:val="3"/>
                  <w:shd w:val="clear" w:color="auto" w:fill="auto"/>
                  <w:vAlign w:val="center"/>
                </w:tcPr>
                <w:p w14:paraId="498A4464">
                  <w:pPr>
                    <w:contextualSpacing/>
                    <w:jc w:val="center"/>
                    <w:rPr>
                      <w:color w:val="auto"/>
                      <w:sz w:val="18"/>
                      <w:szCs w:val="18"/>
                    </w:rPr>
                  </w:pPr>
                  <w:r>
                    <w:rPr>
                      <w:color w:val="auto"/>
                      <w:sz w:val="18"/>
                      <w:szCs w:val="18"/>
                    </w:rPr>
                    <w:t>无组织</w:t>
                  </w:r>
                </w:p>
              </w:tc>
              <w:tc>
                <w:tcPr>
                  <w:tcW w:w="237" w:type="pct"/>
                  <w:gridSpan w:val="3"/>
                  <w:shd w:val="clear" w:color="auto" w:fill="auto"/>
                  <w:vAlign w:val="center"/>
                </w:tcPr>
                <w:p w14:paraId="301B43C8">
                  <w:pPr>
                    <w:contextualSpacing/>
                    <w:jc w:val="center"/>
                    <w:rPr>
                      <w:rFonts w:hAnsi="宋体"/>
                      <w:color w:val="auto"/>
                      <w:sz w:val="18"/>
                      <w:szCs w:val="18"/>
                    </w:rPr>
                  </w:pPr>
                  <w:r>
                    <w:rPr>
                      <w:rFonts w:hAnsi="宋体"/>
                      <w:color w:val="auto"/>
                      <w:sz w:val="18"/>
                      <w:szCs w:val="18"/>
                    </w:rPr>
                    <w:t>颗粒物</w:t>
                  </w:r>
                </w:p>
              </w:tc>
              <w:tc>
                <w:tcPr>
                  <w:tcW w:w="344" w:type="pct"/>
                  <w:gridSpan w:val="3"/>
                  <w:shd w:val="clear" w:color="auto" w:fill="FFFFFF"/>
                  <w:vAlign w:val="center"/>
                </w:tcPr>
                <w:p w14:paraId="6287A3A9">
                  <w:pPr>
                    <w:shd w:val="clear" w:color="auto" w:fill="FFFFFF"/>
                    <w:contextualSpacing/>
                    <w:jc w:val="center"/>
                    <w:rPr>
                      <w:color w:val="auto"/>
                      <w:sz w:val="18"/>
                      <w:szCs w:val="18"/>
                    </w:rPr>
                  </w:pPr>
                  <w:r>
                    <w:rPr>
                      <w:rFonts w:hint="eastAsia"/>
                      <w:color w:val="auto"/>
                      <w:sz w:val="18"/>
                      <w:szCs w:val="18"/>
                    </w:rPr>
                    <w:t>/</w:t>
                  </w:r>
                </w:p>
              </w:tc>
              <w:tc>
                <w:tcPr>
                  <w:tcW w:w="403" w:type="pct"/>
                  <w:gridSpan w:val="2"/>
                  <w:vAlign w:val="center"/>
                </w:tcPr>
                <w:p w14:paraId="66F0323E">
                  <w:pPr>
                    <w:contextualSpacing/>
                    <w:jc w:val="center"/>
                    <w:rPr>
                      <w:rFonts w:hAnsi="宋体"/>
                      <w:color w:val="auto"/>
                      <w:spacing w:val="-14"/>
                      <w:sz w:val="18"/>
                      <w:szCs w:val="18"/>
                    </w:rPr>
                  </w:pPr>
                  <w:r>
                    <w:rPr>
                      <w:rFonts w:hint="eastAsia" w:hAnsi="宋体"/>
                      <w:color w:val="auto"/>
                      <w:spacing w:val="-14"/>
                      <w:sz w:val="18"/>
                      <w:szCs w:val="18"/>
                    </w:rPr>
                    <w:t>/</w:t>
                  </w:r>
                </w:p>
              </w:tc>
              <w:tc>
                <w:tcPr>
                  <w:tcW w:w="419" w:type="pct"/>
                  <w:gridSpan w:val="2"/>
                  <w:vAlign w:val="center"/>
                </w:tcPr>
                <w:p w14:paraId="79F2221B">
                  <w:pPr>
                    <w:contextualSpacing/>
                    <w:jc w:val="center"/>
                    <w:rPr>
                      <w:rFonts w:hint="default"/>
                      <w:color w:val="auto"/>
                      <w:sz w:val="18"/>
                      <w:szCs w:val="18"/>
                      <w:lang w:val="en-US" w:eastAsia="zh-CN"/>
                    </w:rPr>
                  </w:pPr>
                  <w:r>
                    <w:rPr>
                      <w:rFonts w:hint="eastAsia"/>
                      <w:color w:val="auto"/>
                      <w:sz w:val="18"/>
                      <w:szCs w:val="18"/>
                      <w:lang w:val="en-US" w:eastAsia="zh-CN"/>
                    </w:rPr>
                    <w:t>0.4t/a</w:t>
                  </w:r>
                </w:p>
              </w:tc>
              <w:tc>
                <w:tcPr>
                  <w:tcW w:w="908" w:type="pct"/>
                  <w:gridSpan w:val="3"/>
                  <w:vAlign w:val="center"/>
                </w:tcPr>
                <w:p w14:paraId="65FEE68A">
                  <w:pPr>
                    <w:contextualSpacing/>
                    <w:jc w:val="center"/>
                    <w:rPr>
                      <w:bCs/>
                      <w:color w:val="auto"/>
                      <w:sz w:val="18"/>
                      <w:szCs w:val="18"/>
                    </w:rPr>
                  </w:pPr>
                  <w:r>
                    <w:rPr>
                      <w:rFonts w:hint="eastAsia" w:hAnsi="宋体"/>
                      <w:bCs/>
                      <w:color w:val="auto"/>
                      <w:spacing w:val="-6"/>
                      <w:sz w:val="18"/>
                      <w:szCs w:val="18"/>
                    </w:rPr>
                    <w:t>洒水抑尘</w:t>
                  </w:r>
                  <w:r>
                    <w:rPr>
                      <w:rFonts w:hAnsi="宋体"/>
                      <w:bCs/>
                      <w:color w:val="auto"/>
                      <w:spacing w:val="-6"/>
                      <w:sz w:val="18"/>
                      <w:szCs w:val="18"/>
                    </w:rPr>
                    <w:t>防风抑尘网</w:t>
                  </w:r>
                </w:p>
              </w:tc>
              <w:tc>
                <w:tcPr>
                  <w:tcW w:w="318" w:type="pct"/>
                  <w:gridSpan w:val="3"/>
                  <w:vAlign w:val="center"/>
                </w:tcPr>
                <w:p w14:paraId="10DC5409">
                  <w:pPr>
                    <w:jc w:val="center"/>
                    <w:rPr>
                      <w:color w:val="auto"/>
                      <w:sz w:val="18"/>
                      <w:szCs w:val="18"/>
                    </w:rPr>
                  </w:pPr>
                  <w:r>
                    <w:rPr>
                      <w:rFonts w:hint="eastAsia"/>
                      <w:color w:val="auto"/>
                      <w:sz w:val="18"/>
                      <w:szCs w:val="18"/>
                    </w:rPr>
                    <w:t>52</w:t>
                  </w:r>
                  <w:r>
                    <w:rPr>
                      <w:color w:val="auto"/>
                      <w:sz w:val="18"/>
                      <w:szCs w:val="18"/>
                    </w:rPr>
                    <w:t>%</w:t>
                  </w:r>
                </w:p>
              </w:tc>
              <w:tc>
                <w:tcPr>
                  <w:tcW w:w="356" w:type="pct"/>
                  <w:gridSpan w:val="4"/>
                  <w:vAlign w:val="center"/>
                </w:tcPr>
                <w:p w14:paraId="4D9A0C28">
                  <w:pPr>
                    <w:contextualSpacing/>
                    <w:jc w:val="center"/>
                    <w:rPr>
                      <w:color w:val="auto"/>
                      <w:sz w:val="18"/>
                      <w:szCs w:val="18"/>
                    </w:rPr>
                  </w:pPr>
                  <w:r>
                    <w:rPr>
                      <w:rFonts w:hint="eastAsia"/>
                      <w:color w:val="auto"/>
                      <w:sz w:val="18"/>
                      <w:szCs w:val="18"/>
                    </w:rPr>
                    <w:t>/</w:t>
                  </w:r>
                </w:p>
              </w:tc>
              <w:tc>
                <w:tcPr>
                  <w:tcW w:w="503" w:type="pct"/>
                  <w:gridSpan w:val="3"/>
                  <w:vAlign w:val="center"/>
                </w:tcPr>
                <w:p w14:paraId="6EBEA964">
                  <w:pPr>
                    <w:shd w:val="clear" w:color="auto" w:fill="FFFFFF"/>
                    <w:contextualSpacing/>
                    <w:jc w:val="center"/>
                    <w:rPr>
                      <w:color w:val="auto"/>
                      <w:sz w:val="18"/>
                      <w:szCs w:val="18"/>
                    </w:rPr>
                  </w:pPr>
                  <w:r>
                    <w:rPr>
                      <w:rFonts w:hint="eastAsia"/>
                      <w:color w:val="auto"/>
                      <w:sz w:val="18"/>
                      <w:szCs w:val="18"/>
                    </w:rPr>
                    <w:t>/</w:t>
                  </w:r>
                </w:p>
              </w:tc>
              <w:tc>
                <w:tcPr>
                  <w:tcW w:w="430" w:type="pct"/>
                  <w:gridSpan w:val="2"/>
                  <w:vAlign w:val="center"/>
                </w:tcPr>
                <w:p w14:paraId="455F80B9">
                  <w:pPr>
                    <w:contextualSpacing/>
                    <w:jc w:val="center"/>
                    <w:rPr>
                      <w:rFonts w:hint="eastAsia"/>
                      <w:color w:val="auto"/>
                      <w:sz w:val="18"/>
                      <w:szCs w:val="18"/>
                      <w:lang w:val="en-US" w:eastAsia="zh-CN"/>
                    </w:rPr>
                  </w:pPr>
                  <w:r>
                    <w:rPr>
                      <w:rFonts w:hint="eastAsia"/>
                      <w:color w:val="auto"/>
                      <w:sz w:val="18"/>
                      <w:szCs w:val="18"/>
                      <w:lang w:val="en-US" w:eastAsia="zh-CN"/>
                    </w:rPr>
                    <w:t>0.192t/a</w:t>
                  </w:r>
                </w:p>
              </w:tc>
              <w:tc>
                <w:tcPr>
                  <w:tcW w:w="240" w:type="pct"/>
                  <w:gridSpan w:val="5"/>
                  <w:shd w:val="clear" w:color="auto" w:fill="auto"/>
                  <w:vAlign w:val="center"/>
                </w:tcPr>
                <w:p w14:paraId="614BD32B">
                  <w:pPr>
                    <w:contextualSpacing/>
                    <w:jc w:val="center"/>
                    <w:rPr>
                      <w:color w:val="auto"/>
                      <w:sz w:val="18"/>
                      <w:szCs w:val="18"/>
                    </w:rPr>
                  </w:pPr>
                  <w:r>
                    <w:rPr>
                      <w:rFonts w:hint="eastAsia"/>
                      <w:color w:val="auto"/>
                      <w:sz w:val="18"/>
                      <w:szCs w:val="18"/>
                      <w:lang w:val="en-US" w:eastAsia="zh-CN"/>
                    </w:rPr>
                    <w:t>576</w:t>
                  </w:r>
                  <w:r>
                    <w:rPr>
                      <w:rFonts w:hint="eastAsia"/>
                      <w:color w:val="auto"/>
                      <w:sz w:val="18"/>
                      <w:szCs w:val="18"/>
                    </w:rPr>
                    <w:t>0</w:t>
                  </w:r>
                </w:p>
              </w:tc>
            </w:tr>
            <w:tr w14:paraId="6EB6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continue"/>
                  <w:vAlign w:val="center"/>
                </w:tcPr>
                <w:p w14:paraId="7230F891">
                  <w:pPr>
                    <w:contextualSpacing/>
                    <w:jc w:val="center"/>
                    <w:rPr>
                      <w:color w:val="auto"/>
                      <w:sz w:val="18"/>
                      <w:szCs w:val="18"/>
                    </w:rPr>
                  </w:pPr>
                </w:p>
              </w:tc>
              <w:tc>
                <w:tcPr>
                  <w:tcW w:w="161" w:type="pct"/>
                  <w:gridSpan w:val="3"/>
                  <w:vAlign w:val="center"/>
                </w:tcPr>
                <w:p w14:paraId="1D436C81">
                  <w:pPr>
                    <w:contextualSpacing/>
                    <w:jc w:val="center"/>
                    <w:rPr>
                      <w:color w:val="auto"/>
                      <w:sz w:val="18"/>
                      <w:szCs w:val="18"/>
                    </w:rPr>
                  </w:pPr>
                  <w:r>
                    <w:rPr>
                      <w:color w:val="auto"/>
                      <w:sz w:val="18"/>
                      <w:szCs w:val="18"/>
                    </w:rPr>
                    <w:t>铲装集堆</w:t>
                  </w:r>
                </w:p>
              </w:tc>
              <w:tc>
                <w:tcPr>
                  <w:tcW w:w="481" w:type="pct"/>
                  <w:gridSpan w:val="3"/>
                  <w:shd w:val="clear" w:color="auto" w:fill="auto"/>
                  <w:vAlign w:val="center"/>
                </w:tcPr>
                <w:p w14:paraId="444E7B40">
                  <w:pPr>
                    <w:contextualSpacing/>
                    <w:jc w:val="center"/>
                    <w:rPr>
                      <w:color w:val="auto"/>
                      <w:sz w:val="18"/>
                      <w:szCs w:val="18"/>
                    </w:rPr>
                  </w:pPr>
                  <w:r>
                    <w:rPr>
                      <w:color w:val="auto"/>
                      <w:sz w:val="18"/>
                      <w:szCs w:val="18"/>
                    </w:rPr>
                    <w:t>无组织</w:t>
                  </w:r>
                </w:p>
              </w:tc>
              <w:tc>
                <w:tcPr>
                  <w:tcW w:w="237" w:type="pct"/>
                  <w:gridSpan w:val="3"/>
                  <w:shd w:val="clear" w:color="auto" w:fill="auto"/>
                  <w:vAlign w:val="center"/>
                </w:tcPr>
                <w:p w14:paraId="4B2E8543">
                  <w:pPr>
                    <w:keepNext w:val="0"/>
                    <w:keepLines w:val="0"/>
                    <w:pageBreakBefore w:val="0"/>
                    <w:widowControl w:val="0"/>
                    <w:kinsoku/>
                    <w:wordWrap/>
                    <w:overflowPunct/>
                    <w:topLinePunct w:val="0"/>
                    <w:autoSpaceDE/>
                    <w:autoSpaceDN/>
                    <w:bidi w:val="0"/>
                    <w:adjustRightInd/>
                    <w:snapToGrid/>
                    <w:spacing w:line="240" w:lineRule="atLeast"/>
                    <w:contextualSpacing/>
                    <w:jc w:val="center"/>
                    <w:textAlignment w:val="auto"/>
                    <w:rPr>
                      <w:rFonts w:hAnsi="宋体"/>
                      <w:color w:val="auto"/>
                      <w:spacing w:val="-28"/>
                      <w:sz w:val="18"/>
                      <w:szCs w:val="18"/>
                    </w:rPr>
                  </w:pPr>
                  <w:r>
                    <w:rPr>
                      <w:rFonts w:hAnsi="宋体"/>
                      <w:color w:val="auto"/>
                      <w:spacing w:val="-28"/>
                      <w:sz w:val="18"/>
                      <w:szCs w:val="18"/>
                    </w:rPr>
                    <w:t>颗粒物</w:t>
                  </w:r>
                </w:p>
              </w:tc>
              <w:tc>
                <w:tcPr>
                  <w:tcW w:w="344" w:type="pct"/>
                  <w:gridSpan w:val="3"/>
                  <w:shd w:val="clear" w:color="auto" w:fill="FFFFFF"/>
                  <w:vAlign w:val="center"/>
                </w:tcPr>
                <w:p w14:paraId="2E8AF932">
                  <w:pPr>
                    <w:shd w:val="clear" w:color="auto" w:fill="FFFFFF"/>
                    <w:contextualSpacing/>
                    <w:jc w:val="center"/>
                    <w:rPr>
                      <w:color w:val="auto"/>
                      <w:sz w:val="18"/>
                      <w:szCs w:val="18"/>
                    </w:rPr>
                  </w:pPr>
                  <w:r>
                    <w:rPr>
                      <w:rFonts w:hint="eastAsia"/>
                      <w:color w:val="auto"/>
                      <w:sz w:val="18"/>
                      <w:szCs w:val="18"/>
                    </w:rPr>
                    <w:t>/</w:t>
                  </w:r>
                </w:p>
              </w:tc>
              <w:tc>
                <w:tcPr>
                  <w:tcW w:w="403" w:type="pct"/>
                  <w:gridSpan w:val="2"/>
                  <w:vAlign w:val="center"/>
                </w:tcPr>
                <w:p w14:paraId="131E39BE">
                  <w:pPr>
                    <w:contextualSpacing/>
                    <w:jc w:val="center"/>
                    <w:rPr>
                      <w:rFonts w:hAnsi="宋体"/>
                      <w:color w:val="auto"/>
                      <w:spacing w:val="-14"/>
                      <w:sz w:val="18"/>
                      <w:szCs w:val="18"/>
                    </w:rPr>
                  </w:pPr>
                  <w:r>
                    <w:rPr>
                      <w:rFonts w:hint="eastAsia" w:hAnsi="宋体"/>
                      <w:color w:val="auto"/>
                      <w:spacing w:val="-14"/>
                      <w:sz w:val="18"/>
                      <w:szCs w:val="18"/>
                    </w:rPr>
                    <w:t>/</w:t>
                  </w:r>
                </w:p>
              </w:tc>
              <w:tc>
                <w:tcPr>
                  <w:tcW w:w="419" w:type="pct"/>
                  <w:gridSpan w:val="2"/>
                  <w:vAlign w:val="center"/>
                </w:tcPr>
                <w:p w14:paraId="0E8864AD">
                  <w:pPr>
                    <w:contextualSpacing/>
                    <w:jc w:val="center"/>
                    <w:rPr>
                      <w:rFonts w:hint="eastAsia"/>
                      <w:color w:val="auto"/>
                      <w:sz w:val="18"/>
                      <w:szCs w:val="18"/>
                      <w:lang w:val="en-US" w:eastAsia="zh-CN"/>
                    </w:rPr>
                  </w:pPr>
                  <w:r>
                    <w:rPr>
                      <w:rFonts w:hint="eastAsia"/>
                      <w:color w:val="auto"/>
                      <w:sz w:val="18"/>
                      <w:szCs w:val="18"/>
                      <w:lang w:val="en-US" w:eastAsia="zh-CN"/>
                    </w:rPr>
                    <w:t>1.22t/a</w:t>
                  </w:r>
                </w:p>
              </w:tc>
              <w:tc>
                <w:tcPr>
                  <w:tcW w:w="908" w:type="pct"/>
                  <w:gridSpan w:val="3"/>
                  <w:vAlign w:val="center"/>
                </w:tcPr>
                <w:p w14:paraId="46195BC1">
                  <w:pPr>
                    <w:contextualSpacing/>
                    <w:jc w:val="center"/>
                    <w:rPr>
                      <w:bCs/>
                      <w:color w:val="auto"/>
                      <w:sz w:val="18"/>
                      <w:szCs w:val="18"/>
                    </w:rPr>
                  </w:pPr>
                  <w:r>
                    <w:rPr>
                      <w:rFonts w:hAnsi="宋体"/>
                      <w:bCs/>
                      <w:color w:val="auto"/>
                      <w:spacing w:val="-6"/>
                      <w:sz w:val="18"/>
                      <w:szCs w:val="18"/>
                    </w:rPr>
                    <w:t>洒水喷淋</w:t>
                  </w:r>
                </w:p>
              </w:tc>
              <w:tc>
                <w:tcPr>
                  <w:tcW w:w="318" w:type="pct"/>
                  <w:gridSpan w:val="3"/>
                  <w:vAlign w:val="center"/>
                </w:tcPr>
                <w:p w14:paraId="345AE7F0">
                  <w:pPr>
                    <w:jc w:val="center"/>
                    <w:rPr>
                      <w:color w:val="auto"/>
                      <w:sz w:val="18"/>
                      <w:szCs w:val="18"/>
                    </w:rPr>
                  </w:pPr>
                  <w:r>
                    <w:rPr>
                      <w:rFonts w:hint="eastAsia"/>
                      <w:color w:val="auto"/>
                      <w:sz w:val="18"/>
                      <w:szCs w:val="18"/>
                    </w:rPr>
                    <w:t>74</w:t>
                  </w:r>
                  <w:r>
                    <w:rPr>
                      <w:color w:val="auto"/>
                      <w:sz w:val="18"/>
                      <w:szCs w:val="18"/>
                    </w:rPr>
                    <w:t>%</w:t>
                  </w:r>
                </w:p>
              </w:tc>
              <w:tc>
                <w:tcPr>
                  <w:tcW w:w="356" w:type="pct"/>
                  <w:gridSpan w:val="4"/>
                  <w:vAlign w:val="center"/>
                </w:tcPr>
                <w:p w14:paraId="3AD21A81">
                  <w:pPr>
                    <w:contextualSpacing/>
                    <w:jc w:val="center"/>
                    <w:rPr>
                      <w:color w:val="auto"/>
                      <w:sz w:val="18"/>
                      <w:szCs w:val="18"/>
                    </w:rPr>
                  </w:pPr>
                  <w:r>
                    <w:rPr>
                      <w:rFonts w:hint="eastAsia"/>
                      <w:color w:val="auto"/>
                      <w:sz w:val="18"/>
                      <w:szCs w:val="18"/>
                    </w:rPr>
                    <w:t>/</w:t>
                  </w:r>
                </w:p>
              </w:tc>
              <w:tc>
                <w:tcPr>
                  <w:tcW w:w="503" w:type="pct"/>
                  <w:gridSpan w:val="3"/>
                  <w:vAlign w:val="center"/>
                </w:tcPr>
                <w:p w14:paraId="28BE673C">
                  <w:pPr>
                    <w:shd w:val="clear" w:color="auto" w:fill="FFFFFF"/>
                    <w:contextualSpacing/>
                    <w:jc w:val="center"/>
                    <w:rPr>
                      <w:color w:val="auto"/>
                      <w:sz w:val="18"/>
                      <w:szCs w:val="18"/>
                    </w:rPr>
                  </w:pPr>
                  <w:r>
                    <w:rPr>
                      <w:rFonts w:hint="eastAsia"/>
                      <w:color w:val="auto"/>
                      <w:sz w:val="18"/>
                      <w:szCs w:val="18"/>
                    </w:rPr>
                    <w:t>/</w:t>
                  </w:r>
                </w:p>
              </w:tc>
              <w:tc>
                <w:tcPr>
                  <w:tcW w:w="430" w:type="pct"/>
                  <w:gridSpan w:val="2"/>
                  <w:vAlign w:val="center"/>
                </w:tcPr>
                <w:p w14:paraId="235D7A92">
                  <w:pPr>
                    <w:contextualSpacing/>
                    <w:jc w:val="center"/>
                    <w:rPr>
                      <w:rFonts w:hint="eastAsia"/>
                      <w:color w:val="auto"/>
                      <w:sz w:val="18"/>
                      <w:szCs w:val="18"/>
                      <w:lang w:val="en-US" w:eastAsia="zh-CN"/>
                    </w:rPr>
                  </w:pPr>
                  <w:r>
                    <w:rPr>
                      <w:rFonts w:hint="eastAsia"/>
                      <w:color w:val="auto"/>
                      <w:sz w:val="18"/>
                      <w:szCs w:val="18"/>
                      <w:lang w:val="en-US" w:eastAsia="zh-CN"/>
                    </w:rPr>
                    <w:t>0.32t/a</w:t>
                  </w:r>
                </w:p>
              </w:tc>
              <w:tc>
                <w:tcPr>
                  <w:tcW w:w="240" w:type="pct"/>
                  <w:gridSpan w:val="5"/>
                  <w:shd w:val="clear" w:color="auto" w:fill="auto"/>
                  <w:vAlign w:val="center"/>
                </w:tcPr>
                <w:p w14:paraId="7C1C63FB">
                  <w:pPr>
                    <w:contextualSpacing/>
                    <w:jc w:val="center"/>
                    <w:rPr>
                      <w:color w:val="auto"/>
                      <w:sz w:val="18"/>
                      <w:szCs w:val="18"/>
                    </w:rPr>
                  </w:pPr>
                  <w:r>
                    <w:rPr>
                      <w:rFonts w:hint="eastAsia"/>
                      <w:color w:val="auto"/>
                      <w:sz w:val="18"/>
                      <w:szCs w:val="18"/>
                    </w:rPr>
                    <w:t>2</w:t>
                  </w:r>
                  <w:r>
                    <w:rPr>
                      <w:rFonts w:hint="eastAsia"/>
                      <w:color w:val="auto"/>
                      <w:sz w:val="18"/>
                      <w:szCs w:val="18"/>
                      <w:lang w:val="en-US" w:eastAsia="zh-CN"/>
                    </w:rPr>
                    <w:t>4</w:t>
                  </w:r>
                  <w:r>
                    <w:rPr>
                      <w:rFonts w:hint="eastAsia"/>
                      <w:color w:val="auto"/>
                      <w:sz w:val="18"/>
                      <w:szCs w:val="18"/>
                    </w:rPr>
                    <w:t>00</w:t>
                  </w:r>
                </w:p>
              </w:tc>
            </w:tr>
            <w:tr w14:paraId="2BD5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 w:type="pct"/>
                <w:wAfter w:w="1" w:type="pct"/>
                <w:trHeight w:val="397" w:hRule="atLeast"/>
                <w:jc w:val="center"/>
              </w:trPr>
              <w:tc>
                <w:tcPr>
                  <w:tcW w:w="192" w:type="pct"/>
                  <w:gridSpan w:val="2"/>
                  <w:vMerge w:val="continue"/>
                  <w:vAlign w:val="center"/>
                </w:tcPr>
                <w:p w14:paraId="7E39D8CF">
                  <w:pPr>
                    <w:contextualSpacing/>
                    <w:rPr>
                      <w:color w:val="auto"/>
                      <w:sz w:val="18"/>
                      <w:szCs w:val="18"/>
                    </w:rPr>
                  </w:pPr>
                </w:p>
              </w:tc>
              <w:tc>
                <w:tcPr>
                  <w:tcW w:w="161" w:type="pct"/>
                  <w:gridSpan w:val="3"/>
                  <w:vAlign w:val="center"/>
                </w:tcPr>
                <w:p w14:paraId="7D1345C1">
                  <w:pPr>
                    <w:contextualSpacing/>
                    <w:jc w:val="center"/>
                    <w:rPr>
                      <w:color w:val="auto"/>
                      <w:sz w:val="18"/>
                      <w:szCs w:val="18"/>
                    </w:rPr>
                  </w:pPr>
                  <w:r>
                    <w:rPr>
                      <w:color w:val="auto"/>
                      <w:sz w:val="18"/>
                      <w:szCs w:val="18"/>
                    </w:rPr>
                    <w:t>上料</w:t>
                  </w:r>
                </w:p>
              </w:tc>
              <w:tc>
                <w:tcPr>
                  <w:tcW w:w="481" w:type="pct"/>
                  <w:gridSpan w:val="3"/>
                  <w:shd w:val="clear" w:color="auto" w:fill="auto"/>
                  <w:vAlign w:val="center"/>
                </w:tcPr>
                <w:p w14:paraId="2919A60E">
                  <w:pPr>
                    <w:contextualSpacing/>
                    <w:jc w:val="center"/>
                    <w:rPr>
                      <w:color w:val="auto"/>
                      <w:sz w:val="18"/>
                      <w:szCs w:val="18"/>
                    </w:rPr>
                  </w:pPr>
                  <w:r>
                    <w:rPr>
                      <w:color w:val="auto"/>
                      <w:sz w:val="18"/>
                      <w:szCs w:val="18"/>
                    </w:rPr>
                    <w:t>无组织</w:t>
                  </w:r>
                </w:p>
              </w:tc>
              <w:tc>
                <w:tcPr>
                  <w:tcW w:w="237" w:type="pct"/>
                  <w:gridSpan w:val="3"/>
                  <w:shd w:val="clear" w:color="auto" w:fill="auto"/>
                  <w:vAlign w:val="center"/>
                </w:tcPr>
                <w:p w14:paraId="2E1A5D6E">
                  <w:pPr>
                    <w:keepNext w:val="0"/>
                    <w:keepLines w:val="0"/>
                    <w:pageBreakBefore w:val="0"/>
                    <w:widowControl w:val="0"/>
                    <w:kinsoku/>
                    <w:wordWrap/>
                    <w:overflowPunct/>
                    <w:topLinePunct w:val="0"/>
                    <w:autoSpaceDE/>
                    <w:autoSpaceDN/>
                    <w:bidi w:val="0"/>
                    <w:adjustRightInd/>
                    <w:snapToGrid/>
                    <w:spacing w:line="240" w:lineRule="atLeast"/>
                    <w:contextualSpacing/>
                    <w:textAlignment w:val="auto"/>
                    <w:rPr>
                      <w:rFonts w:hAnsi="宋体"/>
                      <w:color w:val="auto"/>
                      <w:spacing w:val="-28"/>
                      <w:sz w:val="18"/>
                      <w:szCs w:val="18"/>
                    </w:rPr>
                  </w:pPr>
                  <w:r>
                    <w:rPr>
                      <w:rFonts w:hAnsi="宋体"/>
                      <w:color w:val="auto"/>
                      <w:spacing w:val="-28"/>
                      <w:sz w:val="18"/>
                      <w:szCs w:val="18"/>
                    </w:rPr>
                    <w:t>颗粒物</w:t>
                  </w:r>
                </w:p>
              </w:tc>
              <w:tc>
                <w:tcPr>
                  <w:tcW w:w="344" w:type="pct"/>
                  <w:gridSpan w:val="3"/>
                  <w:shd w:val="clear" w:color="auto" w:fill="FFFFFF"/>
                  <w:vAlign w:val="center"/>
                </w:tcPr>
                <w:p w14:paraId="2A836A8F">
                  <w:pPr>
                    <w:shd w:val="clear" w:color="auto" w:fill="FFFFFF"/>
                    <w:contextualSpacing/>
                    <w:jc w:val="center"/>
                    <w:rPr>
                      <w:color w:val="auto"/>
                      <w:sz w:val="18"/>
                      <w:szCs w:val="18"/>
                    </w:rPr>
                  </w:pPr>
                  <w:r>
                    <w:rPr>
                      <w:rFonts w:hint="eastAsia"/>
                      <w:color w:val="auto"/>
                      <w:sz w:val="18"/>
                      <w:szCs w:val="18"/>
                    </w:rPr>
                    <w:t>/</w:t>
                  </w:r>
                </w:p>
              </w:tc>
              <w:tc>
                <w:tcPr>
                  <w:tcW w:w="403" w:type="pct"/>
                  <w:gridSpan w:val="2"/>
                  <w:vAlign w:val="center"/>
                </w:tcPr>
                <w:p w14:paraId="78C69D0D">
                  <w:pPr>
                    <w:contextualSpacing/>
                    <w:jc w:val="center"/>
                    <w:rPr>
                      <w:rFonts w:hAnsi="宋体"/>
                      <w:color w:val="auto"/>
                      <w:spacing w:val="-14"/>
                      <w:sz w:val="18"/>
                      <w:szCs w:val="18"/>
                    </w:rPr>
                  </w:pPr>
                  <w:r>
                    <w:rPr>
                      <w:rFonts w:hint="eastAsia" w:hAnsi="宋体"/>
                      <w:color w:val="auto"/>
                      <w:spacing w:val="-14"/>
                      <w:sz w:val="18"/>
                      <w:szCs w:val="18"/>
                    </w:rPr>
                    <w:t>/</w:t>
                  </w:r>
                </w:p>
              </w:tc>
              <w:tc>
                <w:tcPr>
                  <w:tcW w:w="419" w:type="pct"/>
                  <w:gridSpan w:val="2"/>
                  <w:vAlign w:val="center"/>
                </w:tcPr>
                <w:p w14:paraId="38A695ED">
                  <w:pPr>
                    <w:contextualSpacing/>
                    <w:jc w:val="center"/>
                    <w:rPr>
                      <w:rFonts w:hint="eastAsia"/>
                      <w:color w:val="auto"/>
                      <w:sz w:val="18"/>
                      <w:szCs w:val="18"/>
                      <w:lang w:val="en-US" w:eastAsia="zh-CN"/>
                    </w:rPr>
                  </w:pPr>
                  <w:r>
                    <w:rPr>
                      <w:rFonts w:hint="eastAsia"/>
                      <w:color w:val="auto"/>
                      <w:sz w:val="18"/>
                      <w:szCs w:val="18"/>
                      <w:lang w:val="en-US" w:eastAsia="zh-CN"/>
                    </w:rPr>
                    <w:t>0.21t/a</w:t>
                  </w:r>
                </w:p>
              </w:tc>
              <w:tc>
                <w:tcPr>
                  <w:tcW w:w="908" w:type="pct"/>
                  <w:gridSpan w:val="3"/>
                  <w:vAlign w:val="center"/>
                </w:tcPr>
                <w:p w14:paraId="488762CE">
                  <w:pPr>
                    <w:contextualSpacing/>
                    <w:jc w:val="center"/>
                    <w:rPr>
                      <w:rFonts w:hAnsi="宋体"/>
                      <w:bCs/>
                      <w:color w:val="auto"/>
                      <w:spacing w:val="-6"/>
                      <w:sz w:val="18"/>
                      <w:szCs w:val="18"/>
                    </w:rPr>
                  </w:pPr>
                  <w:r>
                    <w:rPr>
                      <w:color w:val="auto"/>
                      <w:sz w:val="18"/>
                      <w:szCs w:val="18"/>
                    </w:rPr>
                    <w:t>/</w:t>
                  </w:r>
                </w:p>
              </w:tc>
              <w:tc>
                <w:tcPr>
                  <w:tcW w:w="318" w:type="pct"/>
                  <w:gridSpan w:val="3"/>
                  <w:vAlign w:val="center"/>
                </w:tcPr>
                <w:p w14:paraId="53B2FFAE">
                  <w:pPr>
                    <w:jc w:val="center"/>
                    <w:rPr>
                      <w:color w:val="auto"/>
                      <w:sz w:val="18"/>
                      <w:szCs w:val="18"/>
                    </w:rPr>
                  </w:pPr>
                  <w:r>
                    <w:rPr>
                      <w:color w:val="auto"/>
                      <w:sz w:val="18"/>
                      <w:szCs w:val="18"/>
                    </w:rPr>
                    <w:t>/</w:t>
                  </w:r>
                </w:p>
              </w:tc>
              <w:tc>
                <w:tcPr>
                  <w:tcW w:w="356" w:type="pct"/>
                  <w:gridSpan w:val="4"/>
                  <w:vAlign w:val="center"/>
                </w:tcPr>
                <w:p w14:paraId="175F011C">
                  <w:pPr>
                    <w:contextualSpacing/>
                    <w:jc w:val="center"/>
                    <w:rPr>
                      <w:color w:val="auto"/>
                      <w:sz w:val="18"/>
                      <w:szCs w:val="18"/>
                    </w:rPr>
                  </w:pPr>
                  <w:r>
                    <w:rPr>
                      <w:rFonts w:hint="eastAsia"/>
                      <w:color w:val="auto"/>
                      <w:sz w:val="18"/>
                      <w:szCs w:val="18"/>
                    </w:rPr>
                    <w:t>/</w:t>
                  </w:r>
                </w:p>
              </w:tc>
              <w:tc>
                <w:tcPr>
                  <w:tcW w:w="503" w:type="pct"/>
                  <w:gridSpan w:val="3"/>
                  <w:vAlign w:val="center"/>
                </w:tcPr>
                <w:p w14:paraId="2CBE6BDD">
                  <w:pPr>
                    <w:shd w:val="clear" w:color="auto" w:fill="FFFFFF"/>
                    <w:contextualSpacing/>
                    <w:jc w:val="center"/>
                    <w:rPr>
                      <w:color w:val="auto"/>
                      <w:sz w:val="18"/>
                      <w:szCs w:val="18"/>
                    </w:rPr>
                  </w:pPr>
                  <w:r>
                    <w:rPr>
                      <w:color w:val="auto"/>
                      <w:sz w:val="18"/>
                      <w:szCs w:val="18"/>
                    </w:rPr>
                    <w:t>/</w:t>
                  </w:r>
                </w:p>
              </w:tc>
              <w:tc>
                <w:tcPr>
                  <w:tcW w:w="430" w:type="pct"/>
                  <w:gridSpan w:val="2"/>
                  <w:vAlign w:val="center"/>
                </w:tcPr>
                <w:p w14:paraId="3FDA6471">
                  <w:pPr>
                    <w:contextualSpacing/>
                    <w:jc w:val="center"/>
                    <w:rPr>
                      <w:rFonts w:hint="eastAsia"/>
                      <w:color w:val="auto"/>
                      <w:sz w:val="18"/>
                      <w:szCs w:val="18"/>
                      <w:lang w:val="en-US" w:eastAsia="zh-CN"/>
                    </w:rPr>
                  </w:pPr>
                  <w:r>
                    <w:rPr>
                      <w:rFonts w:hint="eastAsia"/>
                      <w:color w:val="auto"/>
                      <w:sz w:val="18"/>
                      <w:szCs w:val="18"/>
                      <w:lang w:val="en-US" w:eastAsia="zh-CN"/>
                    </w:rPr>
                    <w:t>0.021t/a</w:t>
                  </w:r>
                </w:p>
              </w:tc>
              <w:tc>
                <w:tcPr>
                  <w:tcW w:w="240" w:type="pct"/>
                  <w:gridSpan w:val="5"/>
                  <w:shd w:val="clear" w:color="auto" w:fill="auto"/>
                  <w:vAlign w:val="center"/>
                </w:tcPr>
                <w:p w14:paraId="2FC9928D">
                  <w:pPr>
                    <w:contextualSpacing/>
                    <w:jc w:val="center"/>
                    <w:rPr>
                      <w:color w:val="auto"/>
                      <w:sz w:val="18"/>
                      <w:szCs w:val="18"/>
                    </w:rPr>
                  </w:pPr>
                  <w:r>
                    <w:rPr>
                      <w:rFonts w:hint="eastAsia"/>
                      <w:color w:val="auto"/>
                      <w:sz w:val="18"/>
                      <w:szCs w:val="18"/>
                    </w:rPr>
                    <w:t>2</w:t>
                  </w:r>
                  <w:r>
                    <w:rPr>
                      <w:rFonts w:hint="eastAsia"/>
                      <w:color w:val="auto"/>
                      <w:sz w:val="18"/>
                      <w:szCs w:val="18"/>
                      <w:lang w:val="en-US" w:eastAsia="zh-CN"/>
                    </w:rPr>
                    <w:t>4</w:t>
                  </w:r>
                  <w:r>
                    <w:rPr>
                      <w:rFonts w:hint="eastAsia"/>
                      <w:color w:val="auto"/>
                      <w:sz w:val="18"/>
                      <w:szCs w:val="18"/>
                    </w:rPr>
                    <w:t>00</w:t>
                  </w:r>
                </w:p>
              </w:tc>
            </w:tr>
            <w:tr w14:paraId="2B74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192" w:type="pct"/>
                  <w:gridSpan w:val="3"/>
                  <w:vMerge w:val="continue"/>
                  <w:vAlign w:val="center"/>
                </w:tcPr>
                <w:p w14:paraId="0912048B">
                  <w:pPr>
                    <w:contextualSpacing/>
                    <w:jc w:val="center"/>
                    <w:rPr>
                      <w:color w:val="auto"/>
                      <w:sz w:val="18"/>
                      <w:szCs w:val="18"/>
                    </w:rPr>
                  </w:pPr>
                </w:p>
              </w:tc>
              <w:tc>
                <w:tcPr>
                  <w:tcW w:w="161" w:type="pct"/>
                  <w:gridSpan w:val="3"/>
                  <w:vMerge w:val="restart"/>
                  <w:vAlign w:val="center"/>
                </w:tcPr>
                <w:p w14:paraId="46E11F67">
                  <w:pPr>
                    <w:contextualSpacing/>
                    <w:jc w:val="center"/>
                    <w:rPr>
                      <w:color w:val="auto"/>
                      <w:sz w:val="18"/>
                      <w:szCs w:val="18"/>
                    </w:rPr>
                  </w:pPr>
                  <w:r>
                    <w:rPr>
                      <w:color w:val="auto"/>
                      <w:sz w:val="18"/>
                      <w:szCs w:val="18"/>
                    </w:rPr>
                    <w:t>放料口</w:t>
                  </w:r>
                </w:p>
              </w:tc>
              <w:tc>
                <w:tcPr>
                  <w:tcW w:w="481" w:type="pct"/>
                  <w:gridSpan w:val="3"/>
                  <w:vMerge w:val="restart"/>
                  <w:shd w:val="clear" w:color="auto" w:fill="auto"/>
                  <w:vAlign w:val="center"/>
                </w:tcPr>
                <w:p w14:paraId="2F6FC992">
                  <w:pPr>
                    <w:contextualSpacing/>
                    <w:jc w:val="center"/>
                    <w:rPr>
                      <w:color w:val="auto"/>
                      <w:sz w:val="18"/>
                      <w:szCs w:val="18"/>
                    </w:rPr>
                  </w:pPr>
                  <w:r>
                    <w:rPr>
                      <w:rFonts w:hAnsi="宋体"/>
                      <w:color w:val="auto"/>
                      <w:sz w:val="18"/>
                      <w:szCs w:val="18"/>
                    </w:rPr>
                    <w:t>无组织</w:t>
                  </w:r>
                </w:p>
              </w:tc>
              <w:tc>
                <w:tcPr>
                  <w:tcW w:w="237" w:type="pct"/>
                  <w:gridSpan w:val="3"/>
                  <w:shd w:val="clear" w:color="auto" w:fill="auto"/>
                  <w:vAlign w:val="center"/>
                </w:tcPr>
                <w:p w14:paraId="1F8B178F">
                  <w:pPr>
                    <w:contextualSpacing/>
                    <w:jc w:val="center"/>
                    <w:rPr>
                      <w:rFonts w:hint="eastAsia" w:hAnsi="宋体"/>
                      <w:bCs/>
                      <w:color w:val="auto"/>
                      <w:spacing w:val="-40"/>
                      <w:sz w:val="18"/>
                      <w:szCs w:val="18"/>
                    </w:rPr>
                  </w:pPr>
                  <w:r>
                    <w:rPr>
                      <w:rFonts w:hint="eastAsia" w:hAnsi="宋体"/>
                      <w:bCs/>
                      <w:color w:val="auto"/>
                      <w:spacing w:val="-40"/>
                      <w:sz w:val="18"/>
                      <w:szCs w:val="18"/>
                    </w:rPr>
                    <w:t>沥青烟</w:t>
                  </w:r>
                </w:p>
              </w:tc>
              <w:tc>
                <w:tcPr>
                  <w:tcW w:w="344" w:type="pct"/>
                  <w:gridSpan w:val="3"/>
                  <w:shd w:val="clear" w:color="auto" w:fill="FFFFFF"/>
                  <w:vAlign w:val="center"/>
                </w:tcPr>
                <w:p w14:paraId="702A1A16">
                  <w:pPr>
                    <w:shd w:val="clear" w:color="auto" w:fill="FFFFFF"/>
                    <w:contextualSpacing/>
                    <w:jc w:val="center"/>
                    <w:rPr>
                      <w:color w:val="auto"/>
                      <w:sz w:val="18"/>
                      <w:szCs w:val="18"/>
                    </w:rPr>
                  </w:pPr>
                  <w:r>
                    <w:rPr>
                      <w:color w:val="auto"/>
                      <w:sz w:val="18"/>
                      <w:szCs w:val="18"/>
                    </w:rPr>
                    <w:t>/</w:t>
                  </w:r>
                </w:p>
              </w:tc>
              <w:tc>
                <w:tcPr>
                  <w:tcW w:w="403" w:type="pct"/>
                  <w:gridSpan w:val="2"/>
                  <w:vAlign w:val="center"/>
                </w:tcPr>
                <w:p w14:paraId="50614ACB">
                  <w:pPr>
                    <w:contextualSpacing/>
                    <w:jc w:val="center"/>
                    <w:rPr>
                      <w:rFonts w:hAnsi="宋体"/>
                      <w:color w:val="auto"/>
                      <w:spacing w:val="-14"/>
                      <w:sz w:val="18"/>
                      <w:szCs w:val="18"/>
                    </w:rPr>
                  </w:pPr>
                  <w:r>
                    <w:rPr>
                      <w:rFonts w:hAnsi="宋体"/>
                      <w:color w:val="auto"/>
                      <w:spacing w:val="-14"/>
                      <w:sz w:val="18"/>
                      <w:szCs w:val="18"/>
                    </w:rPr>
                    <w:t>/</w:t>
                  </w:r>
                </w:p>
              </w:tc>
              <w:tc>
                <w:tcPr>
                  <w:tcW w:w="703" w:type="dxa"/>
                  <w:gridSpan w:val="3"/>
                  <w:vAlign w:val="center"/>
                </w:tcPr>
                <w:p w14:paraId="709803F3">
                  <w:pPr>
                    <w:contextualSpacing/>
                    <w:jc w:val="center"/>
                    <w:rPr>
                      <w:color w:val="auto"/>
                      <w:sz w:val="18"/>
                      <w:szCs w:val="18"/>
                    </w:rPr>
                  </w:pPr>
                  <w:r>
                    <w:rPr>
                      <w:color w:val="auto"/>
                      <w:sz w:val="18"/>
                      <w:szCs w:val="18"/>
                    </w:rPr>
                    <w:t>0.</w:t>
                  </w:r>
                  <w:r>
                    <w:rPr>
                      <w:rFonts w:hint="eastAsia"/>
                      <w:color w:val="auto"/>
                      <w:sz w:val="18"/>
                      <w:szCs w:val="18"/>
                    </w:rPr>
                    <w:t>1</w:t>
                  </w:r>
                  <w:r>
                    <w:rPr>
                      <w:rFonts w:hint="eastAsia"/>
                      <w:color w:val="auto"/>
                      <w:sz w:val="18"/>
                      <w:szCs w:val="18"/>
                      <w:lang w:val="en-US" w:eastAsia="zh-CN"/>
                    </w:rPr>
                    <w:t>6</w:t>
                  </w:r>
                  <w:r>
                    <w:rPr>
                      <w:rFonts w:hint="eastAsia"/>
                      <w:color w:val="auto"/>
                      <w:sz w:val="18"/>
                      <w:szCs w:val="18"/>
                    </w:rPr>
                    <w:t>25</w:t>
                  </w:r>
                  <w:r>
                    <w:rPr>
                      <w:color w:val="auto"/>
                      <w:sz w:val="18"/>
                      <w:szCs w:val="18"/>
                    </w:rPr>
                    <w:t>t/a</w:t>
                  </w:r>
                </w:p>
              </w:tc>
              <w:tc>
                <w:tcPr>
                  <w:tcW w:w="908" w:type="pct"/>
                  <w:gridSpan w:val="3"/>
                  <w:vMerge w:val="restart"/>
                  <w:vAlign w:val="center"/>
                </w:tcPr>
                <w:p w14:paraId="3B1C1C88">
                  <w:pPr>
                    <w:contextualSpacing/>
                    <w:jc w:val="center"/>
                    <w:rPr>
                      <w:color w:val="auto"/>
                      <w:sz w:val="18"/>
                      <w:szCs w:val="18"/>
                    </w:rPr>
                  </w:pPr>
                  <w:r>
                    <w:rPr>
                      <w:color w:val="auto"/>
                      <w:sz w:val="18"/>
                      <w:szCs w:val="18"/>
                    </w:rPr>
                    <w:t>/</w:t>
                  </w:r>
                </w:p>
              </w:tc>
              <w:tc>
                <w:tcPr>
                  <w:tcW w:w="318" w:type="pct"/>
                  <w:gridSpan w:val="4"/>
                  <w:vAlign w:val="center"/>
                </w:tcPr>
                <w:p w14:paraId="25549AFD">
                  <w:pPr>
                    <w:jc w:val="center"/>
                    <w:rPr>
                      <w:color w:val="auto"/>
                      <w:sz w:val="18"/>
                      <w:szCs w:val="18"/>
                    </w:rPr>
                  </w:pPr>
                  <w:r>
                    <w:rPr>
                      <w:color w:val="auto"/>
                      <w:sz w:val="18"/>
                      <w:szCs w:val="18"/>
                    </w:rPr>
                    <w:t>/</w:t>
                  </w:r>
                </w:p>
              </w:tc>
              <w:tc>
                <w:tcPr>
                  <w:tcW w:w="356" w:type="pct"/>
                  <w:gridSpan w:val="3"/>
                  <w:vAlign w:val="center"/>
                </w:tcPr>
                <w:p w14:paraId="01F18D72">
                  <w:pPr>
                    <w:contextualSpacing/>
                    <w:jc w:val="center"/>
                    <w:rPr>
                      <w:color w:val="auto"/>
                      <w:sz w:val="18"/>
                      <w:szCs w:val="18"/>
                    </w:rPr>
                  </w:pPr>
                  <w:r>
                    <w:rPr>
                      <w:rFonts w:hint="eastAsia"/>
                      <w:color w:val="auto"/>
                      <w:sz w:val="18"/>
                      <w:szCs w:val="18"/>
                    </w:rPr>
                    <w:t>/</w:t>
                  </w:r>
                </w:p>
              </w:tc>
              <w:tc>
                <w:tcPr>
                  <w:tcW w:w="503" w:type="pct"/>
                  <w:gridSpan w:val="2"/>
                  <w:vAlign w:val="center"/>
                </w:tcPr>
                <w:p w14:paraId="4EAD1456">
                  <w:pPr>
                    <w:shd w:val="clear" w:color="auto" w:fill="FFFFFF"/>
                    <w:contextualSpacing/>
                    <w:jc w:val="center"/>
                    <w:rPr>
                      <w:color w:val="auto"/>
                      <w:sz w:val="18"/>
                      <w:szCs w:val="18"/>
                    </w:rPr>
                  </w:pPr>
                  <w:r>
                    <w:rPr>
                      <w:color w:val="auto"/>
                      <w:sz w:val="18"/>
                      <w:szCs w:val="18"/>
                    </w:rPr>
                    <w:t>/</w:t>
                  </w:r>
                </w:p>
              </w:tc>
              <w:tc>
                <w:tcPr>
                  <w:tcW w:w="430" w:type="pct"/>
                  <w:gridSpan w:val="4"/>
                  <w:vAlign w:val="center"/>
                </w:tcPr>
                <w:p w14:paraId="5C598A96">
                  <w:pPr>
                    <w:contextualSpacing/>
                    <w:jc w:val="center"/>
                    <w:rPr>
                      <w:color w:val="auto"/>
                      <w:sz w:val="18"/>
                      <w:szCs w:val="18"/>
                    </w:rPr>
                  </w:pPr>
                  <w:r>
                    <w:rPr>
                      <w:color w:val="auto"/>
                      <w:sz w:val="18"/>
                      <w:szCs w:val="18"/>
                    </w:rPr>
                    <w:t>0.</w:t>
                  </w:r>
                  <w:r>
                    <w:rPr>
                      <w:rFonts w:hint="eastAsia"/>
                      <w:color w:val="auto"/>
                      <w:sz w:val="18"/>
                      <w:szCs w:val="18"/>
                    </w:rPr>
                    <w:t>1</w:t>
                  </w:r>
                  <w:r>
                    <w:rPr>
                      <w:rFonts w:hint="eastAsia"/>
                      <w:color w:val="auto"/>
                      <w:sz w:val="18"/>
                      <w:szCs w:val="18"/>
                      <w:lang w:val="en-US" w:eastAsia="zh-CN"/>
                    </w:rPr>
                    <w:t>6</w:t>
                  </w:r>
                  <w:r>
                    <w:rPr>
                      <w:rFonts w:hint="eastAsia"/>
                      <w:color w:val="auto"/>
                      <w:sz w:val="18"/>
                      <w:szCs w:val="18"/>
                    </w:rPr>
                    <w:t>25</w:t>
                  </w:r>
                  <w:r>
                    <w:rPr>
                      <w:color w:val="auto"/>
                      <w:sz w:val="18"/>
                      <w:szCs w:val="18"/>
                    </w:rPr>
                    <w:t>t/a</w:t>
                  </w:r>
                </w:p>
              </w:tc>
              <w:tc>
                <w:tcPr>
                  <w:tcW w:w="240" w:type="pct"/>
                  <w:gridSpan w:val="4"/>
                  <w:vMerge w:val="restart"/>
                  <w:shd w:val="clear" w:color="auto" w:fill="auto"/>
                  <w:vAlign w:val="center"/>
                </w:tcPr>
                <w:p w14:paraId="1845C8C6">
                  <w:pPr>
                    <w:contextualSpacing/>
                    <w:jc w:val="center"/>
                    <w:rPr>
                      <w:color w:val="auto"/>
                      <w:sz w:val="18"/>
                      <w:szCs w:val="18"/>
                    </w:rPr>
                  </w:pPr>
                  <w:r>
                    <w:rPr>
                      <w:rFonts w:hint="eastAsia"/>
                      <w:color w:val="auto"/>
                      <w:sz w:val="18"/>
                      <w:szCs w:val="18"/>
                    </w:rPr>
                    <w:t>2</w:t>
                  </w:r>
                  <w:r>
                    <w:rPr>
                      <w:rFonts w:hint="eastAsia"/>
                      <w:color w:val="auto"/>
                      <w:sz w:val="18"/>
                      <w:szCs w:val="18"/>
                      <w:lang w:val="en-US" w:eastAsia="zh-CN"/>
                    </w:rPr>
                    <w:t>4</w:t>
                  </w:r>
                  <w:r>
                    <w:rPr>
                      <w:rFonts w:hint="eastAsia"/>
                      <w:color w:val="auto"/>
                      <w:sz w:val="18"/>
                      <w:szCs w:val="18"/>
                    </w:rPr>
                    <w:t>00</w:t>
                  </w:r>
                </w:p>
              </w:tc>
            </w:tr>
            <w:tr w14:paraId="79AD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192" w:type="pct"/>
                  <w:gridSpan w:val="3"/>
                  <w:vMerge w:val="continue"/>
                  <w:vAlign w:val="center"/>
                </w:tcPr>
                <w:p w14:paraId="437C5EF5">
                  <w:pPr>
                    <w:contextualSpacing/>
                    <w:jc w:val="center"/>
                    <w:rPr>
                      <w:color w:val="auto"/>
                      <w:sz w:val="18"/>
                      <w:szCs w:val="18"/>
                    </w:rPr>
                  </w:pPr>
                </w:p>
              </w:tc>
              <w:tc>
                <w:tcPr>
                  <w:tcW w:w="161" w:type="pct"/>
                  <w:gridSpan w:val="3"/>
                  <w:vMerge w:val="continue"/>
                  <w:vAlign w:val="center"/>
                </w:tcPr>
                <w:p w14:paraId="7B97A034">
                  <w:pPr>
                    <w:contextualSpacing/>
                    <w:jc w:val="center"/>
                    <w:rPr>
                      <w:color w:val="auto"/>
                      <w:sz w:val="18"/>
                      <w:szCs w:val="18"/>
                    </w:rPr>
                  </w:pPr>
                </w:p>
              </w:tc>
              <w:tc>
                <w:tcPr>
                  <w:tcW w:w="481" w:type="pct"/>
                  <w:gridSpan w:val="3"/>
                  <w:vMerge w:val="continue"/>
                  <w:shd w:val="clear" w:color="auto" w:fill="auto"/>
                  <w:vAlign w:val="center"/>
                </w:tcPr>
                <w:p w14:paraId="053CFD1F">
                  <w:pPr>
                    <w:contextualSpacing/>
                    <w:jc w:val="center"/>
                    <w:rPr>
                      <w:color w:val="auto"/>
                      <w:sz w:val="18"/>
                      <w:szCs w:val="18"/>
                    </w:rPr>
                  </w:pPr>
                </w:p>
              </w:tc>
              <w:tc>
                <w:tcPr>
                  <w:tcW w:w="237" w:type="pct"/>
                  <w:gridSpan w:val="3"/>
                  <w:shd w:val="clear" w:color="auto" w:fill="auto"/>
                  <w:vAlign w:val="center"/>
                </w:tcPr>
                <w:p w14:paraId="783D3078">
                  <w:pPr>
                    <w:contextualSpacing/>
                    <w:jc w:val="center"/>
                    <w:rPr>
                      <w:rFonts w:hint="eastAsia" w:hAnsi="宋体"/>
                      <w:bCs/>
                      <w:color w:val="auto"/>
                      <w:spacing w:val="-40"/>
                      <w:sz w:val="18"/>
                      <w:szCs w:val="18"/>
                    </w:rPr>
                  </w:pPr>
                  <w:r>
                    <w:rPr>
                      <w:rFonts w:hint="eastAsia" w:hAnsi="宋体"/>
                      <w:bCs/>
                      <w:color w:val="auto"/>
                      <w:spacing w:val="-40"/>
                      <w:sz w:val="18"/>
                      <w:szCs w:val="18"/>
                    </w:rPr>
                    <w:t>苯并[a]芘</w:t>
                  </w:r>
                </w:p>
              </w:tc>
              <w:tc>
                <w:tcPr>
                  <w:tcW w:w="344" w:type="pct"/>
                  <w:gridSpan w:val="3"/>
                  <w:shd w:val="clear" w:color="auto" w:fill="FFFFFF"/>
                  <w:vAlign w:val="center"/>
                </w:tcPr>
                <w:p w14:paraId="50D4A7BC">
                  <w:pPr>
                    <w:shd w:val="clear" w:color="auto" w:fill="FFFFFF"/>
                    <w:contextualSpacing/>
                    <w:jc w:val="center"/>
                    <w:rPr>
                      <w:color w:val="auto"/>
                      <w:sz w:val="18"/>
                      <w:szCs w:val="18"/>
                    </w:rPr>
                  </w:pPr>
                  <w:r>
                    <w:rPr>
                      <w:color w:val="auto"/>
                      <w:sz w:val="18"/>
                      <w:szCs w:val="18"/>
                    </w:rPr>
                    <w:t>/</w:t>
                  </w:r>
                </w:p>
              </w:tc>
              <w:tc>
                <w:tcPr>
                  <w:tcW w:w="403" w:type="pct"/>
                  <w:gridSpan w:val="2"/>
                  <w:vAlign w:val="center"/>
                </w:tcPr>
                <w:p w14:paraId="4E52E9D8">
                  <w:pPr>
                    <w:contextualSpacing/>
                    <w:jc w:val="center"/>
                    <w:rPr>
                      <w:rFonts w:hAnsi="宋体"/>
                      <w:color w:val="auto"/>
                      <w:spacing w:val="-14"/>
                      <w:sz w:val="18"/>
                      <w:szCs w:val="18"/>
                    </w:rPr>
                  </w:pPr>
                  <w:r>
                    <w:rPr>
                      <w:rFonts w:hAnsi="宋体"/>
                      <w:color w:val="auto"/>
                      <w:spacing w:val="-14"/>
                      <w:sz w:val="18"/>
                      <w:szCs w:val="18"/>
                    </w:rPr>
                    <w:t>/</w:t>
                  </w:r>
                </w:p>
              </w:tc>
              <w:tc>
                <w:tcPr>
                  <w:tcW w:w="703" w:type="dxa"/>
                  <w:gridSpan w:val="3"/>
                  <w:vAlign w:val="center"/>
                </w:tcPr>
                <w:p w14:paraId="733B37F9">
                  <w:pPr>
                    <w:contextualSpacing/>
                    <w:jc w:val="center"/>
                    <w:rPr>
                      <w:color w:val="auto"/>
                      <w:sz w:val="18"/>
                      <w:szCs w:val="18"/>
                    </w:rPr>
                  </w:pPr>
                  <w:r>
                    <w:rPr>
                      <w:rFonts w:hint="eastAsia"/>
                      <w:color w:val="auto"/>
                      <w:sz w:val="18"/>
                      <w:szCs w:val="18"/>
                      <w:lang w:val="en-US" w:eastAsia="zh-CN"/>
                    </w:rPr>
                    <w:t>3</w:t>
                  </w:r>
                  <w:r>
                    <w:rPr>
                      <w:rFonts w:hint="eastAsia"/>
                      <w:color w:val="auto"/>
                      <w:sz w:val="18"/>
                      <w:szCs w:val="18"/>
                    </w:rPr>
                    <w:t>.25</w:t>
                  </w:r>
                  <w:r>
                    <w:rPr>
                      <w:rFonts w:hint="eastAsia" w:ascii="宋体" w:hAnsi="宋体" w:cs="宋体"/>
                      <w:color w:val="auto"/>
                      <w:sz w:val="18"/>
                      <w:szCs w:val="18"/>
                    </w:rPr>
                    <w:t>×</w:t>
                  </w:r>
                  <w:r>
                    <w:rPr>
                      <w:color w:val="auto"/>
                      <w:sz w:val="18"/>
                      <w:szCs w:val="18"/>
                    </w:rPr>
                    <w:t>10</w:t>
                  </w:r>
                  <w:r>
                    <w:rPr>
                      <w:color w:val="auto"/>
                      <w:sz w:val="18"/>
                      <w:szCs w:val="18"/>
                      <w:vertAlign w:val="superscript"/>
                    </w:rPr>
                    <w:t>-</w:t>
                  </w:r>
                  <w:r>
                    <w:rPr>
                      <w:rFonts w:hint="eastAsia"/>
                      <w:color w:val="auto"/>
                      <w:sz w:val="18"/>
                      <w:szCs w:val="18"/>
                      <w:vertAlign w:val="superscript"/>
                    </w:rPr>
                    <w:t>5</w:t>
                  </w:r>
                </w:p>
              </w:tc>
              <w:tc>
                <w:tcPr>
                  <w:tcW w:w="908" w:type="pct"/>
                  <w:gridSpan w:val="3"/>
                  <w:vMerge w:val="continue"/>
                  <w:vAlign w:val="center"/>
                </w:tcPr>
                <w:p w14:paraId="011C744D">
                  <w:pPr>
                    <w:contextualSpacing/>
                    <w:jc w:val="center"/>
                    <w:rPr>
                      <w:color w:val="auto"/>
                      <w:sz w:val="18"/>
                      <w:szCs w:val="18"/>
                    </w:rPr>
                  </w:pPr>
                </w:p>
              </w:tc>
              <w:tc>
                <w:tcPr>
                  <w:tcW w:w="318" w:type="pct"/>
                  <w:gridSpan w:val="4"/>
                  <w:vAlign w:val="center"/>
                </w:tcPr>
                <w:p w14:paraId="12DCA880">
                  <w:pPr>
                    <w:jc w:val="center"/>
                    <w:rPr>
                      <w:color w:val="auto"/>
                      <w:sz w:val="18"/>
                      <w:szCs w:val="18"/>
                    </w:rPr>
                  </w:pPr>
                  <w:r>
                    <w:rPr>
                      <w:color w:val="auto"/>
                      <w:sz w:val="18"/>
                      <w:szCs w:val="18"/>
                    </w:rPr>
                    <w:t>/</w:t>
                  </w:r>
                </w:p>
              </w:tc>
              <w:tc>
                <w:tcPr>
                  <w:tcW w:w="356" w:type="pct"/>
                  <w:gridSpan w:val="3"/>
                  <w:vAlign w:val="center"/>
                </w:tcPr>
                <w:p w14:paraId="14B06D33">
                  <w:pPr>
                    <w:contextualSpacing/>
                    <w:jc w:val="center"/>
                    <w:rPr>
                      <w:color w:val="auto"/>
                      <w:sz w:val="18"/>
                      <w:szCs w:val="18"/>
                    </w:rPr>
                  </w:pPr>
                  <w:r>
                    <w:rPr>
                      <w:color w:val="auto"/>
                      <w:sz w:val="18"/>
                      <w:szCs w:val="18"/>
                    </w:rPr>
                    <w:t>/</w:t>
                  </w:r>
                </w:p>
              </w:tc>
              <w:tc>
                <w:tcPr>
                  <w:tcW w:w="503" w:type="pct"/>
                  <w:gridSpan w:val="2"/>
                  <w:vAlign w:val="center"/>
                </w:tcPr>
                <w:p w14:paraId="6B9FF0E1">
                  <w:pPr>
                    <w:shd w:val="clear" w:color="auto" w:fill="FFFFFF"/>
                    <w:contextualSpacing/>
                    <w:jc w:val="center"/>
                    <w:rPr>
                      <w:color w:val="auto"/>
                      <w:sz w:val="18"/>
                      <w:szCs w:val="18"/>
                    </w:rPr>
                  </w:pPr>
                  <w:r>
                    <w:rPr>
                      <w:color w:val="auto"/>
                      <w:sz w:val="18"/>
                      <w:szCs w:val="18"/>
                    </w:rPr>
                    <w:t>/</w:t>
                  </w:r>
                </w:p>
              </w:tc>
              <w:tc>
                <w:tcPr>
                  <w:tcW w:w="430" w:type="pct"/>
                  <w:gridSpan w:val="4"/>
                  <w:vAlign w:val="center"/>
                </w:tcPr>
                <w:p w14:paraId="1424BFED">
                  <w:pPr>
                    <w:contextualSpacing/>
                    <w:jc w:val="center"/>
                    <w:rPr>
                      <w:color w:val="auto"/>
                      <w:sz w:val="18"/>
                      <w:szCs w:val="18"/>
                    </w:rPr>
                  </w:pPr>
                  <w:r>
                    <w:rPr>
                      <w:rFonts w:hint="eastAsia"/>
                      <w:color w:val="auto"/>
                      <w:sz w:val="18"/>
                      <w:szCs w:val="18"/>
                      <w:lang w:val="en-US" w:eastAsia="zh-CN"/>
                    </w:rPr>
                    <w:t>3</w:t>
                  </w:r>
                  <w:r>
                    <w:rPr>
                      <w:rFonts w:hint="eastAsia"/>
                      <w:color w:val="auto"/>
                      <w:sz w:val="18"/>
                      <w:szCs w:val="18"/>
                    </w:rPr>
                    <w:t>.25</w:t>
                  </w:r>
                  <w:r>
                    <w:rPr>
                      <w:rFonts w:hint="eastAsia" w:ascii="宋体" w:hAnsi="宋体" w:cs="宋体"/>
                      <w:color w:val="auto"/>
                      <w:sz w:val="18"/>
                      <w:szCs w:val="18"/>
                    </w:rPr>
                    <w:t>×</w:t>
                  </w:r>
                  <w:r>
                    <w:rPr>
                      <w:color w:val="auto"/>
                      <w:sz w:val="18"/>
                      <w:szCs w:val="18"/>
                    </w:rPr>
                    <w:t>10</w:t>
                  </w:r>
                  <w:r>
                    <w:rPr>
                      <w:color w:val="auto"/>
                      <w:sz w:val="18"/>
                      <w:szCs w:val="18"/>
                      <w:vertAlign w:val="superscript"/>
                    </w:rPr>
                    <w:t>-</w:t>
                  </w:r>
                  <w:r>
                    <w:rPr>
                      <w:rFonts w:hint="eastAsia"/>
                      <w:color w:val="auto"/>
                      <w:sz w:val="18"/>
                      <w:szCs w:val="18"/>
                      <w:vertAlign w:val="superscript"/>
                    </w:rPr>
                    <w:t>5</w:t>
                  </w:r>
                </w:p>
              </w:tc>
              <w:tc>
                <w:tcPr>
                  <w:tcW w:w="240" w:type="pct"/>
                  <w:gridSpan w:val="4"/>
                  <w:vMerge w:val="continue"/>
                  <w:shd w:val="clear" w:color="auto" w:fill="auto"/>
                  <w:vAlign w:val="center"/>
                </w:tcPr>
                <w:p w14:paraId="3206C778">
                  <w:pPr>
                    <w:contextualSpacing/>
                    <w:jc w:val="center"/>
                    <w:rPr>
                      <w:color w:val="auto"/>
                      <w:sz w:val="18"/>
                      <w:szCs w:val="18"/>
                    </w:rPr>
                  </w:pPr>
                </w:p>
              </w:tc>
            </w:tr>
            <w:tr w14:paraId="6132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192" w:type="pct"/>
                  <w:gridSpan w:val="3"/>
                  <w:vMerge w:val="continue"/>
                  <w:vAlign w:val="center"/>
                </w:tcPr>
                <w:p w14:paraId="2EEFB3DB">
                  <w:pPr>
                    <w:contextualSpacing/>
                    <w:jc w:val="center"/>
                    <w:rPr>
                      <w:color w:val="auto"/>
                      <w:sz w:val="18"/>
                      <w:szCs w:val="18"/>
                    </w:rPr>
                  </w:pPr>
                </w:p>
              </w:tc>
              <w:tc>
                <w:tcPr>
                  <w:tcW w:w="161" w:type="pct"/>
                  <w:gridSpan w:val="3"/>
                  <w:vMerge w:val="continue"/>
                  <w:vAlign w:val="center"/>
                </w:tcPr>
                <w:p w14:paraId="5401F373">
                  <w:pPr>
                    <w:contextualSpacing/>
                    <w:jc w:val="center"/>
                    <w:rPr>
                      <w:color w:val="auto"/>
                      <w:sz w:val="18"/>
                      <w:szCs w:val="18"/>
                    </w:rPr>
                  </w:pPr>
                </w:p>
              </w:tc>
              <w:tc>
                <w:tcPr>
                  <w:tcW w:w="481" w:type="pct"/>
                  <w:gridSpan w:val="3"/>
                  <w:vMerge w:val="continue"/>
                  <w:shd w:val="clear" w:color="auto" w:fill="auto"/>
                  <w:vAlign w:val="center"/>
                </w:tcPr>
                <w:p w14:paraId="154A5783">
                  <w:pPr>
                    <w:contextualSpacing/>
                    <w:jc w:val="center"/>
                    <w:rPr>
                      <w:color w:val="auto"/>
                      <w:sz w:val="18"/>
                      <w:szCs w:val="18"/>
                    </w:rPr>
                  </w:pPr>
                </w:p>
              </w:tc>
              <w:tc>
                <w:tcPr>
                  <w:tcW w:w="237" w:type="pct"/>
                  <w:gridSpan w:val="3"/>
                  <w:shd w:val="clear" w:color="auto" w:fill="auto"/>
                  <w:vAlign w:val="center"/>
                </w:tcPr>
                <w:p w14:paraId="3E7A4E79">
                  <w:pPr>
                    <w:contextualSpacing/>
                    <w:jc w:val="center"/>
                    <w:rPr>
                      <w:rFonts w:hint="eastAsia" w:hAnsi="宋体"/>
                      <w:bCs/>
                      <w:color w:val="auto"/>
                      <w:spacing w:val="-40"/>
                      <w:sz w:val="18"/>
                      <w:szCs w:val="18"/>
                    </w:rPr>
                  </w:pPr>
                  <w:r>
                    <w:rPr>
                      <w:rFonts w:hint="eastAsia" w:hAnsi="宋体"/>
                      <w:bCs/>
                      <w:color w:val="auto"/>
                      <w:spacing w:val="-40"/>
                      <w:sz w:val="18"/>
                      <w:szCs w:val="18"/>
                    </w:rPr>
                    <w:t>非甲烷总烃</w:t>
                  </w:r>
                </w:p>
              </w:tc>
              <w:tc>
                <w:tcPr>
                  <w:tcW w:w="344" w:type="pct"/>
                  <w:gridSpan w:val="3"/>
                  <w:shd w:val="clear" w:color="auto" w:fill="FFFFFF"/>
                  <w:vAlign w:val="center"/>
                </w:tcPr>
                <w:p w14:paraId="357D6CAC">
                  <w:pPr>
                    <w:shd w:val="clear" w:color="auto" w:fill="FFFFFF"/>
                    <w:contextualSpacing/>
                    <w:jc w:val="center"/>
                    <w:rPr>
                      <w:color w:val="auto"/>
                      <w:sz w:val="18"/>
                      <w:szCs w:val="18"/>
                    </w:rPr>
                  </w:pPr>
                  <w:r>
                    <w:rPr>
                      <w:color w:val="auto"/>
                      <w:sz w:val="18"/>
                      <w:szCs w:val="18"/>
                    </w:rPr>
                    <w:t>/</w:t>
                  </w:r>
                </w:p>
              </w:tc>
              <w:tc>
                <w:tcPr>
                  <w:tcW w:w="403" w:type="pct"/>
                  <w:gridSpan w:val="2"/>
                  <w:vAlign w:val="center"/>
                </w:tcPr>
                <w:p w14:paraId="2BF5B425">
                  <w:pPr>
                    <w:contextualSpacing/>
                    <w:jc w:val="center"/>
                    <w:rPr>
                      <w:rFonts w:hAnsi="宋体"/>
                      <w:color w:val="auto"/>
                      <w:spacing w:val="-14"/>
                      <w:sz w:val="18"/>
                      <w:szCs w:val="18"/>
                    </w:rPr>
                  </w:pPr>
                  <w:r>
                    <w:rPr>
                      <w:rFonts w:hAnsi="宋体"/>
                      <w:color w:val="auto"/>
                      <w:spacing w:val="-14"/>
                      <w:sz w:val="18"/>
                      <w:szCs w:val="18"/>
                    </w:rPr>
                    <w:t>/</w:t>
                  </w:r>
                </w:p>
              </w:tc>
              <w:tc>
                <w:tcPr>
                  <w:tcW w:w="703" w:type="dxa"/>
                  <w:gridSpan w:val="3"/>
                  <w:vAlign w:val="center"/>
                </w:tcPr>
                <w:p w14:paraId="024E3368">
                  <w:pPr>
                    <w:contextualSpacing/>
                    <w:jc w:val="center"/>
                    <w:rPr>
                      <w:color w:val="auto"/>
                      <w:sz w:val="18"/>
                      <w:szCs w:val="18"/>
                    </w:rPr>
                  </w:pPr>
                  <w:r>
                    <w:rPr>
                      <w:rFonts w:hint="eastAsia"/>
                      <w:color w:val="auto"/>
                      <w:sz w:val="18"/>
                      <w:szCs w:val="18"/>
                    </w:rPr>
                    <w:t>0.00</w:t>
                  </w:r>
                  <w:r>
                    <w:rPr>
                      <w:rFonts w:hint="eastAsia"/>
                      <w:color w:val="auto"/>
                      <w:sz w:val="18"/>
                      <w:szCs w:val="18"/>
                      <w:lang w:val="en-US" w:eastAsia="zh-CN"/>
                    </w:rPr>
                    <w:t>9</w:t>
                  </w:r>
                  <w:r>
                    <w:rPr>
                      <w:color w:val="auto"/>
                      <w:sz w:val="18"/>
                      <w:szCs w:val="18"/>
                    </w:rPr>
                    <w:t>t/a</w:t>
                  </w:r>
                </w:p>
              </w:tc>
              <w:tc>
                <w:tcPr>
                  <w:tcW w:w="908" w:type="pct"/>
                  <w:gridSpan w:val="3"/>
                  <w:vAlign w:val="center"/>
                </w:tcPr>
                <w:p w14:paraId="2B60EB18">
                  <w:pPr>
                    <w:contextualSpacing/>
                    <w:jc w:val="center"/>
                    <w:rPr>
                      <w:color w:val="auto"/>
                      <w:sz w:val="18"/>
                      <w:szCs w:val="18"/>
                    </w:rPr>
                  </w:pPr>
                  <w:r>
                    <w:rPr>
                      <w:color w:val="auto"/>
                      <w:sz w:val="18"/>
                      <w:szCs w:val="18"/>
                    </w:rPr>
                    <w:t>/</w:t>
                  </w:r>
                </w:p>
              </w:tc>
              <w:tc>
                <w:tcPr>
                  <w:tcW w:w="318" w:type="pct"/>
                  <w:gridSpan w:val="4"/>
                  <w:vAlign w:val="center"/>
                </w:tcPr>
                <w:p w14:paraId="7C8BAA52">
                  <w:pPr>
                    <w:jc w:val="center"/>
                    <w:rPr>
                      <w:color w:val="auto"/>
                      <w:sz w:val="18"/>
                      <w:szCs w:val="18"/>
                    </w:rPr>
                  </w:pPr>
                  <w:r>
                    <w:rPr>
                      <w:color w:val="auto"/>
                      <w:sz w:val="18"/>
                      <w:szCs w:val="18"/>
                    </w:rPr>
                    <w:t>/</w:t>
                  </w:r>
                </w:p>
              </w:tc>
              <w:tc>
                <w:tcPr>
                  <w:tcW w:w="356" w:type="pct"/>
                  <w:gridSpan w:val="3"/>
                  <w:vAlign w:val="center"/>
                </w:tcPr>
                <w:p w14:paraId="756E39E2">
                  <w:pPr>
                    <w:contextualSpacing/>
                    <w:jc w:val="center"/>
                    <w:rPr>
                      <w:color w:val="auto"/>
                      <w:sz w:val="18"/>
                      <w:szCs w:val="18"/>
                    </w:rPr>
                  </w:pPr>
                  <w:r>
                    <w:rPr>
                      <w:color w:val="auto"/>
                      <w:sz w:val="18"/>
                      <w:szCs w:val="18"/>
                    </w:rPr>
                    <w:t>/</w:t>
                  </w:r>
                </w:p>
              </w:tc>
              <w:tc>
                <w:tcPr>
                  <w:tcW w:w="503" w:type="pct"/>
                  <w:gridSpan w:val="2"/>
                  <w:vAlign w:val="center"/>
                </w:tcPr>
                <w:p w14:paraId="2F85EA84">
                  <w:pPr>
                    <w:shd w:val="clear" w:color="auto" w:fill="FFFFFF"/>
                    <w:contextualSpacing/>
                    <w:jc w:val="center"/>
                    <w:rPr>
                      <w:color w:val="auto"/>
                      <w:sz w:val="18"/>
                      <w:szCs w:val="18"/>
                    </w:rPr>
                  </w:pPr>
                  <w:r>
                    <w:rPr>
                      <w:color w:val="auto"/>
                      <w:sz w:val="18"/>
                      <w:szCs w:val="18"/>
                    </w:rPr>
                    <w:t>/</w:t>
                  </w:r>
                </w:p>
              </w:tc>
              <w:tc>
                <w:tcPr>
                  <w:tcW w:w="430" w:type="pct"/>
                  <w:gridSpan w:val="4"/>
                  <w:vAlign w:val="center"/>
                </w:tcPr>
                <w:p w14:paraId="6AE01791">
                  <w:pPr>
                    <w:contextualSpacing/>
                    <w:jc w:val="center"/>
                    <w:rPr>
                      <w:color w:val="auto"/>
                      <w:sz w:val="18"/>
                      <w:szCs w:val="18"/>
                    </w:rPr>
                  </w:pPr>
                  <w:r>
                    <w:rPr>
                      <w:rFonts w:hint="eastAsia"/>
                      <w:color w:val="auto"/>
                      <w:sz w:val="18"/>
                      <w:szCs w:val="18"/>
                    </w:rPr>
                    <w:t>0.00</w:t>
                  </w:r>
                  <w:r>
                    <w:rPr>
                      <w:rFonts w:hint="eastAsia"/>
                      <w:color w:val="auto"/>
                      <w:sz w:val="18"/>
                      <w:szCs w:val="18"/>
                      <w:lang w:val="en-US" w:eastAsia="zh-CN"/>
                    </w:rPr>
                    <w:t>9</w:t>
                  </w:r>
                  <w:r>
                    <w:rPr>
                      <w:color w:val="auto"/>
                      <w:sz w:val="18"/>
                      <w:szCs w:val="18"/>
                    </w:rPr>
                    <w:t>t/a</w:t>
                  </w:r>
                </w:p>
              </w:tc>
              <w:tc>
                <w:tcPr>
                  <w:tcW w:w="240" w:type="pct"/>
                  <w:gridSpan w:val="4"/>
                  <w:vMerge w:val="continue"/>
                  <w:shd w:val="clear" w:color="auto" w:fill="auto"/>
                  <w:vAlign w:val="center"/>
                </w:tcPr>
                <w:p w14:paraId="79B42715">
                  <w:pPr>
                    <w:contextualSpacing/>
                    <w:jc w:val="center"/>
                    <w:rPr>
                      <w:color w:val="auto"/>
                      <w:sz w:val="18"/>
                      <w:szCs w:val="18"/>
                    </w:rPr>
                  </w:pPr>
                </w:p>
              </w:tc>
            </w:tr>
          </w:tbl>
          <w:p w14:paraId="2D256139">
            <w:pPr>
              <w:pStyle w:val="90"/>
              <w:spacing w:line="240" w:lineRule="auto"/>
              <w:jc w:val="both"/>
              <w:rPr>
                <w:rFonts w:eastAsia="宋体"/>
                <w:b/>
                <w:color w:val="auto"/>
                <w:szCs w:val="24"/>
              </w:rPr>
            </w:pPr>
          </w:p>
          <w:p w14:paraId="4EE5069C">
            <w:pPr>
              <w:pStyle w:val="90"/>
              <w:spacing w:line="240" w:lineRule="auto"/>
              <w:rPr>
                <w:rFonts w:eastAsia="宋体"/>
                <w:b/>
                <w:color w:val="auto"/>
                <w:szCs w:val="24"/>
              </w:rPr>
            </w:pPr>
            <w:r>
              <w:rPr>
                <w:rFonts w:eastAsia="宋体"/>
                <w:b/>
                <w:color w:val="auto"/>
                <w:szCs w:val="24"/>
              </w:rPr>
              <w:t>表</w:t>
            </w:r>
            <w:r>
              <w:rPr>
                <w:rFonts w:hint="eastAsia" w:eastAsia="宋体"/>
                <w:b/>
                <w:color w:val="auto"/>
                <w:szCs w:val="24"/>
                <w:lang w:val="en-US" w:eastAsia="zh-CN"/>
              </w:rPr>
              <w:t>4</w:t>
            </w:r>
            <w:r>
              <w:rPr>
                <w:rFonts w:eastAsia="宋体"/>
                <w:b/>
                <w:color w:val="auto"/>
                <w:szCs w:val="24"/>
              </w:rPr>
              <w:t>-</w:t>
            </w:r>
            <w:r>
              <w:rPr>
                <w:rFonts w:hint="eastAsia" w:eastAsia="宋体"/>
                <w:b/>
                <w:color w:val="auto"/>
                <w:szCs w:val="24"/>
              </w:rPr>
              <w:t xml:space="preserve">4 </w:t>
            </w:r>
            <w:r>
              <w:rPr>
                <w:rFonts w:eastAsia="宋体"/>
                <w:b/>
                <w:color w:val="auto"/>
                <w:szCs w:val="24"/>
              </w:rPr>
              <w:t>非正常工况排放参数表</w:t>
            </w:r>
          </w:p>
          <w:tbl>
            <w:tblPr>
              <w:tblStyle w:val="27"/>
              <w:tblW w:w="134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055"/>
              <w:gridCol w:w="2986"/>
              <w:gridCol w:w="1510"/>
              <w:gridCol w:w="2062"/>
              <w:gridCol w:w="1859"/>
              <w:gridCol w:w="1461"/>
              <w:gridCol w:w="1521"/>
            </w:tblGrid>
            <w:tr w14:paraId="18C59C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2055" w:type="dxa"/>
                  <w:vAlign w:val="center"/>
                </w:tcPr>
                <w:p w14:paraId="6B62CE15">
                  <w:pPr>
                    <w:pStyle w:val="65"/>
                    <w:spacing w:line="240" w:lineRule="auto"/>
                    <w:ind w:firstLine="0" w:firstLineChars="0"/>
                    <w:jc w:val="center"/>
                    <w:rPr>
                      <w:color w:val="auto"/>
                      <w:sz w:val="21"/>
                      <w:szCs w:val="21"/>
                    </w:rPr>
                  </w:pPr>
                  <w:r>
                    <w:rPr>
                      <w:rFonts w:hAnsi="宋体"/>
                      <w:color w:val="auto"/>
                      <w:sz w:val="21"/>
                      <w:szCs w:val="21"/>
                    </w:rPr>
                    <w:t>非正常排放源</w:t>
                  </w:r>
                </w:p>
              </w:tc>
              <w:tc>
                <w:tcPr>
                  <w:tcW w:w="2986" w:type="dxa"/>
                  <w:vAlign w:val="center"/>
                </w:tcPr>
                <w:p w14:paraId="70A4FEF3">
                  <w:pPr>
                    <w:pStyle w:val="65"/>
                    <w:spacing w:line="240" w:lineRule="auto"/>
                    <w:ind w:firstLine="0" w:firstLineChars="0"/>
                    <w:jc w:val="center"/>
                    <w:rPr>
                      <w:color w:val="auto"/>
                      <w:sz w:val="21"/>
                      <w:szCs w:val="21"/>
                    </w:rPr>
                  </w:pPr>
                  <w:r>
                    <w:rPr>
                      <w:rFonts w:hAnsi="宋体"/>
                      <w:color w:val="auto"/>
                      <w:sz w:val="21"/>
                      <w:szCs w:val="21"/>
                    </w:rPr>
                    <w:t>非正常排放原因</w:t>
                  </w:r>
                </w:p>
              </w:tc>
              <w:tc>
                <w:tcPr>
                  <w:tcW w:w="1510" w:type="dxa"/>
                  <w:vAlign w:val="center"/>
                </w:tcPr>
                <w:p w14:paraId="21C45D8D">
                  <w:pPr>
                    <w:pStyle w:val="65"/>
                    <w:spacing w:line="240" w:lineRule="auto"/>
                    <w:ind w:firstLine="0" w:firstLineChars="0"/>
                    <w:jc w:val="center"/>
                    <w:rPr>
                      <w:color w:val="auto"/>
                      <w:sz w:val="21"/>
                      <w:szCs w:val="21"/>
                    </w:rPr>
                  </w:pPr>
                  <w:r>
                    <w:rPr>
                      <w:rFonts w:hAnsi="宋体"/>
                      <w:color w:val="auto"/>
                      <w:sz w:val="21"/>
                      <w:szCs w:val="21"/>
                    </w:rPr>
                    <w:t>污染物</w:t>
                  </w:r>
                </w:p>
              </w:tc>
              <w:tc>
                <w:tcPr>
                  <w:tcW w:w="2062" w:type="dxa"/>
                  <w:vAlign w:val="center"/>
                </w:tcPr>
                <w:p w14:paraId="17670DAC">
                  <w:pPr>
                    <w:pStyle w:val="65"/>
                    <w:spacing w:line="240" w:lineRule="auto"/>
                    <w:ind w:firstLine="0" w:firstLineChars="0"/>
                    <w:jc w:val="center"/>
                    <w:rPr>
                      <w:color w:val="auto"/>
                      <w:sz w:val="21"/>
                      <w:szCs w:val="21"/>
                    </w:rPr>
                  </w:pPr>
                  <w:r>
                    <w:rPr>
                      <w:rFonts w:hAnsi="宋体"/>
                      <w:color w:val="auto"/>
                      <w:sz w:val="21"/>
                      <w:szCs w:val="21"/>
                    </w:rPr>
                    <w:t>非正常排放速率（</w:t>
                  </w:r>
                  <w:r>
                    <w:rPr>
                      <w:color w:val="auto"/>
                      <w:sz w:val="21"/>
                      <w:szCs w:val="21"/>
                    </w:rPr>
                    <w:t>kg/h</w:t>
                  </w:r>
                  <w:r>
                    <w:rPr>
                      <w:rFonts w:hAnsi="宋体"/>
                      <w:color w:val="auto"/>
                      <w:sz w:val="21"/>
                      <w:szCs w:val="21"/>
                    </w:rPr>
                    <w:t>）</w:t>
                  </w:r>
                </w:p>
              </w:tc>
              <w:tc>
                <w:tcPr>
                  <w:tcW w:w="1859" w:type="dxa"/>
                  <w:vAlign w:val="center"/>
                </w:tcPr>
                <w:p w14:paraId="21CBF746">
                  <w:pPr>
                    <w:adjustRightInd w:val="0"/>
                    <w:snapToGrid w:val="0"/>
                    <w:jc w:val="center"/>
                    <w:rPr>
                      <w:snapToGrid w:val="0"/>
                      <w:color w:val="auto"/>
                      <w:szCs w:val="21"/>
                    </w:rPr>
                  </w:pPr>
                  <w:r>
                    <w:rPr>
                      <w:snapToGrid w:val="0"/>
                      <w:color w:val="auto"/>
                      <w:szCs w:val="21"/>
                    </w:rPr>
                    <w:t>非正常排放浓度/</w:t>
                  </w:r>
                  <w:r>
                    <w:rPr>
                      <w:rFonts w:hint="eastAsia"/>
                      <w:snapToGrid w:val="0"/>
                      <w:color w:val="auto"/>
                      <w:szCs w:val="21"/>
                    </w:rPr>
                    <w:t>m</w:t>
                  </w:r>
                  <w:r>
                    <w:rPr>
                      <w:snapToGrid w:val="0"/>
                      <w:color w:val="auto"/>
                      <w:szCs w:val="21"/>
                    </w:rPr>
                    <w:t>g/m</w:t>
                  </w:r>
                  <w:r>
                    <w:rPr>
                      <w:snapToGrid w:val="0"/>
                      <w:color w:val="auto"/>
                      <w:szCs w:val="21"/>
                      <w:vertAlign w:val="superscript"/>
                    </w:rPr>
                    <w:t>3</w:t>
                  </w:r>
                </w:p>
              </w:tc>
              <w:tc>
                <w:tcPr>
                  <w:tcW w:w="1461" w:type="dxa"/>
                  <w:vAlign w:val="center"/>
                </w:tcPr>
                <w:p w14:paraId="4F21C511">
                  <w:pPr>
                    <w:pStyle w:val="65"/>
                    <w:spacing w:line="240" w:lineRule="auto"/>
                    <w:ind w:firstLine="0" w:firstLineChars="0"/>
                    <w:jc w:val="center"/>
                    <w:rPr>
                      <w:color w:val="auto"/>
                      <w:sz w:val="21"/>
                      <w:szCs w:val="21"/>
                    </w:rPr>
                  </w:pPr>
                  <w:r>
                    <w:rPr>
                      <w:rFonts w:hAnsi="宋体"/>
                      <w:color w:val="auto"/>
                      <w:sz w:val="21"/>
                      <w:szCs w:val="21"/>
                    </w:rPr>
                    <w:t>单次持续时间</w:t>
                  </w:r>
                  <w:r>
                    <w:rPr>
                      <w:color w:val="auto"/>
                      <w:sz w:val="21"/>
                      <w:szCs w:val="21"/>
                    </w:rPr>
                    <w:t>/</w:t>
                  </w:r>
                </w:p>
              </w:tc>
              <w:tc>
                <w:tcPr>
                  <w:tcW w:w="1521" w:type="dxa"/>
                  <w:vAlign w:val="center"/>
                </w:tcPr>
                <w:p w14:paraId="5EB9EB3E">
                  <w:pPr>
                    <w:pStyle w:val="65"/>
                    <w:spacing w:line="240" w:lineRule="auto"/>
                    <w:ind w:firstLine="0" w:firstLineChars="0"/>
                    <w:jc w:val="center"/>
                    <w:rPr>
                      <w:color w:val="auto"/>
                      <w:sz w:val="21"/>
                      <w:szCs w:val="21"/>
                    </w:rPr>
                  </w:pPr>
                  <w:r>
                    <w:rPr>
                      <w:rFonts w:hAnsi="宋体"/>
                      <w:color w:val="auto"/>
                      <w:sz w:val="21"/>
                      <w:szCs w:val="21"/>
                    </w:rPr>
                    <w:t>年发生频次</w:t>
                  </w:r>
                  <w:r>
                    <w:rPr>
                      <w:color w:val="auto"/>
                      <w:sz w:val="21"/>
                      <w:szCs w:val="21"/>
                    </w:rPr>
                    <w:t>/</w:t>
                  </w:r>
                  <w:r>
                    <w:rPr>
                      <w:rFonts w:hAnsi="宋体"/>
                      <w:color w:val="auto"/>
                      <w:sz w:val="21"/>
                      <w:szCs w:val="21"/>
                    </w:rPr>
                    <w:t>次</w:t>
                  </w:r>
                </w:p>
              </w:tc>
            </w:tr>
            <w:tr w14:paraId="118E66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2055" w:type="dxa"/>
                  <w:vAlign w:val="center"/>
                </w:tcPr>
                <w:p w14:paraId="2C8DCC23">
                  <w:pPr>
                    <w:spacing w:line="0" w:lineRule="atLeast"/>
                    <w:contextualSpacing/>
                    <w:jc w:val="center"/>
                    <w:rPr>
                      <w:color w:val="auto"/>
                      <w:szCs w:val="21"/>
                    </w:rPr>
                  </w:pPr>
                  <w:r>
                    <w:rPr>
                      <w:rFonts w:hint="eastAsia"/>
                      <w:color w:val="auto"/>
                      <w:szCs w:val="21"/>
                    </w:rPr>
                    <w:t>除尘系统</w:t>
                  </w:r>
                  <w:r>
                    <w:rPr>
                      <w:color w:val="auto"/>
                      <w:szCs w:val="21"/>
                    </w:rPr>
                    <w:t>烟囱（</w:t>
                  </w:r>
                  <w:r>
                    <w:rPr>
                      <w:rFonts w:hint="eastAsia"/>
                      <w:color w:val="auto"/>
                      <w:szCs w:val="21"/>
                    </w:rPr>
                    <w:t>DA001</w:t>
                  </w:r>
                  <w:r>
                    <w:rPr>
                      <w:color w:val="auto"/>
                      <w:szCs w:val="21"/>
                    </w:rPr>
                    <w:t>）</w:t>
                  </w:r>
                </w:p>
              </w:tc>
              <w:tc>
                <w:tcPr>
                  <w:tcW w:w="2986" w:type="dxa"/>
                  <w:vAlign w:val="center"/>
                </w:tcPr>
                <w:p w14:paraId="7CC3F570">
                  <w:pPr>
                    <w:pStyle w:val="65"/>
                    <w:spacing w:line="240" w:lineRule="auto"/>
                    <w:ind w:firstLine="0" w:firstLineChars="0"/>
                    <w:jc w:val="center"/>
                    <w:rPr>
                      <w:rFonts w:hint="default" w:eastAsia="宋体"/>
                      <w:color w:val="auto"/>
                      <w:sz w:val="21"/>
                      <w:szCs w:val="21"/>
                      <w:lang w:val="en-US" w:eastAsia="zh-CN"/>
                    </w:rPr>
                  </w:pPr>
                  <w:r>
                    <w:rPr>
                      <w:rFonts w:hAnsi="宋体"/>
                      <w:color w:val="auto"/>
                      <w:sz w:val="21"/>
                      <w:szCs w:val="21"/>
                    </w:rPr>
                    <w:t>当</w:t>
                  </w:r>
                  <w:r>
                    <w:rPr>
                      <w:rFonts w:hint="eastAsia" w:hAnsi="宋体"/>
                      <w:color w:val="auto"/>
                      <w:sz w:val="21"/>
                      <w:szCs w:val="21"/>
                    </w:rPr>
                    <w:t>除尘系统</w:t>
                  </w:r>
                  <w:r>
                    <w:rPr>
                      <w:rFonts w:hAnsi="宋体"/>
                      <w:color w:val="auto"/>
                      <w:sz w:val="21"/>
                      <w:szCs w:val="21"/>
                    </w:rPr>
                    <w:t>滤袋破口</w:t>
                  </w:r>
                  <w:r>
                    <w:rPr>
                      <w:rFonts w:hint="eastAsia" w:hAnsi="宋体"/>
                      <w:color w:val="auto"/>
                      <w:sz w:val="21"/>
                      <w:szCs w:val="21"/>
                      <w:lang w:eastAsia="zh-CN"/>
                    </w:rPr>
                    <w:t>，</w:t>
                  </w:r>
                  <w:r>
                    <w:rPr>
                      <w:rFonts w:hint="eastAsia" w:hAnsi="宋体"/>
                      <w:color w:val="auto"/>
                      <w:sz w:val="21"/>
                      <w:szCs w:val="21"/>
                    </w:rPr>
                    <w:t>除尘系统</w:t>
                  </w:r>
                  <w:r>
                    <w:rPr>
                      <w:rFonts w:hAnsi="宋体"/>
                      <w:color w:val="auto"/>
                      <w:sz w:val="21"/>
                      <w:szCs w:val="21"/>
                    </w:rPr>
                    <w:t>处理效率下降</w:t>
                  </w:r>
                  <w:r>
                    <w:rPr>
                      <w:rFonts w:hint="eastAsia" w:hAnsi="宋体"/>
                      <w:color w:val="auto"/>
                      <w:sz w:val="21"/>
                      <w:szCs w:val="21"/>
                      <w:lang w:val="en-US" w:eastAsia="zh-CN"/>
                    </w:rPr>
                    <w:t>50%</w:t>
                  </w:r>
                </w:p>
              </w:tc>
              <w:tc>
                <w:tcPr>
                  <w:tcW w:w="1510" w:type="dxa"/>
                  <w:vAlign w:val="center"/>
                </w:tcPr>
                <w:p w14:paraId="064B363A">
                  <w:pPr>
                    <w:pStyle w:val="65"/>
                    <w:spacing w:line="240" w:lineRule="auto"/>
                    <w:ind w:firstLine="0" w:firstLineChars="0"/>
                    <w:jc w:val="center"/>
                    <w:rPr>
                      <w:color w:val="auto"/>
                      <w:sz w:val="21"/>
                      <w:szCs w:val="21"/>
                    </w:rPr>
                  </w:pPr>
                  <w:r>
                    <w:rPr>
                      <w:rFonts w:hAnsi="宋体"/>
                      <w:color w:val="auto"/>
                      <w:sz w:val="21"/>
                      <w:szCs w:val="21"/>
                    </w:rPr>
                    <w:t>颗粒物</w:t>
                  </w:r>
                </w:p>
              </w:tc>
              <w:tc>
                <w:tcPr>
                  <w:tcW w:w="2062" w:type="dxa"/>
                  <w:vAlign w:val="center"/>
                </w:tcPr>
                <w:p w14:paraId="0D9E15EF">
                  <w:pPr>
                    <w:spacing w:line="0" w:lineRule="atLeast"/>
                    <w:contextualSpacing/>
                    <w:jc w:val="center"/>
                    <w:rPr>
                      <w:rFonts w:hint="default" w:hAnsi="宋体" w:eastAsia="宋体"/>
                      <w:color w:val="auto"/>
                      <w:szCs w:val="21"/>
                      <w:lang w:val="en-US" w:eastAsia="zh-CN"/>
                    </w:rPr>
                  </w:pPr>
                  <w:r>
                    <w:rPr>
                      <w:rFonts w:hint="eastAsia" w:hAnsi="宋体"/>
                      <w:color w:val="auto"/>
                      <w:szCs w:val="21"/>
                      <w:lang w:val="en-US" w:eastAsia="zh-CN"/>
                    </w:rPr>
                    <w:t>84.23</w:t>
                  </w:r>
                </w:p>
              </w:tc>
              <w:tc>
                <w:tcPr>
                  <w:tcW w:w="1859" w:type="dxa"/>
                  <w:vAlign w:val="center"/>
                </w:tcPr>
                <w:p w14:paraId="6ED9D07C">
                  <w:pPr>
                    <w:pStyle w:val="83"/>
                    <w:rPr>
                      <w:rFonts w:hint="default" w:eastAsia="宋体"/>
                      <w:color w:val="auto"/>
                      <w:sz w:val="21"/>
                      <w:szCs w:val="21"/>
                      <w:lang w:val="en-US" w:eastAsia="zh-CN"/>
                    </w:rPr>
                  </w:pPr>
                  <w:r>
                    <w:rPr>
                      <w:rFonts w:hint="eastAsia"/>
                      <w:color w:val="auto"/>
                      <w:sz w:val="21"/>
                      <w:szCs w:val="21"/>
                      <w:lang w:val="en-US" w:eastAsia="zh-CN"/>
                    </w:rPr>
                    <w:t>2159.6</w:t>
                  </w:r>
                </w:p>
              </w:tc>
              <w:tc>
                <w:tcPr>
                  <w:tcW w:w="1461" w:type="dxa"/>
                  <w:vMerge w:val="restart"/>
                  <w:vAlign w:val="center"/>
                </w:tcPr>
                <w:p w14:paraId="79DD957E">
                  <w:pPr>
                    <w:pStyle w:val="65"/>
                    <w:spacing w:line="240" w:lineRule="auto"/>
                    <w:ind w:firstLine="0" w:firstLineChars="0"/>
                    <w:jc w:val="center"/>
                    <w:rPr>
                      <w:color w:val="auto"/>
                      <w:sz w:val="21"/>
                      <w:szCs w:val="21"/>
                    </w:rPr>
                  </w:pPr>
                  <w:r>
                    <w:rPr>
                      <w:rFonts w:hAnsi="宋体"/>
                      <w:color w:val="auto"/>
                      <w:sz w:val="21"/>
                      <w:szCs w:val="21"/>
                    </w:rPr>
                    <w:t>＜</w:t>
                  </w:r>
                  <w:r>
                    <w:rPr>
                      <w:color w:val="auto"/>
                      <w:sz w:val="21"/>
                      <w:szCs w:val="21"/>
                    </w:rPr>
                    <w:t>1</w:t>
                  </w:r>
                </w:p>
              </w:tc>
              <w:tc>
                <w:tcPr>
                  <w:tcW w:w="1521" w:type="dxa"/>
                  <w:vMerge w:val="restart"/>
                  <w:vAlign w:val="center"/>
                </w:tcPr>
                <w:p w14:paraId="0EB27C18">
                  <w:pPr>
                    <w:pStyle w:val="65"/>
                    <w:spacing w:line="240" w:lineRule="auto"/>
                    <w:ind w:firstLine="0" w:firstLineChars="0"/>
                    <w:jc w:val="center"/>
                    <w:rPr>
                      <w:color w:val="auto"/>
                      <w:sz w:val="21"/>
                      <w:szCs w:val="21"/>
                    </w:rPr>
                  </w:pPr>
                  <w:r>
                    <w:rPr>
                      <w:color w:val="auto"/>
                      <w:sz w:val="21"/>
                      <w:szCs w:val="21"/>
                    </w:rPr>
                    <w:t>1</w:t>
                  </w:r>
                </w:p>
              </w:tc>
            </w:tr>
            <w:tr w14:paraId="6A3831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5" w:hRule="atLeast"/>
                <w:jc w:val="center"/>
              </w:trPr>
              <w:tc>
                <w:tcPr>
                  <w:tcW w:w="2055" w:type="dxa"/>
                  <w:vMerge w:val="restart"/>
                  <w:vAlign w:val="center"/>
                </w:tcPr>
                <w:p w14:paraId="15E3FF97">
                  <w:pPr>
                    <w:spacing w:line="0" w:lineRule="atLeast"/>
                    <w:contextualSpacing/>
                    <w:jc w:val="center"/>
                    <w:rPr>
                      <w:rFonts w:hAnsi="宋体"/>
                      <w:color w:val="auto"/>
                      <w:szCs w:val="21"/>
                    </w:rPr>
                  </w:pPr>
                  <w:r>
                    <w:rPr>
                      <w:rFonts w:hAnsi="宋体"/>
                      <w:color w:val="auto"/>
                      <w:szCs w:val="21"/>
                    </w:rPr>
                    <w:t>沥青搅拌排气筒（</w:t>
                  </w:r>
                  <w:r>
                    <w:rPr>
                      <w:rFonts w:hint="eastAsia" w:hAnsi="宋体"/>
                      <w:color w:val="auto"/>
                      <w:szCs w:val="21"/>
                    </w:rPr>
                    <w:t>DA003</w:t>
                  </w:r>
                  <w:r>
                    <w:rPr>
                      <w:rFonts w:hAnsi="宋体"/>
                      <w:color w:val="auto"/>
                      <w:szCs w:val="21"/>
                    </w:rPr>
                    <w:t>）</w:t>
                  </w:r>
                </w:p>
              </w:tc>
              <w:tc>
                <w:tcPr>
                  <w:tcW w:w="2986" w:type="dxa"/>
                  <w:vMerge w:val="restart"/>
                  <w:vAlign w:val="center"/>
                </w:tcPr>
                <w:p w14:paraId="468972B3">
                  <w:pPr>
                    <w:pStyle w:val="65"/>
                    <w:spacing w:line="240" w:lineRule="auto"/>
                    <w:ind w:firstLine="0" w:firstLineChars="0"/>
                    <w:jc w:val="center"/>
                    <w:rPr>
                      <w:color w:val="auto"/>
                      <w:sz w:val="21"/>
                      <w:szCs w:val="21"/>
                    </w:rPr>
                  </w:pPr>
                  <w:r>
                    <w:rPr>
                      <w:rFonts w:hint="eastAsia" w:hAnsi="宋体"/>
                      <w:color w:val="auto"/>
                      <w:sz w:val="21"/>
                      <w:szCs w:val="21"/>
                    </w:rPr>
                    <w:t>气浮旋流塔+三维一体化废气处理设备故障，处理</w:t>
                  </w:r>
                  <w:r>
                    <w:rPr>
                      <w:rFonts w:hAnsi="宋体"/>
                      <w:color w:val="auto"/>
                      <w:sz w:val="21"/>
                      <w:szCs w:val="21"/>
                    </w:rPr>
                    <w:t>装置异味处理效率下降，本项目异味</w:t>
                  </w:r>
                  <w:r>
                    <w:rPr>
                      <w:rFonts w:hint="eastAsia" w:hAnsi="宋体"/>
                      <w:color w:val="auto"/>
                      <w:sz w:val="21"/>
                      <w:szCs w:val="21"/>
                    </w:rPr>
                    <w:t>处理</w:t>
                  </w:r>
                  <w:r>
                    <w:rPr>
                      <w:rFonts w:hAnsi="宋体"/>
                      <w:color w:val="auto"/>
                      <w:sz w:val="21"/>
                      <w:szCs w:val="21"/>
                    </w:rPr>
                    <w:t>效率按</w:t>
                  </w:r>
                  <w:r>
                    <w:rPr>
                      <w:color w:val="auto"/>
                      <w:sz w:val="21"/>
                      <w:szCs w:val="21"/>
                    </w:rPr>
                    <w:t>50%</w:t>
                  </w:r>
                  <w:r>
                    <w:rPr>
                      <w:rFonts w:hAnsi="宋体"/>
                      <w:color w:val="auto"/>
                      <w:sz w:val="21"/>
                      <w:szCs w:val="21"/>
                    </w:rPr>
                    <w:t>考虑</w:t>
                  </w:r>
                </w:p>
              </w:tc>
              <w:tc>
                <w:tcPr>
                  <w:tcW w:w="1510" w:type="dxa"/>
                  <w:vAlign w:val="center"/>
                </w:tcPr>
                <w:p w14:paraId="61B4C9BC">
                  <w:pPr>
                    <w:pStyle w:val="65"/>
                    <w:spacing w:line="240" w:lineRule="auto"/>
                    <w:ind w:firstLine="0" w:firstLineChars="0"/>
                    <w:jc w:val="center"/>
                    <w:rPr>
                      <w:color w:val="auto"/>
                      <w:sz w:val="21"/>
                      <w:szCs w:val="21"/>
                    </w:rPr>
                  </w:pPr>
                  <w:r>
                    <w:rPr>
                      <w:rFonts w:hAnsi="宋体"/>
                      <w:color w:val="auto"/>
                      <w:sz w:val="21"/>
                      <w:szCs w:val="21"/>
                    </w:rPr>
                    <w:t>沥青烟</w:t>
                  </w:r>
                </w:p>
              </w:tc>
              <w:tc>
                <w:tcPr>
                  <w:tcW w:w="2062" w:type="dxa"/>
                  <w:vAlign w:val="center"/>
                </w:tcPr>
                <w:p w14:paraId="76A88320">
                  <w:pPr>
                    <w:spacing w:line="0" w:lineRule="atLeast"/>
                    <w:contextualSpacing/>
                    <w:jc w:val="center"/>
                    <w:rPr>
                      <w:rFonts w:hint="default" w:hAnsi="宋体" w:eastAsia="宋体"/>
                      <w:color w:val="auto"/>
                      <w:szCs w:val="21"/>
                      <w:lang w:val="en-US" w:eastAsia="zh-CN"/>
                    </w:rPr>
                  </w:pPr>
                  <w:r>
                    <w:rPr>
                      <w:rFonts w:hint="eastAsia" w:hAnsi="宋体"/>
                      <w:color w:val="auto"/>
                      <w:szCs w:val="21"/>
                      <w:lang w:val="en-US" w:eastAsia="zh-CN"/>
                    </w:rPr>
                    <w:t>0.643</w:t>
                  </w:r>
                </w:p>
              </w:tc>
              <w:tc>
                <w:tcPr>
                  <w:tcW w:w="1859" w:type="dxa"/>
                  <w:vAlign w:val="center"/>
                </w:tcPr>
                <w:p w14:paraId="1011D105">
                  <w:pPr>
                    <w:pStyle w:val="6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16.05</w:t>
                  </w:r>
                </w:p>
              </w:tc>
              <w:tc>
                <w:tcPr>
                  <w:tcW w:w="1461" w:type="dxa"/>
                  <w:vMerge w:val="continue"/>
                  <w:vAlign w:val="center"/>
                </w:tcPr>
                <w:p w14:paraId="5396299E">
                  <w:pPr>
                    <w:pStyle w:val="65"/>
                    <w:spacing w:line="240" w:lineRule="auto"/>
                    <w:ind w:firstLine="0" w:firstLineChars="0"/>
                    <w:jc w:val="center"/>
                    <w:rPr>
                      <w:color w:val="auto"/>
                      <w:sz w:val="21"/>
                      <w:szCs w:val="21"/>
                    </w:rPr>
                  </w:pPr>
                </w:p>
              </w:tc>
              <w:tc>
                <w:tcPr>
                  <w:tcW w:w="1521" w:type="dxa"/>
                  <w:vMerge w:val="continue"/>
                  <w:vAlign w:val="center"/>
                </w:tcPr>
                <w:p w14:paraId="1FF9BA7A">
                  <w:pPr>
                    <w:pStyle w:val="65"/>
                    <w:spacing w:line="240" w:lineRule="auto"/>
                    <w:ind w:firstLine="0" w:firstLineChars="0"/>
                    <w:jc w:val="center"/>
                    <w:rPr>
                      <w:color w:val="auto"/>
                      <w:sz w:val="21"/>
                      <w:szCs w:val="21"/>
                    </w:rPr>
                  </w:pPr>
                </w:p>
              </w:tc>
            </w:tr>
            <w:tr w14:paraId="44E5D5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0" w:hRule="atLeast"/>
                <w:jc w:val="center"/>
              </w:trPr>
              <w:tc>
                <w:tcPr>
                  <w:tcW w:w="2055" w:type="dxa"/>
                  <w:vMerge w:val="continue"/>
                  <w:vAlign w:val="center"/>
                </w:tcPr>
                <w:p w14:paraId="7EBC6FDD">
                  <w:pPr>
                    <w:spacing w:line="0" w:lineRule="atLeast"/>
                    <w:contextualSpacing/>
                    <w:jc w:val="center"/>
                    <w:rPr>
                      <w:rFonts w:hAnsi="宋体"/>
                      <w:color w:val="auto"/>
                      <w:szCs w:val="21"/>
                    </w:rPr>
                  </w:pPr>
                </w:p>
              </w:tc>
              <w:tc>
                <w:tcPr>
                  <w:tcW w:w="2986" w:type="dxa"/>
                  <w:vMerge w:val="continue"/>
                  <w:vAlign w:val="center"/>
                </w:tcPr>
                <w:p w14:paraId="25B5E0A5">
                  <w:pPr>
                    <w:pStyle w:val="65"/>
                    <w:spacing w:line="240" w:lineRule="auto"/>
                    <w:ind w:firstLine="0" w:firstLineChars="0"/>
                    <w:jc w:val="center"/>
                    <w:rPr>
                      <w:color w:val="auto"/>
                      <w:sz w:val="21"/>
                      <w:szCs w:val="21"/>
                    </w:rPr>
                  </w:pPr>
                </w:p>
              </w:tc>
              <w:tc>
                <w:tcPr>
                  <w:tcW w:w="1510" w:type="dxa"/>
                  <w:vAlign w:val="center"/>
                </w:tcPr>
                <w:p w14:paraId="550BE0FE">
                  <w:pPr>
                    <w:pStyle w:val="65"/>
                    <w:spacing w:line="240" w:lineRule="auto"/>
                    <w:ind w:firstLine="0" w:firstLineChars="0"/>
                    <w:jc w:val="center"/>
                    <w:rPr>
                      <w:color w:val="auto"/>
                      <w:sz w:val="21"/>
                      <w:szCs w:val="21"/>
                    </w:rPr>
                  </w:pPr>
                  <w:r>
                    <w:rPr>
                      <w:rFonts w:hAnsi="宋体"/>
                      <w:color w:val="auto"/>
                      <w:sz w:val="21"/>
                      <w:szCs w:val="21"/>
                    </w:rPr>
                    <w:t>苯并</w:t>
                  </w:r>
                  <w:r>
                    <w:rPr>
                      <w:color w:val="auto"/>
                      <w:sz w:val="21"/>
                      <w:szCs w:val="21"/>
                    </w:rPr>
                    <w:t>[a]</w:t>
                  </w:r>
                  <w:r>
                    <w:rPr>
                      <w:rFonts w:hAnsi="宋体"/>
                      <w:color w:val="auto"/>
                      <w:sz w:val="21"/>
                      <w:szCs w:val="21"/>
                    </w:rPr>
                    <w:t>芘</w:t>
                  </w:r>
                </w:p>
              </w:tc>
              <w:tc>
                <w:tcPr>
                  <w:tcW w:w="2062" w:type="dxa"/>
                  <w:vAlign w:val="center"/>
                </w:tcPr>
                <w:p w14:paraId="3952A2A8">
                  <w:pPr>
                    <w:spacing w:line="0" w:lineRule="atLeast"/>
                    <w:contextualSpacing/>
                    <w:jc w:val="center"/>
                    <w:rPr>
                      <w:rFonts w:hint="eastAsia" w:hAnsi="宋体" w:eastAsia="宋体"/>
                      <w:color w:val="auto"/>
                      <w:szCs w:val="21"/>
                      <w:lang w:eastAsia="zh-CN"/>
                    </w:rPr>
                  </w:pPr>
                  <w:r>
                    <w:rPr>
                      <w:rFonts w:hint="eastAsia"/>
                      <w:color w:val="auto"/>
                      <w:szCs w:val="21"/>
                      <w:lang w:val="en-US" w:eastAsia="zh-CN"/>
                    </w:rPr>
                    <w:t>1.28</w:t>
                  </w:r>
                  <w:r>
                    <w:rPr>
                      <w:color w:val="auto"/>
                      <w:szCs w:val="21"/>
                    </w:rPr>
                    <w:t>×10</w:t>
                  </w:r>
                  <w:r>
                    <w:rPr>
                      <w:color w:val="auto"/>
                      <w:szCs w:val="21"/>
                      <w:vertAlign w:val="superscript"/>
                    </w:rPr>
                    <w:t>-</w:t>
                  </w:r>
                  <w:r>
                    <w:rPr>
                      <w:rFonts w:hint="eastAsia"/>
                      <w:color w:val="auto"/>
                      <w:szCs w:val="21"/>
                      <w:vertAlign w:val="superscript"/>
                      <w:lang w:val="en-US" w:eastAsia="zh-CN"/>
                    </w:rPr>
                    <w:t>4</w:t>
                  </w:r>
                </w:p>
              </w:tc>
              <w:tc>
                <w:tcPr>
                  <w:tcW w:w="1859" w:type="dxa"/>
                  <w:vAlign w:val="center"/>
                </w:tcPr>
                <w:p w14:paraId="3A3EBCD2">
                  <w:pPr>
                    <w:pStyle w:val="65"/>
                    <w:spacing w:line="240" w:lineRule="auto"/>
                    <w:ind w:firstLine="0" w:firstLineChars="0"/>
                    <w:jc w:val="center"/>
                    <w:rPr>
                      <w:color w:val="auto"/>
                      <w:sz w:val="21"/>
                      <w:szCs w:val="21"/>
                    </w:rPr>
                  </w:pPr>
                  <w:r>
                    <w:rPr>
                      <w:rFonts w:hint="eastAsia"/>
                      <w:color w:val="auto"/>
                      <w:sz w:val="21"/>
                      <w:szCs w:val="21"/>
                    </w:rPr>
                    <w:t>0.00</w:t>
                  </w:r>
                  <w:r>
                    <w:rPr>
                      <w:rFonts w:hint="eastAsia"/>
                      <w:color w:val="auto"/>
                      <w:sz w:val="21"/>
                      <w:szCs w:val="21"/>
                      <w:lang w:val="en-US" w:eastAsia="zh-CN"/>
                    </w:rPr>
                    <w:t>3</w:t>
                  </w:r>
                  <w:r>
                    <w:rPr>
                      <w:rFonts w:hint="eastAsia"/>
                      <w:color w:val="auto"/>
                      <w:sz w:val="21"/>
                      <w:szCs w:val="21"/>
                    </w:rPr>
                    <w:t>2</w:t>
                  </w:r>
                </w:p>
              </w:tc>
              <w:tc>
                <w:tcPr>
                  <w:tcW w:w="1461" w:type="dxa"/>
                  <w:vMerge w:val="continue"/>
                  <w:vAlign w:val="center"/>
                </w:tcPr>
                <w:p w14:paraId="265027B8">
                  <w:pPr>
                    <w:pStyle w:val="65"/>
                    <w:spacing w:line="240" w:lineRule="auto"/>
                    <w:ind w:firstLine="0" w:firstLineChars="0"/>
                    <w:jc w:val="center"/>
                    <w:rPr>
                      <w:color w:val="auto"/>
                      <w:sz w:val="21"/>
                      <w:szCs w:val="21"/>
                    </w:rPr>
                  </w:pPr>
                </w:p>
              </w:tc>
              <w:tc>
                <w:tcPr>
                  <w:tcW w:w="1521" w:type="dxa"/>
                  <w:vMerge w:val="continue"/>
                  <w:vAlign w:val="center"/>
                </w:tcPr>
                <w:p w14:paraId="27A018FF">
                  <w:pPr>
                    <w:pStyle w:val="65"/>
                    <w:spacing w:line="240" w:lineRule="auto"/>
                    <w:ind w:firstLine="0" w:firstLineChars="0"/>
                    <w:jc w:val="center"/>
                    <w:rPr>
                      <w:color w:val="auto"/>
                      <w:sz w:val="21"/>
                      <w:szCs w:val="21"/>
                    </w:rPr>
                  </w:pPr>
                </w:p>
              </w:tc>
            </w:tr>
            <w:tr w14:paraId="38580E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0" w:hRule="atLeast"/>
                <w:jc w:val="center"/>
              </w:trPr>
              <w:tc>
                <w:tcPr>
                  <w:tcW w:w="2055" w:type="dxa"/>
                  <w:vMerge w:val="continue"/>
                  <w:vAlign w:val="center"/>
                </w:tcPr>
                <w:p w14:paraId="03138FAD">
                  <w:pPr>
                    <w:spacing w:line="0" w:lineRule="atLeast"/>
                    <w:contextualSpacing/>
                    <w:jc w:val="center"/>
                    <w:rPr>
                      <w:rFonts w:hAnsi="宋体"/>
                      <w:color w:val="auto"/>
                      <w:szCs w:val="21"/>
                    </w:rPr>
                  </w:pPr>
                </w:p>
              </w:tc>
              <w:tc>
                <w:tcPr>
                  <w:tcW w:w="2986" w:type="dxa"/>
                  <w:vMerge w:val="continue"/>
                  <w:vAlign w:val="center"/>
                </w:tcPr>
                <w:p w14:paraId="6446B4F2">
                  <w:pPr>
                    <w:pStyle w:val="65"/>
                    <w:spacing w:line="240" w:lineRule="auto"/>
                    <w:ind w:firstLine="0" w:firstLineChars="0"/>
                    <w:jc w:val="center"/>
                    <w:rPr>
                      <w:color w:val="auto"/>
                      <w:sz w:val="21"/>
                      <w:szCs w:val="21"/>
                    </w:rPr>
                  </w:pPr>
                </w:p>
              </w:tc>
              <w:tc>
                <w:tcPr>
                  <w:tcW w:w="1510" w:type="dxa"/>
                  <w:vAlign w:val="center"/>
                </w:tcPr>
                <w:p w14:paraId="5079F810">
                  <w:pPr>
                    <w:pStyle w:val="65"/>
                    <w:spacing w:line="240" w:lineRule="auto"/>
                    <w:ind w:firstLine="0" w:firstLineChars="0"/>
                    <w:jc w:val="center"/>
                    <w:rPr>
                      <w:rFonts w:hAnsi="宋体"/>
                      <w:color w:val="auto"/>
                      <w:sz w:val="21"/>
                      <w:szCs w:val="21"/>
                    </w:rPr>
                  </w:pPr>
                  <w:r>
                    <w:rPr>
                      <w:rFonts w:hint="eastAsia" w:hAnsi="宋体"/>
                      <w:color w:val="auto"/>
                      <w:sz w:val="21"/>
                      <w:szCs w:val="21"/>
                    </w:rPr>
                    <w:t>非甲烷总烃</w:t>
                  </w:r>
                </w:p>
              </w:tc>
              <w:tc>
                <w:tcPr>
                  <w:tcW w:w="2062" w:type="dxa"/>
                  <w:vAlign w:val="center"/>
                </w:tcPr>
                <w:p w14:paraId="74F205AD">
                  <w:pPr>
                    <w:spacing w:line="0" w:lineRule="atLeast"/>
                    <w:contextualSpacing/>
                    <w:jc w:val="center"/>
                    <w:rPr>
                      <w:color w:val="auto"/>
                      <w:szCs w:val="21"/>
                    </w:rPr>
                  </w:pPr>
                  <w:r>
                    <w:rPr>
                      <w:rFonts w:hint="eastAsia"/>
                      <w:color w:val="auto"/>
                      <w:szCs w:val="21"/>
                      <w:lang w:val="en-US" w:eastAsia="zh-CN"/>
                    </w:rPr>
                    <w:t>0.036</w:t>
                  </w:r>
                </w:p>
              </w:tc>
              <w:tc>
                <w:tcPr>
                  <w:tcW w:w="1859" w:type="dxa"/>
                  <w:vAlign w:val="center"/>
                </w:tcPr>
                <w:p w14:paraId="72988A64">
                  <w:pPr>
                    <w:pStyle w:val="6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0.9</w:t>
                  </w:r>
                </w:p>
              </w:tc>
              <w:tc>
                <w:tcPr>
                  <w:tcW w:w="1461" w:type="dxa"/>
                  <w:vMerge w:val="continue"/>
                  <w:vAlign w:val="center"/>
                </w:tcPr>
                <w:p w14:paraId="06E3CB5C">
                  <w:pPr>
                    <w:pStyle w:val="65"/>
                    <w:spacing w:line="240" w:lineRule="auto"/>
                    <w:ind w:firstLine="0" w:firstLineChars="0"/>
                    <w:jc w:val="center"/>
                    <w:rPr>
                      <w:color w:val="auto"/>
                      <w:sz w:val="21"/>
                      <w:szCs w:val="21"/>
                    </w:rPr>
                  </w:pPr>
                </w:p>
              </w:tc>
              <w:tc>
                <w:tcPr>
                  <w:tcW w:w="1521" w:type="dxa"/>
                  <w:vMerge w:val="continue"/>
                  <w:vAlign w:val="center"/>
                </w:tcPr>
                <w:p w14:paraId="6F8DC586">
                  <w:pPr>
                    <w:pStyle w:val="65"/>
                    <w:spacing w:line="240" w:lineRule="auto"/>
                    <w:ind w:firstLine="0" w:firstLineChars="0"/>
                    <w:jc w:val="center"/>
                    <w:rPr>
                      <w:color w:val="auto"/>
                      <w:sz w:val="21"/>
                      <w:szCs w:val="21"/>
                    </w:rPr>
                  </w:pPr>
                </w:p>
              </w:tc>
            </w:tr>
          </w:tbl>
          <w:p w14:paraId="7FB13462">
            <w:pPr>
              <w:spacing w:line="360" w:lineRule="auto"/>
              <w:ind w:firstLine="482" w:firstLineChars="200"/>
              <w:contextualSpacing/>
              <w:rPr>
                <w:rFonts w:hint="default"/>
                <w:b/>
                <w:bCs/>
                <w:color w:val="auto"/>
                <w:sz w:val="24"/>
                <w:lang w:val="en-US" w:eastAsia="zh-CN"/>
              </w:rPr>
            </w:pPr>
            <w:r>
              <w:rPr>
                <w:rFonts w:hint="eastAsia"/>
                <w:b/>
                <w:bCs/>
                <w:color w:val="auto"/>
                <w:sz w:val="24"/>
                <w:lang w:val="en-US" w:eastAsia="zh-CN"/>
              </w:rPr>
              <w:t>2、可行技术</w:t>
            </w:r>
          </w:p>
          <w:p w14:paraId="568AD23D">
            <w:pPr>
              <w:spacing w:line="360" w:lineRule="auto"/>
              <w:ind w:firstLine="480" w:firstLineChars="200"/>
              <w:contextualSpacing/>
              <w:jc w:val="left"/>
              <w:rPr>
                <w:color w:val="auto"/>
                <w:sz w:val="24"/>
              </w:rPr>
            </w:pPr>
            <w:r>
              <w:rPr>
                <w:color w:val="auto"/>
                <w:sz w:val="24"/>
              </w:rPr>
              <w:t>袋式除尘技术是利用纤维织物的拦截、惯性、扩散、重力、静电等协同作用对含尘气体进行过滤的技术，当含尘气体进入袋式除尘器后，颗粒大、比重大的烟尘，由于重力的作用沉降下来，落入灰斗，</w:t>
            </w:r>
            <w:r>
              <w:rPr>
                <w:rFonts w:hint="eastAsia"/>
                <w:color w:val="auto"/>
                <w:sz w:val="24"/>
              </w:rPr>
              <w:t>废气</w:t>
            </w:r>
            <w:r>
              <w:rPr>
                <w:color w:val="auto"/>
                <w:sz w:val="24"/>
              </w:rPr>
              <w:t>中较细小的</w:t>
            </w:r>
            <w:r>
              <w:rPr>
                <w:rFonts w:hint="eastAsia"/>
                <w:color w:val="auto"/>
                <w:sz w:val="24"/>
              </w:rPr>
              <w:t>颗粒</w:t>
            </w:r>
            <w:r>
              <w:rPr>
                <w:color w:val="auto"/>
                <w:sz w:val="24"/>
              </w:rPr>
              <w:t>在通过滤料时被阻留，使</w:t>
            </w:r>
            <w:r>
              <w:rPr>
                <w:rFonts w:hint="eastAsia"/>
                <w:color w:val="auto"/>
                <w:sz w:val="24"/>
              </w:rPr>
              <w:t>废气</w:t>
            </w:r>
            <w:r>
              <w:rPr>
                <w:color w:val="auto"/>
                <w:sz w:val="24"/>
              </w:rPr>
              <w:t>得到净化，袋式除尘器除尘效率基本不受烟尘比电阻和烟气工况变化等影响，占地面积小，控制系统简单，可实现较为稳定的低排放。袋式除尘器除尘效率为99.5%~99.99%。</w:t>
            </w:r>
            <w:r>
              <w:rPr>
                <w:rFonts w:hint="eastAsia" w:ascii="宋体" w:hAnsi="宋体" w:cs="宋体"/>
                <w:color w:val="auto"/>
                <w:sz w:val="24"/>
              </w:rPr>
              <w:t>根据《排污许可证申请与核发技术规范 石墨及其他非金属矿物制品制造》（</w:t>
            </w:r>
            <w:r>
              <w:rPr>
                <w:color w:val="auto"/>
                <w:sz w:val="24"/>
              </w:rPr>
              <w:t>HJ1119</w:t>
            </w:r>
            <w:r>
              <w:rPr>
                <w:rFonts w:hint="eastAsia" w:ascii="宋体" w:hAnsi="宋体" w:cs="宋体"/>
                <w:color w:val="auto"/>
                <w:sz w:val="24"/>
              </w:rPr>
              <w:t>—</w:t>
            </w:r>
            <w:r>
              <w:rPr>
                <w:color w:val="auto"/>
                <w:sz w:val="24"/>
              </w:rPr>
              <w:t>2020</w:t>
            </w:r>
            <w:r>
              <w:rPr>
                <w:rFonts w:hint="eastAsia" w:ascii="宋体" w:hAnsi="宋体" w:cs="宋体"/>
                <w:color w:val="auto"/>
                <w:sz w:val="24"/>
              </w:rPr>
              <w:t>）中粉料仓给出的除尘技术措施可知，项目回配备</w:t>
            </w:r>
            <w:r>
              <w:rPr>
                <w:rFonts w:hint="eastAsia"/>
                <w:color w:val="auto"/>
                <w:sz w:val="24"/>
              </w:rPr>
              <w:t>除尘系统（重力+布袋）属于可行性技术。</w:t>
            </w:r>
          </w:p>
          <w:p w14:paraId="29BDE9A7">
            <w:pPr>
              <w:pStyle w:val="61"/>
              <w:snapToGrid/>
              <w:ind w:firstLine="480"/>
              <w:contextualSpacing/>
              <w:jc w:val="left"/>
              <w:rPr>
                <w:rFonts w:hAnsiTheme="minorEastAsia" w:eastAsiaTheme="minorEastAsia"/>
                <w:color w:val="auto"/>
                <w:kern w:val="0"/>
                <w:sz w:val="24"/>
              </w:rPr>
            </w:pPr>
            <w:r>
              <w:rPr>
                <w:rFonts w:hAnsiTheme="minorEastAsia" w:eastAsiaTheme="minorEastAsia"/>
                <w:color w:val="auto"/>
                <w:kern w:val="0"/>
                <w:sz w:val="24"/>
              </w:rPr>
              <w:t>根据</w:t>
            </w:r>
            <w:r>
              <w:rPr>
                <w:rFonts w:hAnsiTheme="minorEastAsia" w:eastAsiaTheme="minorEastAsia"/>
                <w:bCs/>
                <w:color w:val="auto"/>
                <w:kern w:val="0"/>
                <w:sz w:val="24"/>
              </w:rPr>
              <w:t>《大气污染物综合排放标准》（</w:t>
            </w:r>
            <w:r>
              <w:rPr>
                <w:rFonts w:eastAsiaTheme="minorEastAsia"/>
                <w:bCs/>
                <w:color w:val="auto"/>
                <w:kern w:val="0"/>
                <w:sz w:val="24"/>
              </w:rPr>
              <w:t>GB16297-1996</w:t>
            </w:r>
            <w:r>
              <w:rPr>
                <w:rFonts w:hAnsiTheme="minorEastAsia" w:eastAsiaTheme="minorEastAsia"/>
                <w:bCs/>
                <w:color w:val="auto"/>
                <w:kern w:val="0"/>
                <w:sz w:val="24"/>
              </w:rPr>
              <w:t>）</w:t>
            </w:r>
            <w:r>
              <w:rPr>
                <w:rFonts w:hAnsiTheme="minorEastAsia" w:eastAsiaTheme="minorEastAsia"/>
                <w:color w:val="auto"/>
                <w:kern w:val="0"/>
                <w:sz w:val="24"/>
              </w:rPr>
              <w:t>中要求的</w:t>
            </w:r>
            <w:r>
              <w:rPr>
                <w:rFonts w:hint="eastAsia" w:eastAsiaTheme="minorEastAsia"/>
                <w:color w:val="auto"/>
                <w:kern w:val="0"/>
                <w:sz w:val="24"/>
              </w:rPr>
              <w:t>“</w:t>
            </w:r>
            <w:r>
              <w:rPr>
                <w:rFonts w:hint="eastAsia" w:hAnsiTheme="minorEastAsia" w:eastAsiaTheme="minorEastAsia"/>
                <w:color w:val="auto"/>
                <w:kern w:val="0"/>
                <w:sz w:val="24"/>
              </w:rPr>
              <w:t>排气筒</w:t>
            </w:r>
            <w:r>
              <w:rPr>
                <w:rFonts w:hAnsiTheme="minorEastAsia" w:eastAsiaTheme="minorEastAsia"/>
                <w:color w:val="auto"/>
                <w:kern w:val="0"/>
                <w:sz w:val="24"/>
              </w:rPr>
              <w:t>高度高出周围半径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5m以上”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rPr>
              <w:t>7m，本项目排气筒高度为15m，高于</w:t>
            </w:r>
            <w:r>
              <w:rPr>
                <w:rFonts w:hAnsiTheme="minorEastAsia" w:eastAsiaTheme="minorEastAsia"/>
                <w:color w:val="auto"/>
                <w:kern w:val="0"/>
                <w:sz w:val="24"/>
              </w:rPr>
              <w:t>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5m以上。因此，本项目</w:t>
            </w:r>
            <w:r>
              <w:rPr>
                <w:rFonts w:hint="eastAsia"/>
                <w:color w:val="auto"/>
                <w:sz w:val="24"/>
              </w:rPr>
              <w:t>除尘系统排气筒（DA001）设置合理。</w:t>
            </w:r>
          </w:p>
          <w:p w14:paraId="7FFF4070">
            <w:pPr>
              <w:pStyle w:val="26"/>
              <w:spacing w:line="360" w:lineRule="auto"/>
              <w:ind w:left="0" w:leftChars="0" w:firstLine="480"/>
              <w:rPr>
                <w:bCs/>
                <w:color w:val="auto"/>
                <w:sz w:val="24"/>
              </w:rPr>
            </w:pPr>
            <w:r>
              <w:rPr>
                <w:bCs/>
                <w:color w:val="auto"/>
                <w:sz w:val="24"/>
              </w:rPr>
              <w:t>根据《排污许可证申请与核发技术规范 锅炉》（HJ953-2018），燃</w:t>
            </w:r>
            <w:r>
              <w:rPr>
                <w:rFonts w:hint="eastAsia"/>
                <w:bCs/>
                <w:color w:val="auto"/>
                <w:sz w:val="24"/>
              </w:rPr>
              <w:t>气</w:t>
            </w:r>
            <w:r>
              <w:rPr>
                <w:bCs/>
                <w:color w:val="auto"/>
                <w:sz w:val="24"/>
              </w:rPr>
              <w:t>锅炉废气采用</w:t>
            </w:r>
            <w:r>
              <w:rPr>
                <w:rFonts w:hint="eastAsia"/>
                <w:bCs/>
                <w:color w:val="auto"/>
                <w:sz w:val="24"/>
              </w:rPr>
              <w:t>低氮燃烧</w:t>
            </w:r>
            <w:r>
              <w:rPr>
                <w:bCs/>
                <w:color w:val="auto"/>
                <w:sz w:val="24"/>
              </w:rPr>
              <w:t>措施为可行性技术。</w:t>
            </w:r>
          </w:p>
          <w:p w14:paraId="70C09BB2">
            <w:pPr>
              <w:spacing w:line="360" w:lineRule="auto"/>
              <w:ind w:firstLine="480" w:firstLineChars="200"/>
              <w:contextualSpacing/>
              <w:rPr>
                <w:rFonts w:hint="eastAsia"/>
                <w:color w:val="auto"/>
                <w:sz w:val="24"/>
              </w:rPr>
            </w:pPr>
            <w:r>
              <w:rPr>
                <w:rFonts w:hAnsiTheme="minorEastAsia" w:eastAsiaTheme="minorEastAsia"/>
                <w:color w:val="auto"/>
                <w:kern w:val="0"/>
                <w:sz w:val="24"/>
              </w:rPr>
              <w:t>根据</w:t>
            </w:r>
            <w:r>
              <w:rPr>
                <w:bCs/>
                <w:color w:val="auto"/>
                <w:sz w:val="24"/>
              </w:rPr>
              <w:t>《锅炉大气污染物排放标准》（GB13271-2014）</w:t>
            </w:r>
            <w:r>
              <w:rPr>
                <w:rFonts w:hAnsiTheme="minorEastAsia" w:eastAsiaTheme="minorEastAsia"/>
                <w:color w:val="auto"/>
                <w:kern w:val="0"/>
                <w:sz w:val="24"/>
              </w:rPr>
              <w:t>中要求的</w:t>
            </w:r>
            <w:r>
              <w:rPr>
                <w:rFonts w:hint="eastAsia" w:eastAsiaTheme="minorEastAsia"/>
                <w:color w:val="auto"/>
                <w:kern w:val="0"/>
                <w:sz w:val="24"/>
              </w:rPr>
              <w:t>“燃气锅炉烟囱不低于8m，新建锅炉房的烟囱周围</w:t>
            </w:r>
            <w:r>
              <w:rPr>
                <w:rFonts w:hAnsiTheme="minorEastAsia" w:eastAsiaTheme="minorEastAsia"/>
                <w:color w:val="auto"/>
                <w:kern w:val="0"/>
                <w:sz w:val="24"/>
              </w:rPr>
              <w:t>半径</w:t>
            </w:r>
            <w:r>
              <w:rPr>
                <w:rFonts w:eastAsiaTheme="minorEastAsia"/>
                <w:color w:val="auto"/>
                <w:kern w:val="0"/>
                <w:sz w:val="24"/>
              </w:rPr>
              <w:t>200m范围内</w:t>
            </w:r>
            <w:r>
              <w:rPr>
                <w:rFonts w:hint="eastAsia" w:eastAsiaTheme="minorEastAsia"/>
                <w:color w:val="auto"/>
                <w:kern w:val="0"/>
                <w:sz w:val="24"/>
              </w:rPr>
              <w:t>有</w:t>
            </w:r>
            <w:r>
              <w:rPr>
                <w:rFonts w:hAnsiTheme="minorEastAsia" w:eastAsiaTheme="minorEastAsia"/>
                <w:color w:val="auto"/>
                <w:kern w:val="0"/>
                <w:sz w:val="24"/>
              </w:rPr>
              <w:t>建筑物时，其烟囱高出最高建筑物</w:t>
            </w:r>
            <w:r>
              <w:rPr>
                <w:rFonts w:hint="eastAsia" w:hAnsiTheme="minorEastAsia" w:eastAsiaTheme="minorEastAsia"/>
                <w:color w:val="auto"/>
                <w:kern w:val="0"/>
                <w:sz w:val="24"/>
              </w:rPr>
              <w:t>3m以上”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rPr>
              <w:t>7m，本项目锅炉烟囱高度为12m，高于</w:t>
            </w:r>
            <w:r>
              <w:rPr>
                <w:rFonts w:hAnsiTheme="minorEastAsia" w:eastAsiaTheme="minorEastAsia"/>
                <w:color w:val="auto"/>
                <w:kern w:val="0"/>
                <w:sz w:val="24"/>
              </w:rPr>
              <w:t>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3m以上。因此，本项目</w:t>
            </w:r>
            <w:r>
              <w:rPr>
                <w:rFonts w:hint="eastAsia"/>
                <w:color w:val="auto"/>
                <w:sz w:val="24"/>
              </w:rPr>
              <w:t>排气筒（DA002）设置合理。</w:t>
            </w:r>
          </w:p>
          <w:p w14:paraId="799FEE92">
            <w:pPr>
              <w:pStyle w:val="65"/>
              <w:rPr>
                <w:bCs/>
                <w:color w:val="auto"/>
              </w:rPr>
            </w:pPr>
            <w:r>
              <w:rPr>
                <w:bCs/>
                <w:color w:val="auto"/>
              </w:rPr>
              <w:t>根据《排污许可证申请与核发技术规范 石墨及其他非金属矿物制品制造》（HJ1119-2020）附录A，</w:t>
            </w:r>
            <w:r>
              <w:rPr>
                <w:color w:val="auto"/>
              </w:rPr>
              <w:t>沥青罐呼吸及成品出料废气采用活性炭吸附措施</w:t>
            </w:r>
            <w:r>
              <w:rPr>
                <w:bCs/>
                <w:color w:val="auto"/>
              </w:rPr>
              <w:t>为可行性技术</w:t>
            </w:r>
            <w:r>
              <w:rPr>
                <w:rFonts w:hint="eastAsia"/>
                <w:bCs/>
                <w:color w:val="auto"/>
              </w:rPr>
              <w:t>。本项目</w:t>
            </w:r>
            <w:r>
              <w:rPr>
                <w:bCs/>
                <w:color w:val="auto"/>
              </w:rPr>
              <w:t>沥青罐呼吸及成品出料废气采用</w:t>
            </w:r>
            <w:r>
              <w:rPr>
                <w:rFonts w:hint="eastAsia"/>
                <w:bCs/>
                <w:color w:val="auto"/>
              </w:rPr>
              <w:t>气浮旋流塔+三维一体化废气处理设备（由电离子+光催化+高碘值碳吸附组成）属于可行性技术。</w:t>
            </w:r>
          </w:p>
          <w:p w14:paraId="7BF4738B">
            <w:pPr>
              <w:pStyle w:val="65"/>
              <w:rPr>
                <w:rFonts w:hint="eastAsia"/>
                <w:bCs/>
                <w:color w:val="auto"/>
                <w:lang w:val="en-US" w:eastAsia="zh-CN"/>
              </w:rPr>
            </w:pPr>
            <w:r>
              <w:rPr>
                <w:bCs/>
                <w:color w:val="auto"/>
              </w:rPr>
              <w:t>根据《大气污染物综合排放标准》（GB16297-1996）中要求的</w:t>
            </w:r>
            <w:r>
              <w:rPr>
                <w:rFonts w:hint="eastAsia"/>
                <w:bCs/>
                <w:color w:val="auto"/>
              </w:rPr>
              <w:t>“排气筒</w:t>
            </w:r>
            <w:r>
              <w:rPr>
                <w:bCs/>
                <w:color w:val="auto"/>
              </w:rPr>
              <w:t>高度高出周围半径200m范围内的建筑物</w:t>
            </w:r>
            <w:r>
              <w:rPr>
                <w:rFonts w:hint="eastAsia"/>
                <w:bCs/>
                <w:color w:val="auto"/>
              </w:rPr>
              <w:t>5m以上”</w:t>
            </w:r>
            <w:r>
              <w:rPr>
                <w:bCs/>
                <w:color w:val="auto"/>
              </w:rPr>
              <w:t>，本项目周围半径200m范围内</w:t>
            </w:r>
            <w:r>
              <w:rPr>
                <w:rFonts w:hint="eastAsia"/>
                <w:bCs/>
                <w:color w:val="auto"/>
              </w:rPr>
              <w:t>最高</w:t>
            </w:r>
            <w:r>
              <w:rPr>
                <w:bCs/>
                <w:color w:val="auto"/>
              </w:rPr>
              <w:t>建筑物为</w:t>
            </w:r>
            <w:r>
              <w:rPr>
                <w:rFonts w:hint="eastAsia"/>
                <w:bCs/>
                <w:color w:val="auto"/>
              </w:rPr>
              <w:t>7m，本项目排气筒高度为15m，高于</w:t>
            </w:r>
            <w:r>
              <w:rPr>
                <w:bCs/>
                <w:color w:val="auto"/>
              </w:rPr>
              <w:t>周围半径200m范围内的建筑物</w:t>
            </w:r>
            <w:r>
              <w:rPr>
                <w:rFonts w:hint="eastAsia"/>
                <w:bCs/>
                <w:color w:val="auto"/>
              </w:rPr>
              <w:t>5m以上。因此，本项目沥青搅拌排气筒（DA003）设置合理。</w:t>
            </w:r>
          </w:p>
          <w:p w14:paraId="74300ABD">
            <w:pPr>
              <w:pStyle w:val="65"/>
              <w:rPr>
                <w:rFonts w:hint="eastAsia"/>
                <w:bCs/>
                <w:color w:val="auto"/>
              </w:rPr>
            </w:pPr>
            <w:r>
              <w:rPr>
                <w:rFonts w:hint="eastAsia"/>
                <w:bCs/>
                <w:color w:val="auto"/>
              </w:rPr>
              <w:t>无组织采取洒水降尘满足无组织排放控制要求，根据《扬尘源颗粒物排放清单编制技术指南（试行）》，堆场风蚀TSP洒水控制效率为52%，堆场操作（集堆产装参照堆场操作）TSP洒水控制效率为74%；上料过程参照《逸散性工业粉尘控制技术》原料卸料水喷雾洒水抑尘效率为50%，因此本项目铲装集堆、装卸采取洒水降尘技术可行</w:t>
            </w:r>
          </w:p>
          <w:p w14:paraId="2F9DF755">
            <w:pPr>
              <w:spacing w:line="360" w:lineRule="auto"/>
              <w:ind w:firstLine="482" w:firstLineChars="200"/>
              <w:contextualSpacing/>
              <w:rPr>
                <w:rFonts w:hint="default" w:eastAsia="宋体"/>
                <w:b/>
                <w:bCs/>
                <w:color w:val="auto"/>
                <w:sz w:val="24"/>
                <w:lang w:val="en-US" w:eastAsia="zh-CN"/>
              </w:rPr>
            </w:pPr>
            <w:r>
              <w:rPr>
                <w:rFonts w:hint="eastAsia"/>
                <w:b/>
                <w:bCs/>
                <w:color w:val="auto"/>
                <w:sz w:val="24"/>
                <w:lang w:val="en-US" w:eastAsia="zh-CN"/>
              </w:rPr>
              <w:t>3、达标分析：</w:t>
            </w:r>
          </w:p>
          <w:p w14:paraId="04528B14">
            <w:pPr>
              <w:spacing w:line="360" w:lineRule="auto"/>
              <w:ind w:firstLine="480" w:firstLineChars="200"/>
              <w:contextualSpacing/>
              <w:jc w:val="left"/>
              <w:rPr>
                <w:bCs/>
                <w:color w:val="auto"/>
                <w:sz w:val="24"/>
              </w:rPr>
            </w:pPr>
            <w:r>
              <w:rPr>
                <w:color w:val="auto"/>
                <w:sz w:val="24"/>
              </w:rPr>
              <w:t>（1）</w:t>
            </w:r>
            <w:r>
              <w:rPr>
                <w:bCs/>
                <w:color w:val="auto"/>
                <w:sz w:val="24"/>
              </w:rPr>
              <w:t>碎石加热粉尘、筛分粉尘、热料仓落料粉尘、</w:t>
            </w:r>
            <w:r>
              <w:rPr>
                <w:rFonts w:hint="eastAsia"/>
                <w:bCs/>
                <w:color w:val="auto"/>
                <w:sz w:val="24"/>
              </w:rPr>
              <w:t>矿粉筒仓装卸粉尘、28MW</w:t>
            </w:r>
            <w:r>
              <w:rPr>
                <w:bCs/>
                <w:color w:val="auto"/>
                <w:sz w:val="24"/>
              </w:rPr>
              <w:t>燃</w:t>
            </w:r>
            <w:r>
              <w:rPr>
                <w:rFonts w:hint="eastAsia"/>
                <w:bCs/>
                <w:color w:val="auto"/>
                <w:sz w:val="24"/>
              </w:rPr>
              <w:t>天然气</w:t>
            </w:r>
            <w:r>
              <w:rPr>
                <w:bCs/>
                <w:color w:val="auto"/>
                <w:sz w:val="24"/>
              </w:rPr>
              <w:t>燃烧器烟气、</w:t>
            </w:r>
            <w:r>
              <w:rPr>
                <w:rFonts w:hint="eastAsia"/>
                <w:bCs/>
                <w:color w:val="auto"/>
                <w:sz w:val="24"/>
              </w:rPr>
              <w:t>冷料仓上料粉尘</w:t>
            </w:r>
          </w:p>
          <w:p w14:paraId="159D6A9D">
            <w:pPr>
              <w:spacing w:line="360" w:lineRule="auto"/>
              <w:ind w:firstLine="480" w:firstLineChars="200"/>
              <w:contextualSpacing/>
              <w:jc w:val="left"/>
              <w:rPr>
                <w:color w:val="auto"/>
                <w:sz w:val="24"/>
              </w:rPr>
            </w:pPr>
            <w:r>
              <w:rPr>
                <w:rFonts w:hint="eastAsia"/>
                <w:color w:val="auto"/>
                <w:sz w:val="24"/>
              </w:rPr>
              <w:t>本项目碎石筛分、烘干废气、热料仓落料废气、矿粉筒仓装卸废气、冷料仓上料废气、28MW燃天然气燃烧器烟气经除尘系统（重力+布袋）处理后，由15m高除尘系统烟囱（DA001）排放，除尘效率为99%；</w:t>
            </w:r>
            <w:r>
              <w:rPr>
                <w:color w:val="auto"/>
                <w:sz w:val="24"/>
              </w:rPr>
              <w:t>颗粒物排放浓度</w:t>
            </w:r>
            <w:r>
              <w:rPr>
                <w:rFonts w:hint="eastAsia"/>
                <w:color w:val="auto"/>
                <w:sz w:val="24"/>
                <w:lang w:val="en-US" w:eastAsia="zh-CN"/>
              </w:rPr>
              <w:t>43.07</w:t>
            </w:r>
            <w:r>
              <w:rPr>
                <w:color w:val="auto"/>
                <w:sz w:val="24"/>
              </w:rPr>
              <w:t>mg/m</w:t>
            </w:r>
            <w:r>
              <w:rPr>
                <w:color w:val="auto"/>
                <w:sz w:val="24"/>
                <w:vertAlign w:val="superscript"/>
              </w:rPr>
              <w:t>3</w:t>
            </w:r>
            <w:r>
              <w:rPr>
                <w:color w:val="auto"/>
                <w:sz w:val="24"/>
              </w:rPr>
              <w:t>，排放</w:t>
            </w:r>
            <w:r>
              <w:rPr>
                <w:rFonts w:hint="eastAsia"/>
                <w:color w:val="auto"/>
                <w:sz w:val="24"/>
              </w:rPr>
              <w:t>速率</w:t>
            </w:r>
            <w:r>
              <w:rPr>
                <w:color w:val="auto"/>
                <w:sz w:val="24"/>
              </w:rPr>
              <w:t>为</w:t>
            </w:r>
            <w:r>
              <w:rPr>
                <w:rFonts w:hint="eastAsia"/>
                <w:color w:val="auto"/>
                <w:sz w:val="24"/>
                <w:lang w:val="en-US" w:eastAsia="zh-CN"/>
              </w:rPr>
              <w:t>1.68</w:t>
            </w:r>
            <w:r>
              <w:rPr>
                <w:rFonts w:hint="eastAsia"/>
                <w:color w:val="auto"/>
                <w:sz w:val="24"/>
              </w:rPr>
              <w:t>kg</w:t>
            </w:r>
            <w:r>
              <w:rPr>
                <w:color w:val="auto"/>
                <w:sz w:val="24"/>
              </w:rPr>
              <w:t>/</w:t>
            </w:r>
            <w:r>
              <w:rPr>
                <w:rFonts w:hint="eastAsia"/>
                <w:color w:val="auto"/>
                <w:sz w:val="24"/>
              </w:rPr>
              <w:t>h</w:t>
            </w:r>
            <w:r>
              <w:rPr>
                <w:color w:val="auto"/>
                <w:sz w:val="24"/>
              </w:rPr>
              <w:t>；</w:t>
            </w:r>
            <w:r>
              <w:rPr>
                <w:color w:val="auto"/>
                <w:sz w:val="24"/>
              </w:rPr>
              <w:t>SO</w:t>
            </w:r>
            <w:r>
              <w:rPr>
                <w:color w:val="auto"/>
                <w:sz w:val="24"/>
                <w:vertAlign w:val="subscript"/>
              </w:rPr>
              <w:t>2</w:t>
            </w:r>
            <w:r>
              <w:rPr>
                <w:color w:val="auto"/>
                <w:sz w:val="24"/>
              </w:rPr>
              <w:t>排放浓度</w:t>
            </w:r>
            <w:r>
              <w:rPr>
                <w:rFonts w:hint="eastAsia"/>
                <w:color w:val="auto"/>
                <w:sz w:val="24"/>
              </w:rPr>
              <w:t>0.3</w:t>
            </w:r>
            <w:r>
              <w:rPr>
                <w:rFonts w:hint="eastAsia"/>
                <w:color w:val="auto"/>
                <w:sz w:val="24"/>
                <w:lang w:val="en-US" w:eastAsia="zh-CN"/>
              </w:rPr>
              <w:t>4</w:t>
            </w:r>
            <w:r>
              <w:rPr>
                <w:color w:val="auto"/>
                <w:sz w:val="24"/>
              </w:rPr>
              <w:t>mg/m</w:t>
            </w:r>
            <w:r>
              <w:rPr>
                <w:color w:val="auto"/>
                <w:sz w:val="24"/>
                <w:vertAlign w:val="superscript"/>
              </w:rPr>
              <w:t>3</w:t>
            </w:r>
            <w:r>
              <w:rPr>
                <w:color w:val="auto"/>
                <w:sz w:val="24"/>
              </w:rPr>
              <w:t>，排放</w:t>
            </w:r>
            <w:r>
              <w:rPr>
                <w:rFonts w:hint="eastAsia"/>
                <w:color w:val="auto"/>
                <w:sz w:val="24"/>
              </w:rPr>
              <w:t>速率</w:t>
            </w:r>
            <w:r>
              <w:rPr>
                <w:color w:val="auto"/>
                <w:sz w:val="24"/>
              </w:rPr>
              <w:t>为</w:t>
            </w:r>
            <w:r>
              <w:rPr>
                <w:rFonts w:hint="eastAsia"/>
                <w:color w:val="auto"/>
                <w:sz w:val="24"/>
              </w:rPr>
              <w:t>0.005kg</w:t>
            </w:r>
            <w:r>
              <w:rPr>
                <w:color w:val="auto"/>
                <w:sz w:val="24"/>
              </w:rPr>
              <w:t>/</w:t>
            </w:r>
            <w:r>
              <w:rPr>
                <w:rFonts w:hint="eastAsia"/>
                <w:color w:val="auto"/>
                <w:sz w:val="24"/>
              </w:rPr>
              <w:t>h</w:t>
            </w:r>
            <w:r>
              <w:rPr>
                <w:color w:val="auto"/>
                <w:sz w:val="24"/>
              </w:rPr>
              <w:t>；NO</w:t>
            </w:r>
            <w:r>
              <w:rPr>
                <w:color w:val="auto"/>
                <w:sz w:val="24"/>
                <w:vertAlign w:val="subscript"/>
              </w:rPr>
              <w:t>X</w:t>
            </w:r>
            <w:r>
              <w:rPr>
                <w:color w:val="auto"/>
                <w:sz w:val="24"/>
              </w:rPr>
              <w:t>排放浓度</w:t>
            </w:r>
            <w:r>
              <w:rPr>
                <w:rFonts w:hint="eastAsia"/>
                <w:color w:val="auto"/>
                <w:sz w:val="24"/>
              </w:rPr>
              <w:t>80.00</w:t>
            </w:r>
            <w:r>
              <w:rPr>
                <w:color w:val="auto"/>
                <w:sz w:val="24"/>
              </w:rPr>
              <w:t>mg/m</w:t>
            </w:r>
            <w:r>
              <w:rPr>
                <w:color w:val="auto"/>
                <w:sz w:val="24"/>
                <w:vertAlign w:val="superscript"/>
              </w:rPr>
              <w:t>3</w:t>
            </w:r>
            <w:r>
              <w:rPr>
                <w:color w:val="auto"/>
                <w:sz w:val="24"/>
              </w:rPr>
              <w:t>，排放</w:t>
            </w:r>
            <w:r>
              <w:rPr>
                <w:rFonts w:hint="eastAsia"/>
                <w:color w:val="auto"/>
                <w:sz w:val="24"/>
              </w:rPr>
              <w:t>速率</w:t>
            </w:r>
            <w:r>
              <w:rPr>
                <w:color w:val="auto"/>
                <w:sz w:val="24"/>
              </w:rPr>
              <w:t>为</w:t>
            </w:r>
            <w:r>
              <w:rPr>
                <w:rFonts w:hint="eastAsia"/>
                <w:color w:val="auto"/>
                <w:sz w:val="24"/>
              </w:rPr>
              <w:t>1.12kg</w:t>
            </w:r>
            <w:r>
              <w:rPr>
                <w:color w:val="auto"/>
                <w:sz w:val="24"/>
              </w:rPr>
              <w:t>/</w:t>
            </w:r>
            <w:r>
              <w:rPr>
                <w:rFonts w:hint="eastAsia"/>
                <w:color w:val="auto"/>
                <w:sz w:val="24"/>
              </w:rPr>
              <w:t>h</w:t>
            </w:r>
            <w:r>
              <w:rPr>
                <w:color w:val="auto"/>
                <w:sz w:val="24"/>
              </w:rPr>
              <w:t>；满足《大气污染物综合排放标准》（GB16297-1996）表2中排放标准限值。</w:t>
            </w:r>
          </w:p>
          <w:p w14:paraId="7EF096F9">
            <w:pPr>
              <w:spacing w:line="360" w:lineRule="auto"/>
              <w:ind w:firstLine="480" w:firstLineChars="200"/>
              <w:contextualSpacing/>
              <w:jc w:val="left"/>
              <w:rPr>
                <w:color w:val="auto"/>
                <w:sz w:val="24"/>
              </w:rPr>
            </w:pPr>
            <w:r>
              <w:rPr>
                <w:color w:val="auto"/>
                <w:sz w:val="24"/>
              </w:rPr>
              <w:t>（2）加热沥青导热油炉烟气</w:t>
            </w:r>
          </w:p>
          <w:p w14:paraId="76ECF2C7">
            <w:pPr>
              <w:spacing w:line="360" w:lineRule="auto"/>
              <w:ind w:firstLine="480" w:firstLineChars="200"/>
              <w:contextualSpacing/>
              <w:jc w:val="left"/>
              <w:rPr>
                <w:color w:val="auto"/>
                <w:sz w:val="24"/>
              </w:rPr>
            </w:pPr>
            <w:r>
              <w:rPr>
                <w:color w:val="auto"/>
                <w:sz w:val="24"/>
              </w:rPr>
              <w:t>本项目加热沥青热源由</w:t>
            </w:r>
            <w:r>
              <w:rPr>
                <w:rFonts w:hint="eastAsia"/>
                <w:color w:val="auto"/>
                <w:sz w:val="24"/>
              </w:rPr>
              <w:t>1</w:t>
            </w:r>
            <w:r>
              <w:rPr>
                <w:rFonts w:hint="eastAsia"/>
                <w:color w:val="auto"/>
                <w:sz w:val="24"/>
              </w:rPr>
              <w:t>台</w:t>
            </w:r>
            <w:r>
              <w:rPr>
                <w:rFonts w:hint="eastAsia"/>
                <w:color w:val="auto"/>
                <w:sz w:val="24"/>
                <w:lang w:val="en-US" w:eastAsia="zh-CN"/>
              </w:rPr>
              <w:t>1.5t</w:t>
            </w:r>
            <w:r>
              <w:rPr>
                <w:rFonts w:hint="eastAsia"/>
                <w:color w:val="auto"/>
                <w:sz w:val="24"/>
              </w:rPr>
              <w:t>燃天然气导热油炉</w:t>
            </w:r>
            <w:r>
              <w:rPr>
                <w:color w:val="auto"/>
                <w:sz w:val="24"/>
              </w:rPr>
              <w:t>提供，</w:t>
            </w:r>
            <w:r>
              <w:rPr>
                <w:rFonts w:hint="eastAsia"/>
                <w:color w:val="auto"/>
                <w:sz w:val="24"/>
              </w:rPr>
              <w:t>导热油炉烟气经低氮燃烧处理后（除氮效率30%），</w:t>
            </w:r>
            <w:r>
              <w:rPr>
                <w:rFonts w:hint="eastAsia"/>
                <w:color w:val="auto"/>
                <w:sz w:val="24"/>
              </w:rPr>
              <w:t>由1根15m高排气筒（DA002）排放</w:t>
            </w:r>
            <w:r>
              <w:rPr>
                <w:color w:val="auto"/>
                <w:sz w:val="24"/>
              </w:rPr>
              <w:t>。颗粒物排放浓度</w:t>
            </w:r>
            <w:r>
              <w:rPr>
                <w:rFonts w:hint="eastAsia"/>
                <w:color w:val="auto"/>
                <w:sz w:val="24"/>
              </w:rPr>
              <w:t>16.</w:t>
            </w:r>
            <w:r>
              <w:rPr>
                <w:rFonts w:hint="eastAsia"/>
                <w:color w:val="auto"/>
                <w:sz w:val="24"/>
                <w:lang w:val="en-US" w:eastAsia="zh-CN"/>
              </w:rPr>
              <w:t>2</w:t>
            </w:r>
            <w:r>
              <w:rPr>
                <w:color w:val="auto"/>
                <w:sz w:val="24"/>
              </w:rPr>
              <w:t>mg/m</w:t>
            </w:r>
            <w:r>
              <w:rPr>
                <w:color w:val="auto"/>
                <w:sz w:val="24"/>
                <w:vertAlign w:val="superscript"/>
              </w:rPr>
              <w:t>3</w:t>
            </w:r>
            <w:r>
              <w:rPr>
                <w:color w:val="auto"/>
                <w:sz w:val="24"/>
              </w:rPr>
              <w:t>，排放</w:t>
            </w:r>
            <w:r>
              <w:rPr>
                <w:rFonts w:hint="eastAsia"/>
                <w:color w:val="auto"/>
                <w:sz w:val="24"/>
              </w:rPr>
              <w:t>速率</w:t>
            </w:r>
            <w:r>
              <w:rPr>
                <w:color w:val="auto"/>
                <w:sz w:val="24"/>
              </w:rPr>
              <w:t>为</w:t>
            </w:r>
            <w:r>
              <w:rPr>
                <w:rFonts w:hint="eastAsia"/>
                <w:color w:val="auto"/>
                <w:sz w:val="24"/>
              </w:rPr>
              <w:t>0.0</w:t>
            </w:r>
            <w:r>
              <w:rPr>
                <w:rFonts w:hint="eastAsia"/>
                <w:color w:val="auto"/>
                <w:sz w:val="24"/>
                <w:lang w:val="en-US" w:eastAsia="zh-CN"/>
              </w:rPr>
              <w:t>19</w:t>
            </w:r>
            <w:r>
              <w:rPr>
                <w:rFonts w:hint="eastAsia"/>
                <w:color w:val="auto"/>
                <w:sz w:val="24"/>
              </w:rPr>
              <w:t>kg</w:t>
            </w:r>
            <w:r>
              <w:rPr>
                <w:color w:val="auto"/>
                <w:sz w:val="24"/>
              </w:rPr>
              <w:t>/</w:t>
            </w:r>
            <w:r>
              <w:rPr>
                <w:rFonts w:hint="eastAsia"/>
                <w:color w:val="auto"/>
                <w:sz w:val="24"/>
              </w:rPr>
              <w:t>h</w:t>
            </w:r>
            <w:r>
              <w:rPr>
                <w:color w:val="auto"/>
                <w:sz w:val="24"/>
              </w:rPr>
              <w:t>；SO</w:t>
            </w:r>
            <w:r>
              <w:rPr>
                <w:color w:val="auto"/>
                <w:sz w:val="24"/>
                <w:vertAlign w:val="subscript"/>
              </w:rPr>
              <w:t>2</w:t>
            </w:r>
            <w:r>
              <w:rPr>
                <w:color w:val="auto"/>
                <w:sz w:val="24"/>
              </w:rPr>
              <w:t>排放浓度</w:t>
            </w:r>
            <w:r>
              <w:rPr>
                <w:rFonts w:hint="eastAsia"/>
                <w:color w:val="auto"/>
                <w:sz w:val="24"/>
              </w:rPr>
              <w:t>0.2</w:t>
            </w:r>
            <w:r>
              <w:rPr>
                <w:rFonts w:hint="eastAsia"/>
                <w:color w:val="auto"/>
                <w:sz w:val="24"/>
                <w:lang w:val="en-US" w:eastAsia="zh-CN"/>
              </w:rPr>
              <w:t>5</w:t>
            </w:r>
            <w:r>
              <w:rPr>
                <w:color w:val="auto"/>
                <w:sz w:val="24"/>
              </w:rPr>
              <w:t>mg/m</w:t>
            </w:r>
            <w:r>
              <w:rPr>
                <w:color w:val="auto"/>
                <w:sz w:val="24"/>
                <w:vertAlign w:val="superscript"/>
              </w:rPr>
              <w:t>3</w:t>
            </w:r>
            <w:r>
              <w:rPr>
                <w:color w:val="auto"/>
                <w:sz w:val="24"/>
              </w:rPr>
              <w:t>，排放</w:t>
            </w:r>
            <w:r>
              <w:rPr>
                <w:rFonts w:hint="eastAsia"/>
                <w:color w:val="auto"/>
                <w:sz w:val="24"/>
              </w:rPr>
              <w:t>速率</w:t>
            </w:r>
            <w:r>
              <w:rPr>
                <w:color w:val="auto"/>
                <w:sz w:val="24"/>
              </w:rPr>
              <w:t>为</w:t>
            </w:r>
            <w:r>
              <w:rPr>
                <w:rFonts w:hint="eastAsia"/>
                <w:color w:val="auto"/>
                <w:sz w:val="24"/>
              </w:rPr>
              <w:t>0.000</w:t>
            </w:r>
            <w:r>
              <w:rPr>
                <w:rFonts w:hint="eastAsia"/>
                <w:color w:val="auto"/>
                <w:sz w:val="24"/>
                <w:lang w:val="en-US" w:eastAsia="zh-CN"/>
              </w:rPr>
              <w:t>3</w:t>
            </w:r>
            <w:r>
              <w:rPr>
                <w:rFonts w:hint="eastAsia"/>
                <w:color w:val="auto"/>
                <w:sz w:val="24"/>
              </w:rPr>
              <w:t>kg</w:t>
            </w:r>
            <w:r>
              <w:rPr>
                <w:color w:val="auto"/>
                <w:sz w:val="24"/>
              </w:rPr>
              <w:t>/</w:t>
            </w:r>
            <w:r>
              <w:rPr>
                <w:rFonts w:hint="eastAsia"/>
                <w:color w:val="auto"/>
                <w:sz w:val="24"/>
              </w:rPr>
              <w:t>h</w:t>
            </w:r>
            <w:r>
              <w:rPr>
                <w:color w:val="auto"/>
                <w:sz w:val="24"/>
              </w:rPr>
              <w:t>；NO</w:t>
            </w:r>
            <w:r>
              <w:rPr>
                <w:color w:val="auto"/>
                <w:sz w:val="24"/>
                <w:vertAlign w:val="subscript"/>
              </w:rPr>
              <w:t>X</w:t>
            </w:r>
            <w:r>
              <w:rPr>
                <w:color w:val="auto"/>
                <w:sz w:val="24"/>
              </w:rPr>
              <w:t>排放浓度</w:t>
            </w:r>
            <w:r>
              <w:rPr>
                <w:rFonts w:hint="eastAsia"/>
                <w:color w:val="auto"/>
                <w:sz w:val="24"/>
              </w:rPr>
              <w:t>139.3</w:t>
            </w:r>
            <w:r>
              <w:rPr>
                <w:color w:val="auto"/>
                <w:sz w:val="24"/>
              </w:rPr>
              <w:t>mg/m</w:t>
            </w:r>
            <w:r>
              <w:rPr>
                <w:color w:val="auto"/>
                <w:sz w:val="24"/>
                <w:vertAlign w:val="superscript"/>
              </w:rPr>
              <w:t>3</w:t>
            </w:r>
            <w:r>
              <w:rPr>
                <w:color w:val="auto"/>
                <w:sz w:val="24"/>
              </w:rPr>
              <w:t>，排放</w:t>
            </w:r>
            <w:r>
              <w:rPr>
                <w:rFonts w:hint="eastAsia"/>
                <w:color w:val="auto"/>
                <w:sz w:val="24"/>
              </w:rPr>
              <w:t>速率</w:t>
            </w:r>
            <w:r>
              <w:rPr>
                <w:color w:val="auto"/>
                <w:sz w:val="24"/>
              </w:rPr>
              <w:t>为</w:t>
            </w:r>
            <w:r>
              <w:rPr>
                <w:rFonts w:hint="eastAsia"/>
                <w:color w:val="auto"/>
                <w:sz w:val="24"/>
              </w:rPr>
              <w:t>0.</w:t>
            </w:r>
            <w:r>
              <w:rPr>
                <w:rFonts w:hint="eastAsia"/>
                <w:color w:val="auto"/>
                <w:sz w:val="24"/>
                <w:lang w:val="en-US" w:eastAsia="zh-CN"/>
              </w:rPr>
              <w:t>16</w:t>
            </w:r>
            <w:r>
              <w:rPr>
                <w:rFonts w:hint="eastAsia"/>
                <w:color w:val="auto"/>
                <w:sz w:val="24"/>
              </w:rPr>
              <w:t>kg</w:t>
            </w:r>
            <w:r>
              <w:rPr>
                <w:color w:val="auto"/>
                <w:sz w:val="24"/>
              </w:rPr>
              <w:t>/</w:t>
            </w:r>
            <w:r>
              <w:rPr>
                <w:rFonts w:hint="eastAsia"/>
                <w:color w:val="auto"/>
                <w:sz w:val="24"/>
              </w:rPr>
              <w:t>h</w:t>
            </w:r>
            <w:r>
              <w:rPr>
                <w:color w:val="auto"/>
                <w:sz w:val="24"/>
              </w:rPr>
              <w:t>；</w:t>
            </w:r>
            <w:r>
              <w:rPr>
                <w:rFonts w:hint="eastAsia"/>
                <w:color w:val="auto"/>
                <w:sz w:val="24"/>
              </w:rPr>
              <w:t>烟气黑度＜1；</w:t>
            </w:r>
            <w:r>
              <w:rPr>
                <w:color w:val="auto"/>
                <w:sz w:val="24"/>
              </w:rPr>
              <w:t>颗粒物、二氧化硫、氮氧化物及烟气黑度均满足《锅炉大气污染物排放标准》（GB13271-2014）表</w:t>
            </w:r>
            <w:r>
              <w:rPr>
                <w:rFonts w:hint="eastAsia"/>
                <w:color w:val="auto"/>
                <w:sz w:val="24"/>
              </w:rPr>
              <w:t>2</w:t>
            </w:r>
            <w:r>
              <w:rPr>
                <w:color w:val="auto"/>
                <w:sz w:val="24"/>
              </w:rPr>
              <w:t>燃</w:t>
            </w:r>
            <w:r>
              <w:rPr>
                <w:rFonts w:hint="eastAsia"/>
                <w:color w:val="auto"/>
                <w:sz w:val="24"/>
              </w:rPr>
              <w:t>气</w:t>
            </w:r>
            <w:r>
              <w:rPr>
                <w:color w:val="auto"/>
                <w:sz w:val="24"/>
              </w:rPr>
              <w:t>锅炉大气污染物排放限值标准。</w:t>
            </w:r>
          </w:p>
          <w:p w14:paraId="7E6EB560">
            <w:pPr>
              <w:spacing w:line="360" w:lineRule="auto"/>
              <w:ind w:firstLine="480" w:firstLineChars="200"/>
              <w:contextualSpacing/>
              <w:jc w:val="left"/>
              <w:rPr>
                <w:bCs/>
                <w:color w:val="auto"/>
                <w:sz w:val="24"/>
              </w:rPr>
            </w:pPr>
            <w:r>
              <w:rPr>
                <w:color w:val="auto"/>
                <w:sz w:val="24"/>
              </w:rPr>
              <w:t>（3）</w:t>
            </w:r>
            <w:r>
              <w:rPr>
                <w:bCs/>
                <w:color w:val="auto"/>
                <w:sz w:val="24"/>
              </w:rPr>
              <w:t>沥青烟气</w:t>
            </w:r>
          </w:p>
          <w:p w14:paraId="74FBFB59">
            <w:pPr>
              <w:pStyle w:val="26"/>
              <w:spacing w:after="0" w:line="360" w:lineRule="auto"/>
              <w:ind w:left="0" w:leftChars="0" w:firstLine="480"/>
              <w:rPr>
                <w:color w:val="auto"/>
                <w:sz w:val="24"/>
              </w:rPr>
            </w:pPr>
            <w:r>
              <w:rPr>
                <w:bCs/>
                <w:color w:val="auto"/>
                <w:sz w:val="24"/>
              </w:rPr>
              <w:t>本项目在沥青混凝土拌和、沥青储罐处会产生沥青烟气、苯并[a]芘和</w:t>
            </w:r>
            <w:r>
              <w:rPr>
                <w:color w:val="auto"/>
                <w:sz w:val="24"/>
              </w:rPr>
              <w:t>非甲烷总烃</w:t>
            </w:r>
            <w:r>
              <w:rPr>
                <w:bCs/>
                <w:color w:val="auto"/>
                <w:sz w:val="24"/>
              </w:rPr>
              <w:t>，本项目搅拌机出料口处进行局部封闭，</w:t>
            </w:r>
            <w:r>
              <w:rPr>
                <w:color w:val="auto"/>
                <w:sz w:val="24"/>
              </w:rPr>
              <w:t>沥青在密闭储罐中储存过程中产生的烟气以及出料产生的烟气</w:t>
            </w:r>
            <w:r>
              <w:rPr>
                <w:bCs/>
                <w:color w:val="auto"/>
                <w:sz w:val="24"/>
              </w:rPr>
              <w:t>采用负压集气装置（收集效率9</w:t>
            </w:r>
            <w:r>
              <w:rPr>
                <w:rFonts w:hint="eastAsia"/>
                <w:bCs/>
                <w:color w:val="auto"/>
                <w:sz w:val="24"/>
              </w:rPr>
              <w:t>5</w:t>
            </w:r>
            <w:r>
              <w:rPr>
                <w:bCs/>
                <w:color w:val="auto"/>
                <w:sz w:val="24"/>
              </w:rPr>
              <w:t>%）后经</w:t>
            </w:r>
            <w:r>
              <w:rPr>
                <w:rFonts w:hint="eastAsia"/>
                <w:color w:val="auto"/>
                <w:sz w:val="24"/>
              </w:rPr>
              <w:t>气浮旋流塔+三维一体化废气处理设备（由电离子+光催化+高碘值碳吸附组成）（处理效率95%）处理后，经15m高沥青搅拌排气筒（DA003）排放。</w:t>
            </w:r>
            <w:r>
              <w:rPr>
                <w:color w:val="auto"/>
                <w:sz w:val="24"/>
              </w:rPr>
              <w:t>风机风量为</w:t>
            </w:r>
            <w:r>
              <w:rPr>
                <w:rFonts w:hint="eastAsia"/>
                <w:color w:val="auto"/>
                <w:sz w:val="24"/>
              </w:rPr>
              <w:t>40000</w:t>
            </w:r>
            <w:r>
              <w:rPr>
                <w:color w:val="auto"/>
                <w:sz w:val="24"/>
              </w:rPr>
              <w:t>m</w:t>
            </w:r>
            <w:r>
              <w:rPr>
                <w:color w:val="auto"/>
                <w:sz w:val="24"/>
                <w:vertAlign w:val="superscript"/>
              </w:rPr>
              <w:t>3</w:t>
            </w:r>
            <w:r>
              <w:rPr>
                <w:color w:val="auto"/>
                <w:sz w:val="24"/>
              </w:rPr>
              <w:t>/h，沥青烟</w:t>
            </w:r>
            <w:r>
              <w:rPr>
                <w:rFonts w:hint="eastAsia"/>
                <w:color w:val="auto"/>
                <w:sz w:val="24"/>
              </w:rPr>
              <w:t>排放</w:t>
            </w:r>
            <w:r>
              <w:rPr>
                <w:color w:val="auto"/>
                <w:sz w:val="24"/>
              </w:rPr>
              <w:t>速率为</w:t>
            </w:r>
            <w:r>
              <w:rPr>
                <w:rFonts w:hint="eastAsia"/>
                <w:color w:val="auto"/>
                <w:sz w:val="24"/>
              </w:rPr>
              <w:t>0.0</w:t>
            </w:r>
            <w:r>
              <w:rPr>
                <w:rFonts w:hint="eastAsia"/>
                <w:color w:val="auto"/>
                <w:sz w:val="24"/>
                <w:lang w:val="en-US" w:eastAsia="zh-CN"/>
              </w:rPr>
              <w:t>6</w:t>
            </w:r>
            <w:r>
              <w:rPr>
                <w:rFonts w:hint="eastAsia"/>
                <w:color w:val="auto"/>
                <w:sz w:val="24"/>
              </w:rPr>
              <w:t>4</w:t>
            </w:r>
            <w:r>
              <w:rPr>
                <w:color w:val="auto"/>
                <w:sz w:val="24"/>
              </w:rPr>
              <w:t>kg/h，</w:t>
            </w:r>
            <w:r>
              <w:rPr>
                <w:rFonts w:hint="eastAsia"/>
                <w:color w:val="auto"/>
                <w:sz w:val="24"/>
              </w:rPr>
              <w:t>排放</w:t>
            </w:r>
            <w:r>
              <w:rPr>
                <w:color w:val="auto"/>
                <w:sz w:val="24"/>
              </w:rPr>
              <w:t>浓度为</w:t>
            </w:r>
            <w:r>
              <w:rPr>
                <w:rFonts w:hint="eastAsia"/>
                <w:color w:val="auto"/>
                <w:sz w:val="24"/>
              </w:rPr>
              <w:t>1.</w:t>
            </w:r>
            <w:r>
              <w:rPr>
                <w:rFonts w:hint="eastAsia"/>
                <w:color w:val="auto"/>
                <w:sz w:val="24"/>
                <w:lang w:val="en-US" w:eastAsia="zh-CN"/>
              </w:rPr>
              <w:t>6</w:t>
            </w:r>
            <w:r>
              <w:rPr>
                <w:color w:val="auto"/>
                <w:sz w:val="24"/>
              </w:rPr>
              <w:t>mg/m</w:t>
            </w:r>
            <w:r>
              <w:rPr>
                <w:color w:val="auto"/>
                <w:sz w:val="24"/>
                <w:vertAlign w:val="superscript"/>
              </w:rPr>
              <w:t>3</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芘排放速率为</w:t>
            </w:r>
            <w:r>
              <w:rPr>
                <w:rFonts w:hint="eastAsia"/>
                <w:color w:val="auto"/>
                <w:sz w:val="24"/>
                <w:lang w:val="en-US" w:eastAsia="zh-CN"/>
              </w:rPr>
              <w:t>1.28</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5</w:t>
            </w:r>
            <w:r>
              <w:rPr>
                <w:color w:val="auto"/>
                <w:sz w:val="24"/>
              </w:rPr>
              <w:t>kg/h</w:t>
            </w:r>
            <w:r>
              <w:rPr>
                <w:rFonts w:hint="eastAsia" w:ascii="宋体" w:hAnsi="宋体" w:cs="宋体"/>
                <w:color w:val="auto"/>
                <w:sz w:val="24"/>
              </w:rPr>
              <w:t>，排放浓度为</w:t>
            </w:r>
            <w:r>
              <w:rPr>
                <w:rFonts w:hint="eastAsia"/>
                <w:color w:val="auto"/>
                <w:sz w:val="24"/>
              </w:rPr>
              <w:t>0.000</w:t>
            </w:r>
            <w:r>
              <w:rPr>
                <w:rFonts w:hint="eastAsia"/>
                <w:color w:val="auto"/>
                <w:sz w:val="24"/>
                <w:lang w:val="en-US" w:eastAsia="zh-CN"/>
              </w:rPr>
              <w:t>32</w:t>
            </w:r>
            <w:r>
              <w:rPr>
                <w:color w:val="auto"/>
                <w:sz w:val="24"/>
              </w:rPr>
              <w:t>mg/m</w:t>
            </w:r>
            <w:r>
              <w:rPr>
                <w:color w:val="auto"/>
                <w:sz w:val="24"/>
                <w:vertAlign w:val="superscript"/>
              </w:rPr>
              <w:t>3</w:t>
            </w:r>
            <w:r>
              <w:rPr>
                <w:color w:val="auto"/>
                <w:sz w:val="24"/>
              </w:rPr>
              <w:t>；非甲烷总烃</w:t>
            </w:r>
            <w:r>
              <w:rPr>
                <w:rFonts w:hint="eastAsia" w:ascii="宋体" w:hAnsi="宋体" w:cs="宋体"/>
                <w:color w:val="auto"/>
                <w:sz w:val="24"/>
              </w:rPr>
              <w:t>排放速率为</w:t>
            </w:r>
            <w:r>
              <w:rPr>
                <w:rFonts w:hint="eastAsia"/>
                <w:color w:val="auto"/>
                <w:sz w:val="24"/>
              </w:rPr>
              <w:t>0.003</w:t>
            </w:r>
            <w:r>
              <w:rPr>
                <w:rFonts w:hint="eastAsia"/>
                <w:color w:val="auto"/>
                <w:sz w:val="24"/>
                <w:lang w:val="en-US" w:eastAsia="zh-CN"/>
              </w:rPr>
              <w:t>6</w:t>
            </w:r>
            <w:r>
              <w:rPr>
                <w:color w:val="auto"/>
                <w:sz w:val="24"/>
              </w:rPr>
              <w:t>kg/h</w:t>
            </w:r>
            <w:r>
              <w:rPr>
                <w:rFonts w:hint="eastAsia" w:ascii="宋体" w:hAnsi="宋体" w:cs="宋体"/>
                <w:color w:val="auto"/>
                <w:sz w:val="24"/>
              </w:rPr>
              <w:t>，排放浓度为</w:t>
            </w:r>
            <w:r>
              <w:rPr>
                <w:rFonts w:hint="eastAsia"/>
                <w:color w:val="auto"/>
                <w:sz w:val="24"/>
              </w:rPr>
              <w:t>0.0</w:t>
            </w:r>
            <w:r>
              <w:rPr>
                <w:rFonts w:hint="eastAsia"/>
                <w:color w:val="auto"/>
                <w:sz w:val="24"/>
                <w:lang w:val="en-US" w:eastAsia="zh-CN"/>
              </w:rPr>
              <w:t>9</w:t>
            </w:r>
            <w:r>
              <w:rPr>
                <w:color w:val="auto"/>
                <w:sz w:val="24"/>
              </w:rPr>
              <w:t>mg/m</w:t>
            </w:r>
            <w:r>
              <w:rPr>
                <w:color w:val="auto"/>
                <w:sz w:val="24"/>
                <w:vertAlign w:val="superscript"/>
              </w:rPr>
              <w:t>3</w:t>
            </w:r>
            <w:r>
              <w:rPr>
                <w:rFonts w:hint="eastAsia"/>
                <w:color w:val="auto"/>
                <w:sz w:val="24"/>
                <w:lang w:val="en-US" w:eastAsia="zh-CN"/>
              </w:rPr>
              <w:t>,</w:t>
            </w:r>
            <w:r>
              <w:rPr>
                <w:color w:val="auto"/>
                <w:sz w:val="24"/>
              </w:rPr>
              <w:t>满足《大气污染物综合排放标准》（GB16297-1996）表2中排放标准限值。</w:t>
            </w:r>
          </w:p>
          <w:p w14:paraId="4A119643">
            <w:pPr>
              <w:pStyle w:val="26"/>
              <w:spacing w:after="0" w:line="360" w:lineRule="auto"/>
              <w:ind w:left="0" w:leftChars="0" w:firstLine="480"/>
              <w:rPr>
                <w:color w:val="auto"/>
                <w:sz w:val="24"/>
              </w:rPr>
            </w:pPr>
            <w:r>
              <w:rPr>
                <w:color w:val="auto"/>
                <w:sz w:val="24"/>
              </w:rPr>
              <w:t>集气</w:t>
            </w:r>
            <w:r>
              <w:rPr>
                <w:rFonts w:hint="eastAsia"/>
                <w:color w:val="auto"/>
                <w:sz w:val="24"/>
              </w:rPr>
              <w:t>装置</w:t>
            </w:r>
            <w:r>
              <w:rPr>
                <w:color w:val="auto"/>
                <w:sz w:val="24"/>
              </w:rPr>
              <w:t>未收集</w:t>
            </w:r>
            <w:r>
              <w:rPr>
                <w:rFonts w:hint="eastAsia" w:ascii="宋体" w:hAnsi="宋体" w:cs="宋体"/>
                <w:color w:val="auto"/>
                <w:sz w:val="24"/>
              </w:rPr>
              <w:t>无组织沥青烟排放速率为</w:t>
            </w:r>
            <w:r>
              <w:rPr>
                <w:color w:val="auto"/>
                <w:sz w:val="24"/>
              </w:rPr>
              <w:t>0.0</w:t>
            </w:r>
            <w:r>
              <w:rPr>
                <w:rFonts w:hint="eastAsia"/>
                <w:color w:val="auto"/>
                <w:sz w:val="24"/>
                <w:lang w:val="en-US" w:eastAsia="zh-CN"/>
              </w:rPr>
              <w:t>68</w:t>
            </w:r>
            <w:r>
              <w:rPr>
                <w:color w:val="auto"/>
                <w:sz w:val="24"/>
              </w:rPr>
              <w:t>kg/h</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芘排放速率为</w:t>
            </w:r>
            <w:r>
              <w:rPr>
                <w:rFonts w:hint="eastAsia"/>
                <w:color w:val="auto"/>
                <w:sz w:val="24"/>
                <w:lang w:val="en-US" w:eastAsia="zh-CN"/>
              </w:rPr>
              <w:t>1.35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5</w:t>
            </w:r>
            <w:r>
              <w:rPr>
                <w:color w:val="auto"/>
                <w:sz w:val="24"/>
              </w:rPr>
              <w:t>kg/h；非甲烷总烃</w:t>
            </w:r>
            <w:r>
              <w:rPr>
                <w:rFonts w:hint="eastAsia" w:ascii="宋体" w:hAnsi="宋体" w:cs="宋体"/>
                <w:color w:val="auto"/>
                <w:sz w:val="24"/>
              </w:rPr>
              <w:t>排放速率为</w:t>
            </w:r>
            <w:r>
              <w:rPr>
                <w:rFonts w:hint="eastAsia"/>
                <w:color w:val="auto"/>
                <w:sz w:val="24"/>
              </w:rPr>
              <w:t>0.00</w:t>
            </w:r>
            <w:r>
              <w:rPr>
                <w:rFonts w:hint="eastAsia"/>
                <w:color w:val="auto"/>
                <w:sz w:val="24"/>
                <w:lang w:val="en-US" w:eastAsia="zh-CN"/>
              </w:rPr>
              <w:t>38</w:t>
            </w:r>
            <w:r>
              <w:rPr>
                <w:color w:val="auto"/>
                <w:sz w:val="24"/>
              </w:rPr>
              <w:t>kg/h</w:t>
            </w:r>
            <w:r>
              <w:rPr>
                <w:bCs/>
                <w:color w:val="auto"/>
                <w:sz w:val="24"/>
              </w:rPr>
              <w:t>，满足《</w:t>
            </w:r>
            <w:r>
              <w:rPr>
                <w:color w:val="auto"/>
                <w:sz w:val="24"/>
              </w:rPr>
              <w:t>大气污染物综合排放标准</w:t>
            </w:r>
            <w:r>
              <w:rPr>
                <w:bCs/>
                <w:color w:val="auto"/>
                <w:sz w:val="24"/>
              </w:rPr>
              <w:t>》(</w:t>
            </w:r>
            <w:r>
              <w:rPr>
                <w:color w:val="auto"/>
                <w:sz w:val="24"/>
              </w:rPr>
              <w:t>GB16297-1996</w:t>
            </w:r>
            <w:r>
              <w:rPr>
                <w:bCs/>
                <w:color w:val="auto"/>
                <w:sz w:val="24"/>
              </w:rPr>
              <w:t>)表2中无组织排放限值要求。</w:t>
            </w:r>
            <w:r>
              <w:rPr>
                <w:rFonts w:hint="eastAsia"/>
                <w:color w:val="auto"/>
                <w:sz w:val="24"/>
              </w:rPr>
              <w:t>厂区</w:t>
            </w:r>
            <w:r>
              <w:rPr>
                <w:color w:val="auto"/>
                <w:sz w:val="24"/>
              </w:rPr>
              <w:t>内无组织非甲烷总烃</w:t>
            </w:r>
            <w:r>
              <w:rPr>
                <w:rFonts w:hint="eastAsia"/>
                <w:color w:val="auto"/>
                <w:sz w:val="24"/>
              </w:rPr>
              <w:t>满足</w:t>
            </w:r>
            <w:r>
              <w:rPr>
                <w:color w:val="auto"/>
                <w:sz w:val="24"/>
              </w:rPr>
              <w:t>《挥发性有机物无组织排放标准》（GB</w:t>
            </w:r>
            <w:r>
              <w:rPr>
                <w:rFonts w:hint="eastAsia"/>
                <w:color w:val="auto"/>
                <w:sz w:val="24"/>
              </w:rPr>
              <w:t>37822</w:t>
            </w:r>
            <w:r>
              <w:rPr>
                <w:color w:val="auto"/>
                <w:sz w:val="24"/>
              </w:rPr>
              <w:t>-20</w:t>
            </w:r>
            <w:r>
              <w:rPr>
                <w:rFonts w:hint="eastAsia"/>
                <w:color w:val="auto"/>
                <w:sz w:val="24"/>
              </w:rPr>
              <w:t>19</w:t>
            </w:r>
            <w:r>
              <w:rPr>
                <w:color w:val="auto"/>
                <w:sz w:val="24"/>
              </w:rPr>
              <w:t>）中表</w:t>
            </w:r>
            <w:r>
              <w:rPr>
                <w:rFonts w:hint="eastAsia"/>
                <w:color w:val="auto"/>
                <w:sz w:val="24"/>
              </w:rPr>
              <w:t>A.1无组织排放限值。</w:t>
            </w:r>
          </w:p>
          <w:p w14:paraId="305B74DC">
            <w:pPr>
              <w:pStyle w:val="26"/>
              <w:spacing w:after="0" w:line="360" w:lineRule="auto"/>
              <w:ind w:left="0" w:leftChars="0" w:firstLine="480"/>
              <w:rPr>
                <w:color w:val="auto"/>
                <w:sz w:val="24"/>
              </w:rPr>
            </w:pPr>
            <w:r>
              <w:rPr>
                <w:color w:val="auto"/>
                <w:sz w:val="24"/>
              </w:rPr>
              <w:t>（</w:t>
            </w:r>
            <w:r>
              <w:rPr>
                <w:rFonts w:hint="eastAsia"/>
                <w:color w:val="auto"/>
                <w:sz w:val="24"/>
              </w:rPr>
              <w:t>4</w:t>
            </w:r>
            <w:r>
              <w:rPr>
                <w:color w:val="auto"/>
                <w:sz w:val="24"/>
              </w:rPr>
              <w:t>）无组织</w:t>
            </w:r>
            <w:r>
              <w:rPr>
                <w:rFonts w:hint="eastAsia"/>
                <w:color w:val="auto"/>
                <w:sz w:val="24"/>
              </w:rPr>
              <w:t>废气</w:t>
            </w:r>
          </w:p>
          <w:p w14:paraId="18B641F9">
            <w:pPr>
              <w:spacing w:line="360" w:lineRule="auto"/>
              <w:ind w:firstLine="480" w:firstLineChars="200"/>
              <w:contextualSpacing/>
              <w:rPr>
                <w:b/>
                <w:bCs/>
                <w:color w:val="auto"/>
                <w:sz w:val="24"/>
              </w:rPr>
            </w:pPr>
            <w:r>
              <w:rPr>
                <w:color w:val="auto"/>
                <w:sz w:val="24"/>
              </w:rPr>
              <w:t>全厂无组织粉尘排放量为</w:t>
            </w:r>
            <w:r>
              <w:rPr>
                <w:rFonts w:hint="eastAsia"/>
                <w:color w:val="auto"/>
                <w:sz w:val="24"/>
              </w:rPr>
              <w:t>0.</w:t>
            </w:r>
            <w:r>
              <w:rPr>
                <w:rFonts w:hint="eastAsia"/>
                <w:color w:val="auto"/>
                <w:sz w:val="24"/>
                <w:lang w:val="en-US" w:eastAsia="zh-CN"/>
              </w:rPr>
              <w:t>533</w:t>
            </w:r>
            <w:r>
              <w:rPr>
                <w:color w:val="auto"/>
                <w:sz w:val="24"/>
              </w:rPr>
              <w:t>t/a。</w:t>
            </w:r>
            <w:r>
              <w:rPr>
                <w:bCs/>
                <w:color w:val="auto"/>
                <w:sz w:val="24"/>
              </w:rPr>
              <w:t>经预测，厂界无组织颗粒物排放监控值为</w:t>
            </w:r>
            <w:r>
              <w:rPr>
                <w:rFonts w:hint="eastAsia"/>
                <w:bCs/>
                <w:color w:val="auto"/>
                <w:sz w:val="24"/>
              </w:rPr>
              <w:t>5.4860</w:t>
            </w:r>
            <w:r>
              <w:rPr>
                <w:bCs/>
                <w:color w:val="auto"/>
                <w:sz w:val="24"/>
              </w:rPr>
              <w:t>μg/m</w:t>
            </w:r>
            <w:r>
              <w:rPr>
                <w:bCs/>
                <w:color w:val="auto"/>
                <w:sz w:val="24"/>
                <w:vertAlign w:val="superscript"/>
              </w:rPr>
              <w:t>3</w:t>
            </w:r>
            <w:r>
              <w:rPr>
                <w:bCs/>
                <w:color w:val="auto"/>
                <w:sz w:val="24"/>
              </w:rPr>
              <w:t>，满足《大气污染物综合排放标准》（GB16297-1996）表</w:t>
            </w:r>
            <w:r>
              <w:rPr>
                <w:rFonts w:hint="eastAsia"/>
                <w:bCs/>
                <w:color w:val="auto"/>
                <w:sz w:val="24"/>
              </w:rPr>
              <w:t>2</w:t>
            </w:r>
            <w:r>
              <w:rPr>
                <w:bCs/>
                <w:color w:val="auto"/>
                <w:sz w:val="24"/>
              </w:rPr>
              <w:t>无组织排放监控浓度限值要求。</w:t>
            </w:r>
          </w:p>
          <w:p w14:paraId="21714C09">
            <w:pPr>
              <w:pStyle w:val="162"/>
              <w:keepNext/>
              <w:ind w:firstLine="420"/>
              <w:rPr>
                <w:rFonts w:hint="default" w:ascii="Times New Roman" w:hAnsi="Times New Roman" w:eastAsia="宋体" w:cs="Times New Roman"/>
                <w:b w:val="0"/>
                <w:bCs w:val="0"/>
                <w:color w:val="auto"/>
                <w:sz w:val="24"/>
                <w:szCs w:val="24"/>
                <w:highlight w:val="none"/>
              </w:rPr>
            </w:pP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监测要求</w:t>
            </w:r>
          </w:p>
          <w:p w14:paraId="3F933D28">
            <w:pPr>
              <w:widowControl/>
              <w:spacing w:line="360" w:lineRule="auto"/>
              <w:ind w:firstLine="480" w:firstLineChars="200"/>
              <w:rPr>
                <w:snapToGrid w:val="0"/>
                <w:color w:val="auto"/>
                <w:kern w:val="0"/>
                <w:sz w:val="24"/>
              </w:rPr>
            </w:pPr>
            <w:r>
              <w:rPr>
                <w:snapToGrid w:val="0"/>
                <w:color w:val="auto"/>
                <w:kern w:val="0"/>
                <w:sz w:val="24"/>
              </w:rPr>
              <w:t>建设项目运营期环境监控主要目的是为了项目建成后的环境监测，防止污染事故发生，为环境管理提供依据，主要包括大气。根据</w:t>
            </w:r>
            <w:r>
              <w:rPr>
                <w:color w:val="auto"/>
                <w:sz w:val="24"/>
              </w:rPr>
              <w:t>《排污许可证申请与核发技术规范 总则》、</w:t>
            </w:r>
            <w:r>
              <w:rPr>
                <w:rFonts w:hint="eastAsia"/>
                <w:color w:val="auto"/>
                <w:sz w:val="24"/>
              </w:rPr>
              <w:t>《排污单位自行监测指南 火力发电及锅炉》（HJ 820-2017）</w:t>
            </w:r>
            <w:r>
              <w:rPr>
                <w:color w:val="auto"/>
                <w:sz w:val="24"/>
              </w:rPr>
              <w:t>、《排污许可证申请与核发技术规范</w:t>
            </w:r>
            <w:r>
              <w:rPr>
                <w:rFonts w:hint="eastAsia"/>
                <w:color w:val="auto"/>
                <w:sz w:val="24"/>
              </w:rPr>
              <w:t xml:space="preserve"> </w:t>
            </w:r>
            <w:r>
              <w:rPr>
                <w:rFonts w:hint="eastAsia"/>
                <w:bCs/>
                <w:color w:val="auto"/>
                <w:sz w:val="24"/>
              </w:rPr>
              <w:t>石墨及其他非金属矿物制品制造》（HJ1119-2020）</w:t>
            </w:r>
            <w:r>
              <w:rPr>
                <w:snapToGrid w:val="0"/>
                <w:color w:val="auto"/>
                <w:kern w:val="0"/>
                <w:sz w:val="24"/>
              </w:rPr>
              <w:t>制定本企业监测方案。</w:t>
            </w:r>
          </w:p>
          <w:p w14:paraId="05680A1C">
            <w:pPr>
              <w:adjustRightInd w:val="0"/>
              <w:snapToGrid w:val="0"/>
              <w:spacing w:line="500" w:lineRule="exact"/>
              <w:ind w:firstLine="482"/>
              <w:jc w:val="center"/>
              <w:rPr>
                <w:b/>
                <w:color w:val="auto"/>
                <w:sz w:val="24"/>
              </w:rPr>
            </w:pPr>
            <w:r>
              <w:rPr>
                <w:b/>
                <w:color w:val="auto"/>
                <w:sz w:val="24"/>
              </w:rPr>
              <w:t>表</w:t>
            </w:r>
            <w:r>
              <w:rPr>
                <w:rFonts w:hint="eastAsia"/>
                <w:b/>
                <w:color w:val="auto"/>
                <w:sz w:val="24"/>
                <w:lang w:val="en-US" w:eastAsia="zh-CN"/>
              </w:rPr>
              <w:t>4-5</w:t>
            </w:r>
            <w:r>
              <w:rPr>
                <w:b/>
                <w:color w:val="auto"/>
                <w:sz w:val="24"/>
              </w:rPr>
              <w:t>环境监测计划</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252"/>
              <w:gridCol w:w="1253"/>
              <w:gridCol w:w="1377"/>
              <w:gridCol w:w="3765"/>
            </w:tblGrid>
            <w:tr w14:paraId="77C570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0" w:hRule="atLeast"/>
                <w:jc w:val="center"/>
              </w:trPr>
              <w:tc>
                <w:tcPr>
                  <w:tcW w:w="442" w:type="pct"/>
                  <w:tcBorders>
                    <w:top w:val="single" w:color="000000" w:sz="12" w:space="0"/>
                    <w:left w:val="nil"/>
                    <w:bottom w:val="single" w:color="000000" w:sz="6" w:space="0"/>
                    <w:right w:val="single" w:color="auto" w:sz="4" w:space="0"/>
                  </w:tcBorders>
                  <w:vAlign w:val="center"/>
                </w:tcPr>
                <w:p w14:paraId="306714C4">
                  <w:pPr>
                    <w:contextualSpacing/>
                    <w:jc w:val="center"/>
                    <w:rPr>
                      <w:b/>
                      <w:color w:val="auto"/>
                      <w:szCs w:val="21"/>
                    </w:rPr>
                  </w:pPr>
                  <w:r>
                    <w:rPr>
                      <w:rFonts w:hAnsi="宋体"/>
                      <w:b/>
                      <w:color w:val="auto"/>
                      <w:szCs w:val="21"/>
                    </w:rPr>
                    <w:t>项目</w:t>
                  </w:r>
                </w:p>
              </w:tc>
              <w:tc>
                <w:tcPr>
                  <w:tcW w:w="746" w:type="pct"/>
                  <w:tcBorders>
                    <w:top w:val="single" w:color="000000" w:sz="12" w:space="0"/>
                    <w:left w:val="single" w:color="auto" w:sz="4" w:space="0"/>
                    <w:bottom w:val="single" w:color="000000" w:sz="6" w:space="0"/>
                    <w:right w:val="single" w:color="000000" w:sz="6" w:space="0"/>
                  </w:tcBorders>
                  <w:vAlign w:val="center"/>
                </w:tcPr>
                <w:p w14:paraId="2F79F70D">
                  <w:pPr>
                    <w:contextualSpacing/>
                    <w:jc w:val="center"/>
                    <w:rPr>
                      <w:b/>
                      <w:color w:val="auto"/>
                      <w:szCs w:val="21"/>
                    </w:rPr>
                  </w:pPr>
                  <w:r>
                    <w:rPr>
                      <w:rFonts w:hAnsi="宋体"/>
                      <w:b/>
                      <w:color w:val="auto"/>
                      <w:szCs w:val="21"/>
                    </w:rPr>
                    <w:t>监测点位</w:t>
                  </w:r>
                </w:p>
              </w:tc>
              <w:tc>
                <w:tcPr>
                  <w:tcW w:w="747" w:type="pct"/>
                  <w:tcBorders>
                    <w:top w:val="single" w:color="000000" w:sz="12" w:space="0"/>
                    <w:left w:val="single" w:color="000000" w:sz="6" w:space="0"/>
                    <w:bottom w:val="single" w:color="000000" w:sz="6" w:space="0"/>
                    <w:right w:val="single" w:color="000000" w:sz="6" w:space="0"/>
                  </w:tcBorders>
                  <w:vAlign w:val="center"/>
                </w:tcPr>
                <w:p w14:paraId="5E424E40">
                  <w:pPr>
                    <w:contextualSpacing/>
                    <w:jc w:val="center"/>
                    <w:rPr>
                      <w:b/>
                      <w:color w:val="auto"/>
                      <w:szCs w:val="21"/>
                    </w:rPr>
                  </w:pPr>
                  <w:r>
                    <w:rPr>
                      <w:rFonts w:hAnsi="宋体"/>
                      <w:b/>
                      <w:color w:val="auto"/>
                      <w:szCs w:val="21"/>
                    </w:rPr>
                    <w:t>监测指标</w:t>
                  </w:r>
                </w:p>
              </w:tc>
              <w:tc>
                <w:tcPr>
                  <w:tcW w:w="821" w:type="pct"/>
                  <w:tcBorders>
                    <w:top w:val="single" w:color="000000" w:sz="12" w:space="0"/>
                    <w:left w:val="single" w:color="000000" w:sz="6" w:space="0"/>
                    <w:bottom w:val="single" w:color="000000" w:sz="6" w:space="0"/>
                    <w:right w:val="single" w:color="000000" w:sz="6" w:space="0"/>
                  </w:tcBorders>
                  <w:vAlign w:val="center"/>
                </w:tcPr>
                <w:p w14:paraId="15EA6B40">
                  <w:pPr>
                    <w:contextualSpacing/>
                    <w:jc w:val="center"/>
                    <w:rPr>
                      <w:b/>
                      <w:color w:val="auto"/>
                      <w:szCs w:val="21"/>
                    </w:rPr>
                  </w:pPr>
                  <w:r>
                    <w:rPr>
                      <w:rFonts w:hAnsi="宋体"/>
                      <w:b/>
                      <w:color w:val="auto"/>
                      <w:szCs w:val="21"/>
                    </w:rPr>
                    <w:t>监测频率</w:t>
                  </w:r>
                </w:p>
              </w:tc>
              <w:tc>
                <w:tcPr>
                  <w:tcW w:w="2244" w:type="pct"/>
                  <w:tcBorders>
                    <w:top w:val="single" w:color="000000" w:sz="12" w:space="0"/>
                    <w:left w:val="single" w:color="000000" w:sz="6" w:space="0"/>
                    <w:bottom w:val="single" w:color="000000" w:sz="6" w:space="0"/>
                    <w:right w:val="nil"/>
                  </w:tcBorders>
                  <w:vAlign w:val="center"/>
                </w:tcPr>
                <w:p w14:paraId="674F0325">
                  <w:pPr>
                    <w:contextualSpacing/>
                    <w:jc w:val="center"/>
                    <w:rPr>
                      <w:b/>
                      <w:color w:val="auto"/>
                      <w:szCs w:val="21"/>
                    </w:rPr>
                  </w:pPr>
                  <w:r>
                    <w:rPr>
                      <w:rFonts w:hAnsi="宋体"/>
                      <w:b/>
                      <w:color w:val="auto"/>
                      <w:szCs w:val="21"/>
                    </w:rPr>
                    <w:t>执行排放标准</w:t>
                  </w:r>
                </w:p>
              </w:tc>
            </w:tr>
            <w:tr w14:paraId="4167C7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66" w:hRule="atLeast"/>
                <w:jc w:val="center"/>
              </w:trPr>
              <w:tc>
                <w:tcPr>
                  <w:tcW w:w="442" w:type="pct"/>
                  <w:vMerge w:val="restart"/>
                  <w:tcBorders>
                    <w:top w:val="single" w:color="000000" w:sz="6" w:space="0"/>
                    <w:left w:val="nil"/>
                    <w:right w:val="single" w:color="auto" w:sz="4" w:space="0"/>
                  </w:tcBorders>
                  <w:vAlign w:val="center"/>
                </w:tcPr>
                <w:p w14:paraId="6B6E9299">
                  <w:pPr>
                    <w:contextualSpacing/>
                    <w:jc w:val="center"/>
                    <w:rPr>
                      <w:color w:val="auto"/>
                      <w:szCs w:val="21"/>
                    </w:rPr>
                  </w:pPr>
                  <w:r>
                    <w:rPr>
                      <w:color w:val="auto"/>
                      <w:szCs w:val="21"/>
                    </w:rPr>
                    <w:t>废气</w:t>
                  </w:r>
                </w:p>
              </w:tc>
              <w:tc>
                <w:tcPr>
                  <w:tcW w:w="746" w:type="pct"/>
                  <w:tcBorders>
                    <w:top w:val="single" w:color="000000" w:sz="6" w:space="0"/>
                    <w:left w:val="single" w:color="auto" w:sz="4" w:space="0"/>
                    <w:bottom w:val="single" w:color="000000" w:sz="6" w:space="0"/>
                    <w:right w:val="single" w:color="000000" w:sz="6" w:space="0"/>
                  </w:tcBorders>
                  <w:vAlign w:val="center"/>
                </w:tcPr>
                <w:p w14:paraId="2E48CB5D">
                  <w:pPr>
                    <w:spacing w:line="0" w:lineRule="atLeast"/>
                    <w:contextualSpacing/>
                    <w:jc w:val="center"/>
                    <w:rPr>
                      <w:color w:val="auto"/>
                      <w:szCs w:val="21"/>
                    </w:rPr>
                  </w:pPr>
                  <w:r>
                    <w:rPr>
                      <w:color w:val="auto"/>
                      <w:szCs w:val="21"/>
                    </w:rPr>
                    <w:t>除尘系统烟囱（</w:t>
                  </w:r>
                  <w:r>
                    <w:rPr>
                      <w:rFonts w:hint="eastAsia"/>
                      <w:color w:val="auto"/>
                      <w:szCs w:val="21"/>
                    </w:rPr>
                    <w:t>DA001</w:t>
                  </w:r>
                  <w:r>
                    <w:rPr>
                      <w:color w:val="auto"/>
                      <w:szCs w:val="21"/>
                    </w:rPr>
                    <w:t>）</w:t>
                  </w:r>
                </w:p>
              </w:tc>
              <w:tc>
                <w:tcPr>
                  <w:tcW w:w="747" w:type="pct"/>
                  <w:tcBorders>
                    <w:top w:val="single" w:color="000000" w:sz="6" w:space="0"/>
                    <w:left w:val="single" w:color="000000" w:sz="6" w:space="0"/>
                    <w:bottom w:val="single" w:color="000000" w:sz="6" w:space="0"/>
                    <w:right w:val="single" w:color="000000" w:sz="6" w:space="0"/>
                  </w:tcBorders>
                  <w:vAlign w:val="center"/>
                </w:tcPr>
                <w:p w14:paraId="492EB48A">
                  <w:pPr>
                    <w:contextualSpacing/>
                    <w:jc w:val="center"/>
                    <w:rPr>
                      <w:color w:val="auto"/>
                      <w:szCs w:val="21"/>
                    </w:rPr>
                  </w:pPr>
                  <w:r>
                    <w:rPr>
                      <w:rFonts w:hAnsi="宋体"/>
                      <w:color w:val="auto"/>
                      <w:szCs w:val="21"/>
                    </w:rPr>
                    <w:t>颗粒物、</w:t>
                  </w:r>
                  <w:r>
                    <w:rPr>
                      <w:color w:val="auto"/>
                      <w:szCs w:val="21"/>
                    </w:rPr>
                    <w:t>SO</w:t>
                  </w:r>
                  <w:r>
                    <w:rPr>
                      <w:color w:val="auto"/>
                      <w:szCs w:val="21"/>
                      <w:vertAlign w:val="subscript"/>
                    </w:rPr>
                    <w:t>2</w:t>
                  </w:r>
                  <w:r>
                    <w:rPr>
                      <w:rFonts w:hAnsi="宋体"/>
                      <w:color w:val="auto"/>
                      <w:szCs w:val="21"/>
                    </w:rPr>
                    <w:t>、</w:t>
                  </w:r>
                  <w:r>
                    <w:rPr>
                      <w:color w:val="auto"/>
                      <w:szCs w:val="21"/>
                    </w:rPr>
                    <w:t>NO</w:t>
                  </w:r>
                  <w:r>
                    <w:rPr>
                      <w:color w:val="auto"/>
                      <w:szCs w:val="21"/>
                      <w:vertAlign w:val="subscript"/>
                    </w:rPr>
                    <w:t>X</w:t>
                  </w:r>
                </w:p>
              </w:tc>
              <w:tc>
                <w:tcPr>
                  <w:tcW w:w="821" w:type="pct"/>
                  <w:tcBorders>
                    <w:top w:val="single" w:color="000000" w:sz="6" w:space="0"/>
                    <w:left w:val="single" w:color="000000" w:sz="6" w:space="0"/>
                    <w:bottom w:val="single" w:color="000000" w:sz="6" w:space="0"/>
                    <w:right w:val="single" w:color="000000" w:sz="6" w:space="0"/>
                  </w:tcBorders>
                  <w:vAlign w:val="center"/>
                </w:tcPr>
                <w:p w14:paraId="751DCD54">
                  <w:pPr>
                    <w:widowControl/>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半年</w:t>
                  </w:r>
                </w:p>
              </w:tc>
              <w:tc>
                <w:tcPr>
                  <w:tcW w:w="2244" w:type="pct"/>
                  <w:tcBorders>
                    <w:top w:val="single" w:color="000000" w:sz="6" w:space="0"/>
                    <w:left w:val="single" w:color="000000" w:sz="6" w:space="0"/>
                    <w:bottom w:val="single" w:color="000000" w:sz="6" w:space="0"/>
                    <w:right w:val="nil"/>
                  </w:tcBorders>
                  <w:vAlign w:val="center"/>
                </w:tcPr>
                <w:p w14:paraId="1B85BE03">
                  <w:pPr>
                    <w:widowControl/>
                    <w:contextualSpacing/>
                    <w:jc w:val="center"/>
                    <w:rPr>
                      <w:color w:val="auto"/>
                      <w:szCs w:val="21"/>
                    </w:rPr>
                  </w:pPr>
                  <w:r>
                    <w:rPr>
                      <w:rFonts w:hAnsi="宋体"/>
                      <w:color w:val="auto"/>
                      <w:szCs w:val="21"/>
                    </w:rPr>
                    <w:t>《大气污染物综合排放标准》（</w:t>
                  </w:r>
                  <w:r>
                    <w:rPr>
                      <w:color w:val="auto"/>
                      <w:szCs w:val="21"/>
                    </w:rPr>
                    <w:t>GB16297-1996</w:t>
                  </w:r>
                  <w:r>
                    <w:rPr>
                      <w:rFonts w:hAnsi="宋体"/>
                      <w:color w:val="auto"/>
                      <w:szCs w:val="21"/>
                    </w:rPr>
                    <w:t>）表</w:t>
                  </w:r>
                  <w:r>
                    <w:rPr>
                      <w:color w:val="auto"/>
                      <w:szCs w:val="21"/>
                    </w:rPr>
                    <w:t xml:space="preserve">2 </w:t>
                  </w:r>
                  <w:r>
                    <w:rPr>
                      <w:rFonts w:hAnsi="宋体"/>
                      <w:color w:val="auto"/>
                      <w:szCs w:val="21"/>
                    </w:rPr>
                    <w:t>中二级排放标准限值</w:t>
                  </w:r>
                </w:p>
              </w:tc>
            </w:tr>
            <w:tr w14:paraId="2D6AFD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442" w:type="pct"/>
                  <w:vMerge w:val="continue"/>
                  <w:tcBorders>
                    <w:left w:val="nil"/>
                    <w:right w:val="single" w:color="auto" w:sz="4" w:space="0"/>
                  </w:tcBorders>
                  <w:vAlign w:val="center"/>
                </w:tcPr>
                <w:p w14:paraId="036975CB">
                  <w:pPr>
                    <w:contextualSpacing/>
                    <w:jc w:val="center"/>
                    <w:rPr>
                      <w:color w:val="auto"/>
                      <w:szCs w:val="21"/>
                    </w:rPr>
                  </w:pPr>
                </w:p>
              </w:tc>
              <w:tc>
                <w:tcPr>
                  <w:tcW w:w="746" w:type="pct"/>
                  <w:vMerge w:val="restart"/>
                  <w:tcBorders>
                    <w:top w:val="single" w:color="000000" w:sz="6" w:space="0"/>
                    <w:left w:val="single" w:color="auto" w:sz="4" w:space="0"/>
                    <w:bottom w:val="single" w:color="000000" w:sz="6" w:space="0"/>
                    <w:right w:val="single" w:color="000000" w:sz="6" w:space="0"/>
                  </w:tcBorders>
                  <w:vAlign w:val="center"/>
                </w:tcPr>
                <w:p w14:paraId="14E4145A">
                  <w:pPr>
                    <w:spacing w:line="0" w:lineRule="atLeast"/>
                    <w:contextualSpacing/>
                    <w:jc w:val="center"/>
                    <w:rPr>
                      <w:color w:val="auto"/>
                      <w:szCs w:val="21"/>
                    </w:rPr>
                  </w:pPr>
                  <w:r>
                    <w:rPr>
                      <w:rFonts w:hAnsi="宋体"/>
                      <w:color w:val="auto"/>
                      <w:szCs w:val="21"/>
                    </w:rPr>
                    <w:t>导热油炉烟囱</w:t>
                  </w:r>
                  <w:r>
                    <w:rPr>
                      <w:color w:val="auto"/>
                      <w:szCs w:val="21"/>
                    </w:rPr>
                    <w:t>（</w:t>
                  </w:r>
                  <w:r>
                    <w:rPr>
                      <w:rFonts w:hint="eastAsia"/>
                      <w:color w:val="auto"/>
                      <w:szCs w:val="21"/>
                    </w:rPr>
                    <w:t>DA002</w:t>
                  </w:r>
                  <w:r>
                    <w:rPr>
                      <w:color w:val="auto"/>
                      <w:szCs w:val="21"/>
                    </w:rPr>
                    <w:t>）</w:t>
                  </w:r>
                </w:p>
              </w:tc>
              <w:tc>
                <w:tcPr>
                  <w:tcW w:w="747" w:type="pct"/>
                  <w:tcBorders>
                    <w:top w:val="single" w:color="000000" w:sz="6" w:space="0"/>
                    <w:left w:val="single" w:color="000000" w:sz="6" w:space="0"/>
                    <w:bottom w:val="single" w:color="000000" w:sz="6" w:space="0"/>
                    <w:right w:val="single" w:color="000000" w:sz="6" w:space="0"/>
                  </w:tcBorders>
                  <w:vAlign w:val="center"/>
                </w:tcPr>
                <w:p w14:paraId="69431404">
                  <w:pPr>
                    <w:contextualSpacing/>
                    <w:jc w:val="center"/>
                    <w:rPr>
                      <w:color w:val="auto"/>
                      <w:szCs w:val="21"/>
                    </w:rPr>
                  </w:pPr>
                  <w:r>
                    <w:rPr>
                      <w:rFonts w:hAnsi="宋体"/>
                      <w:color w:val="auto"/>
                      <w:szCs w:val="21"/>
                    </w:rPr>
                    <w:t>烟气黑度、颗粒物、</w:t>
                  </w:r>
                  <w:r>
                    <w:rPr>
                      <w:color w:val="auto"/>
                      <w:szCs w:val="21"/>
                    </w:rPr>
                    <w:t>SO</w:t>
                  </w:r>
                  <w:r>
                    <w:rPr>
                      <w:color w:val="auto"/>
                      <w:szCs w:val="21"/>
                      <w:vertAlign w:val="subscript"/>
                    </w:rPr>
                    <w:t>2</w:t>
                  </w:r>
                </w:p>
              </w:tc>
              <w:tc>
                <w:tcPr>
                  <w:tcW w:w="821" w:type="pct"/>
                  <w:tcBorders>
                    <w:top w:val="single" w:color="000000" w:sz="6" w:space="0"/>
                    <w:left w:val="single" w:color="000000" w:sz="6" w:space="0"/>
                    <w:bottom w:val="single" w:color="000000" w:sz="6" w:space="0"/>
                    <w:right w:val="single" w:color="000000" w:sz="6" w:space="0"/>
                  </w:tcBorders>
                  <w:vAlign w:val="center"/>
                </w:tcPr>
                <w:p w14:paraId="6FABF81F">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年</w:t>
                  </w:r>
                </w:p>
              </w:tc>
              <w:tc>
                <w:tcPr>
                  <w:tcW w:w="2244" w:type="pct"/>
                  <w:vMerge w:val="restart"/>
                  <w:tcBorders>
                    <w:top w:val="single" w:color="000000" w:sz="6" w:space="0"/>
                    <w:left w:val="single" w:color="000000" w:sz="6" w:space="0"/>
                    <w:bottom w:val="single" w:color="000000" w:sz="6" w:space="0"/>
                    <w:right w:val="nil"/>
                  </w:tcBorders>
                  <w:vAlign w:val="center"/>
                </w:tcPr>
                <w:p w14:paraId="49A80D44">
                  <w:pPr>
                    <w:widowControl/>
                    <w:contextualSpacing/>
                    <w:jc w:val="center"/>
                    <w:rPr>
                      <w:color w:val="auto"/>
                      <w:szCs w:val="21"/>
                    </w:rPr>
                  </w:pPr>
                  <w:r>
                    <w:rPr>
                      <w:rFonts w:hAnsi="宋体"/>
                      <w:color w:val="auto"/>
                      <w:szCs w:val="21"/>
                    </w:rPr>
                    <w:t>《锅炉大气污染物排放标准》（</w:t>
                  </w:r>
                  <w:r>
                    <w:rPr>
                      <w:color w:val="auto"/>
                      <w:szCs w:val="21"/>
                    </w:rPr>
                    <w:t>GB13271-2014</w:t>
                  </w:r>
                  <w:r>
                    <w:rPr>
                      <w:rFonts w:hAnsi="宋体"/>
                      <w:color w:val="auto"/>
                      <w:szCs w:val="21"/>
                    </w:rPr>
                    <w:t>）表</w:t>
                  </w:r>
                  <w:r>
                    <w:rPr>
                      <w:color w:val="auto"/>
                      <w:szCs w:val="21"/>
                    </w:rPr>
                    <w:t>2</w:t>
                  </w:r>
                  <w:r>
                    <w:rPr>
                      <w:rFonts w:hAnsi="宋体"/>
                      <w:color w:val="auto"/>
                      <w:szCs w:val="21"/>
                    </w:rPr>
                    <w:t>燃</w:t>
                  </w:r>
                  <w:r>
                    <w:rPr>
                      <w:rFonts w:hint="eastAsia" w:hAnsi="宋体"/>
                      <w:color w:val="auto"/>
                      <w:szCs w:val="21"/>
                    </w:rPr>
                    <w:t>气</w:t>
                  </w:r>
                  <w:r>
                    <w:rPr>
                      <w:rFonts w:hAnsi="宋体"/>
                      <w:color w:val="auto"/>
                      <w:szCs w:val="21"/>
                    </w:rPr>
                    <w:t>锅炉标准</w:t>
                  </w:r>
                </w:p>
              </w:tc>
            </w:tr>
            <w:tr w14:paraId="51321F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442" w:type="pct"/>
                  <w:vMerge w:val="continue"/>
                  <w:tcBorders>
                    <w:left w:val="nil"/>
                    <w:right w:val="single" w:color="auto" w:sz="4" w:space="0"/>
                  </w:tcBorders>
                  <w:vAlign w:val="center"/>
                </w:tcPr>
                <w:p w14:paraId="538FB11F">
                  <w:pPr>
                    <w:contextualSpacing/>
                    <w:jc w:val="center"/>
                    <w:rPr>
                      <w:color w:val="auto"/>
                      <w:szCs w:val="21"/>
                    </w:rPr>
                  </w:pPr>
                </w:p>
              </w:tc>
              <w:tc>
                <w:tcPr>
                  <w:tcW w:w="746" w:type="pct"/>
                  <w:vMerge w:val="continue"/>
                  <w:tcBorders>
                    <w:top w:val="single" w:color="000000" w:sz="6" w:space="0"/>
                    <w:left w:val="single" w:color="auto" w:sz="4" w:space="0"/>
                    <w:bottom w:val="single" w:color="000000" w:sz="6" w:space="0"/>
                    <w:right w:val="single" w:color="000000" w:sz="6" w:space="0"/>
                  </w:tcBorders>
                  <w:vAlign w:val="center"/>
                </w:tcPr>
                <w:p w14:paraId="0C7C7EAB">
                  <w:pPr>
                    <w:spacing w:line="0" w:lineRule="atLeast"/>
                    <w:contextualSpacing/>
                    <w:jc w:val="center"/>
                    <w:rPr>
                      <w:rFonts w:hAnsi="宋体"/>
                      <w:color w:val="auto"/>
                      <w:szCs w:val="21"/>
                    </w:rPr>
                  </w:pPr>
                </w:p>
              </w:tc>
              <w:tc>
                <w:tcPr>
                  <w:tcW w:w="747" w:type="pct"/>
                  <w:tcBorders>
                    <w:top w:val="single" w:color="000000" w:sz="6" w:space="0"/>
                    <w:left w:val="single" w:color="000000" w:sz="6" w:space="0"/>
                    <w:bottom w:val="single" w:color="000000" w:sz="6" w:space="0"/>
                    <w:right w:val="single" w:color="000000" w:sz="6" w:space="0"/>
                  </w:tcBorders>
                  <w:vAlign w:val="center"/>
                </w:tcPr>
                <w:p w14:paraId="77FB94C6">
                  <w:pPr>
                    <w:contextualSpacing/>
                    <w:jc w:val="center"/>
                    <w:rPr>
                      <w:rFonts w:hAnsi="宋体"/>
                      <w:color w:val="auto"/>
                      <w:szCs w:val="21"/>
                    </w:rPr>
                  </w:pPr>
                  <w:r>
                    <w:rPr>
                      <w:color w:val="auto"/>
                      <w:szCs w:val="21"/>
                    </w:rPr>
                    <w:t>NO</w:t>
                  </w:r>
                  <w:r>
                    <w:rPr>
                      <w:color w:val="auto"/>
                      <w:szCs w:val="21"/>
                      <w:vertAlign w:val="subscript"/>
                    </w:rPr>
                    <w:t>X</w:t>
                  </w:r>
                </w:p>
              </w:tc>
              <w:tc>
                <w:tcPr>
                  <w:tcW w:w="821" w:type="pct"/>
                  <w:tcBorders>
                    <w:top w:val="single" w:color="000000" w:sz="6" w:space="0"/>
                    <w:left w:val="single" w:color="000000" w:sz="6" w:space="0"/>
                    <w:bottom w:val="single" w:color="000000" w:sz="6" w:space="0"/>
                    <w:right w:val="single" w:color="000000" w:sz="6" w:space="0"/>
                  </w:tcBorders>
                  <w:vAlign w:val="center"/>
                </w:tcPr>
                <w:p w14:paraId="629E6FC1">
                  <w:pPr>
                    <w:contextualSpacing/>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月</w:t>
                  </w:r>
                </w:p>
              </w:tc>
              <w:tc>
                <w:tcPr>
                  <w:tcW w:w="2244" w:type="pct"/>
                  <w:vMerge w:val="continue"/>
                  <w:tcBorders>
                    <w:top w:val="single" w:color="000000" w:sz="6" w:space="0"/>
                    <w:left w:val="single" w:color="000000" w:sz="6" w:space="0"/>
                    <w:bottom w:val="single" w:color="000000" w:sz="6" w:space="0"/>
                    <w:right w:val="nil"/>
                  </w:tcBorders>
                  <w:vAlign w:val="center"/>
                </w:tcPr>
                <w:p w14:paraId="32BA2452">
                  <w:pPr>
                    <w:widowControl/>
                    <w:contextualSpacing/>
                    <w:jc w:val="center"/>
                    <w:rPr>
                      <w:rFonts w:hAnsi="宋体"/>
                      <w:color w:val="auto"/>
                      <w:szCs w:val="21"/>
                    </w:rPr>
                  </w:pPr>
                </w:p>
              </w:tc>
            </w:tr>
            <w:tr w14:paraId="7FCB3A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14:paraId="08D61CBF">
                  <w:pPr>
                    <w:contextualSpacing/>
                    <w:jc w:val="center"/>
                    <w:rPr>
                      <w:color w:val="auto"/>
                      <w:szCs w:val="21"/>
                    </w:rPr>
                  </w:pPr>
                </w:p>
              </w:tc>
              <w:tc>
                <w:tcPr>
                  <w:tcW w:w="746" w:type="pct"/>
                  <w:vMerge w:val="restart"/>
                  <w:tcBorders>
                    <w:top w:val="single" w:color="000000" w:sz="6" w:space="0"/>
                    <w:left w:val="single" w:color="auto" w:sz="4" w:space="0"/>
                    <w:bottom w:val="single" w:color="000000" w:sz="6" w:space="0"/>
                    <w:right w:val="single" w:color="000000" w:sz="6" w:space="0"/>
                  </w:tcBorders>
                  <w:vAlign w:val="center"/>
                </w:tcPr>
                <w:p w14:paraId="586CAA9C">
                  <w:pPr>
                    <w:spacing w:line="0" w:lineRule="atLeast"/>
                    <w:contextualSpacing/>
                    <w:jc w:val="center"/>
                    <w:rPr>
                      <w:rFonts w:hAnsi="宋体"/>
                      <w:color w:val="auto"/>
                      <w:szCs w:val="21"/>
                    </w:rPr>
                  </w:pPr>
                  <w:r>
                    <w:rPr>
                      <w:rFonts w:hAnsi="宋体"/>
                      <w:color w:val="auto"/>
                      <w:szCs w:val="21"/>
                    </w:rPr>
                    <w:t>沥青搅拌排气筒（</w:t>
                  </w:r>
                  <w:r>
                    <w:rPr>
                      <w:rFonts w:hint="eastAsia" w:hAnsi="宋体"/>
                      <w:color w:val="auto"/>
                      <w:szCs w:val="21"/>
                    </w:rPr>
                    <w:t>DA003</w:t>
                  </w:r>
                  <w:r>
                    <w:rPr>
                      <w:rFonts w:hAnsi="宋体"/>
                      <w:color w:val="auto"/>
                      <w:szCs w:val="21"/>
                    </w:rPr>
                    <w:t>）</w:t>
                  </w:r>
                </w:p>
              </w:tc>
              <w:tc>
                <w:tcPr>
                  <w:tcW w:w="747" w:type="pct"/>
                  <w:tcBorders>
                    <w:top w:val="single" w:color="000000" w:sz="6" w:space="0"/>
                    <w:left w:val="single" w:color="000000" w:sz="6" w:space="0"/>
                    <w:bottom w:val="single" w:color="000000" w:sz="6" w:space="0"/>
                    <w:right w:val="single" w:color="000000" w:sz="6" w:space="0"/>
                  </w:tcBorders>
                  <w:vAlign w:val="center"/>
                </w:tcPr>
                <w:p w14:paraId="079891E4">
                  <w:pPr>
                    <w:contextualSpacing/>
                    <w:jc w:val="center"/>
                    <w:rPr>
                      <w:color w:val="auto"/>
                      <w:szCs w:val="21"/>
                    </w:rPr>
                  </w:pPr>
                  <w:r>
                    <w:rPr>
                      <w:rFonts w:hAnsi="宋体"/>
                      <w:color w:val="auto"/>
                      <w:szCs w:val="21"/>
                    </w:rPr>
                    <w:t>沥青烟</w:t>
                  </w:r>
                </w:p>
              </w:tc>
              <w:tc>
                <w:tcPr>
                  <w:tcW w:w="821" w:type="pct"/>
                  <w:vMerge w:val="restart"/>
                  <w:tcBorders>
                    <w:top w:val="single" w:color="000000" w:sz="6" w:space="0"/>
                    <w:left w:val="single" w:color="000000" w:sz="6" w:space="0"/>
                    <w:bottom w:val="single" w:color="000000" w:sz="6" w:space="0"/>
                    <w:right w:val="single" w:color="000000" w:sz="6" w:space="0"/>
                  </w:tcBorders>
                  <w:vAlign w:val="center"/>
                </w:tcPr>
                <w:p w14:paraId="49DF8FE1">
                  <w:pPr>
                    <w:contextualSpacing/>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一年</w:t>
                  </w:r>
                </w:p>
              </w:tc>
              <w:tc>
                <w:tcPr>
                  <w:tcW w:w="2244" w:type="pct"/>
                  <w:vMerge w:val="restart"/>
                  <w:tcBorders>
                    <w:top w:val="single" w:color="000000" w:sz="6" w:space="0"/>
                    <w:left w:val="single" w:color="000000" w:sz="6" w:space="0"/>
                    <w:bottom w:val="single" w:color="000000" w:sz="6" w:space="0"/>
                    <w:right w:val="nil"/>
                  </w:tcBorders>
                  <w:vAlign w:val="center"/>
                </w:tcPr>
                <w:p w14:paraId="37ABFC3F">
                  <w:pPr>
                    <w:widowControl/>
                    <w:contextualSpacing/>
                    <w:jc w:val="center"/>
                    <w:rPr>
                      <w:color w:val="auto"/>
                      <w:szCs w:val="21"/>
                    </w:rPr>
                  </w:pPr>
                  <w:r>
                    <w:rPr>
                      <w:rFonts w:hAnsi="宋体"/>
                      <w:color w:val="auto"/>
                      <w:szCs w:val="21"/>
                    </w:rPr>
                    <w:t>《大气污染物综合排放标准》（</w:t>
                  </w:r>
                  <w:r>
                    <w:rPr>
                      <w:color w:val="auto"/>
                      <w:szCs w:val="21"/>
                    </w:rPr>
                    <w:t>GB16297-1996</w:t>
                  </w:r>
                  <w:r>
                    <w:rPr>
                      <w:rFonts w:hAnsi="宋体"/>
                      <w:color w:val="auto"/>
                      <w:szCs w:val="21"/>
                    </w:rPr>
                    <w:t>）表</w:t>
                  </w:r>
                  <w:r>
                    <w:rPr>
                      <w:color w:val="auto"/>
                      <w:szCs w:val="21"/>
                    </w:rPr>
                    <w:t xml:space="preserve">2 </w:t>
                  </w:r>
                  <w:r>
                    <w:rPr>
                      <w:rFonts w:hAnsi="宋体"/>
                      <w:color w:val="auto"/>
                      <w:szCs w:val="21"/>
                    </w:rPr>
                    <w:t>中二级排放标准限值</w:t>
                  </w:r>
                </w:p>
              </w:tc>
            </w:tr>
            <w:tr w14:paraId="093131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14:paraId="5EB31A21">
                  <w:pPr>
                    <w:contextualSpacing/>
                    <w:jc w:val="center"/>
                    <w:rPr>
                      <w:color w:val="auto"/>
                      <w:szCs w:val="21"/>
                    </w:rPr>
                  </w:pPr>
                </w:p>
              </w:tc>
              <w:tc>
                <w:tcPr>
                  <w:tcW w:w="746" w:type="pct"/>
                  <w:vMerge w:val="continue"/>
                  <w:tcBorders>
                    <w:top w:val="single" w:color="000000" w:sz="6" w:space="0"/>
                    <w:left w:val="single" w:color="auto" w:sz="4" w:space="0"/>
                    <w:bottom w:val="single" w:color="000000" w:sz="6" w:space="0"/>
                    <w:right w:val="single" w:color="000000" w:sz="6" w:space="0"/>
                  </w:tcBorders>
                  <w:vAlign w:val="center"/>
                </w:tcPr>
                <w:p w14:paraId="6AA07DD2">
                  <w:pPr>
                    <w:spacing w:line="0" w:lineRule="atLeast"/>
                    <w:contextualSpacing/>
                    <w:jc w:val="center"/>
                    <w:rPr>
                      <w:rFonts w:hAnsi="宋体"/>
                      <w:color w:val="auto"/>
                      <w:szCs w:val="21"/>
                    </w:rPr>
                  </w:pPr>
                </w:p>
              </w:tc>
              <w:tc>
                <w:tcPr>
                  <w:tcW w:w="747" w:type="pct"/>
                  <w:tcBorders>
                    <w:top w:val="single" w:color="000000" w:sz="6" w:space="0"/>
                    <w:left w:val="single" w:color="000000" w:sz="6" w:space="0"/>
                    <w:bottom w:val="single" w:color="000000" w:sz="6" w:space="0"/>
                    <w:right w:val="single" w:color="000000" w:sz="6" w:space="0"/>
                  </w:tcBorders>
                  <w:vAlign w:val="center"/>
                </w:tcPr>
                <w:p w14:paraId="7B30B8B0">
                  <w:pPr>
                    <w:contextualSpacing/>
                    <w:jc w:val="center"/>
                    <w:rPr>
                      <w:color w:val="auto"/>
                      <w:szCs w:val="21"/>
                    </w:rPr>
                  </w:pPr>
                  <w:r>
                    <w:rPr>
                      <w:rFonts w:hAnsi="宋体"/>
                      <w:color w:val="auto"/>
                      <w:szCs w:val="21"/>
                    </w:rPr>
                    <w:t>苯并</w:t>
                  </w:r>
                  <w:r>
                    <w:rPr>
                      <w:color w:val="auto"/>
                      <w:szCs w:val="21"/>
                    </w:rPr>
                    <w:t>[a]</w:t>
                  </w:r>
                  <w:r>
                    <w:rPr>
                      <w:rFonts w:hAnsi="宋体"/>
                      <w:color w:val="auto"/>
                      <w:szCs w:val="21"/>
                    </w:rPr>
                    <w:t>芘</w:t>
                  </w:r>
                </w:p>
              </w:tc>
              <w:tc>
                <w:tcPr>
                  <w:tcW w:w="821" w:type="pct"/>
                  <w:vMerge w:val="continue"/>
                  <w:tcBorders>
                    <w:top w:val="single" w:color="000000" w:sz="6" w:space="0"/>
                    <w:left w:val="single" w:color="000000" w:sz="6" w:space="0"/>
                    <w:bottom w:val="single" w:color="000000" w:sz="6" w:space="0"/>
                    <w:right w:val="single" w:color="000000" w:sz="6" w:space="0"/>
                  </w:tcBorders>
                  <w:vAlign w:val="center"/>
                </w:tcPr>
                <w:p w14:paraId="16541E36">
                  <w:pPr>
                    <w:contextualSpacing/>
                    <w:jc w:val="center"/>
                    <w:rPr>
                      <w:color w:val="auto"/>
                      <w:szCs w:val="21"/>
                    </w:rPr>
                  </w:pPr>
                </w:p>
              </w:tc>
              <w:tc>
                <w:tcPr>
                  <w:tcW w:w="2244" w:type="pct"/>
                  <w:vMerge w:val="continue"/>
                  <w:tcBorders>
                    <w:top w:val="single" w:color="000000" w:sz="6" w:space="0"/>
                    <w:left w:val="single" w:color="000000" w:sz="6" w:space="0"/>
                    <w:bottom w:val="single" w:color="000000" w:sz="6" w:space="0"/>
                    <w:right w:val="nil"/>
                  </w:tcBorders>
                  <w:vAlign w:val="center"/>
                </w:tcPr>
                <w:p w14:paraId="2EAFD7DB">
                  <w:pPr>
                    <w:widowControl/>
                    <w:contextualSpacing/>
                    <w:jc w:val="center"/>
                    <w:rPr>
                      <w:color w:val="auto"/>
                      <w:szCs w:val="21"/>
                    </w:rPr>
                  </w:pPr>
                </w:p>
              </w:tc>
            </w:tr>
            <w:tr w14:paraId="55A83D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0" w:hRule="atLeast"/>
                <w:jc w:val="center"/>
              </w:trPr>
              <w:tc>
                <w:tcPr>
                  <w:tcW w:w="442" w:type="pct"/>
                  <w:vMerge w:val="continue"/>
                  <w:tcBorders>
                    <w:left w:val="nil"/>
                    <w:right w:val="single" w:color="auto" w:sz="4" w:space="0"/>
                  </w:tcBorders>
                  <w:vAlign w:val="center"/>
                </w:tcPr>
                <w:p w14:paraId="43CC56E0">
                  <w:pPr>
                    <w:contextualSpacing/>
                    <w:jc w:val="center"/>
                    <w:rPr>
                      <w:color w:val="auto"/>
                      <w:szCs w:val="21"/>
                    </w:rPr>
                  </w:pPr>
                </w:p>
              </w:tc>
              <w:tc>
                <w:tcPr>
                  <w:tcW w:w="746" w:type="pct"/>
                  <w:vMerge w:val="restart"/>
                  <w:tcBorders>
                    <w:top w:val="single" w:color="000000" w:sz="6" w:space="0"/>
                    <w:left w:val="single" w:color="auto" w:sz="4" w:space="0"/>
                    <w:right w:val="single" w:color="000000" w:sz="6" w:space="0"/>
                  </w:tcBorders>
                  <w:vAlign w:val="center"/>
                </w:tcPr>
                <w:p w14:paraId="52FF70DA">
                  <w:pPr>
                    <w:contextualSpacing/>
                    <w:jc w:val="center"/>
                    <w:rPr>
                      <w:color w:val="auto"/>
                      <w:szCs w:val="21"/>
                    </w:rPr>
                  </w:pPr>
                  <w:r>
                    <w:rPr>
                      <w:rFonts w:hAnsi="宋体"/>
                      <w:color w:val="auto"/>
                      <w:szCs w:val="21"/>
                    </w:rPr>
                    <w:t>厂界</w:t>
                  </w:r>
                </w:p>
              </w:tc>
              <w:tc>
                <w:tcPr>
                  <w:tcW w:w="747" w:type="pct"/>
                  <w:tcBorders>
                    <w:top w:val="single" w:color="000000" w:sz="6" w:space="0"/>
                    <w:left w:val="single" w:color="000000" w:sz="6" w:space="0"/>
                    <w:bottom w:val="single" w:color="000000" w:sz="6" w:space="0"/>
                    <w:right w:val="single" w:color="000000" w:sz="6" w:space="0"/>
                  </w:tcBorders>
                  <w:vAlign w:val="center"/>
                </w:tcPr>
                <w:p w14:paraId="1B32059F">
                  <w:pPr>
                    <w:contextualSpacing/>
                    <w:jc w:val="center"/>
                    <w:rPr>
                      <w:rFonts w:hAnsi="宋体"/>
                      <w:color w:val="auto"/>
                      <w:szCs w:val="21"/>
                    </w:rPr>
                  </w:pPr>
                  <w:r>
                    <w:rPr>
                      <w:rFonts w:hAnsi="宋体"/>
                      <w:color w:val="auto"/>
                      <w:szCs w:val="21"/>
                    </w:rPr>
                    <w:t>颗粒物</w:t>
                  </w:r>
                </w:p>
              </w:tc>
              <w:tc>
                <w:tcPr>
                  <w:tcW w:w="821" w:type="pct"/>
                  <w:tcBorders>
                    <w:top w:val="single" w:color="000000" w:sz="6" w:space="0"/>
                    <w:left w:val="single" w:color="000000" w:sz="6" w:space="0"/>
                    <w:bottom w:val="single" w:color="000000" w:sz="6" w:space="0"/>
                    <w:right w:val="single" w:color="000000" w:sz="6" w:space="0"/>
                  </w:tcBorders>
                  <w:vAlign w:val="center"/>
                </w:tcPr>
                <w:p w14:paraId="15CBD321">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年</w:t>
                  </w:r>
                </w:p>
              </w:tc>
              <w:tc>
                <w:tcPr>
                  <w:tcW w:w="2244" w:type="pct"/>
                  <w:vMerge w:val="restart"/>
                  <w:tcBorders>
                    <w:top w:val="single" w:color="000000" w:sz="6" w:space="0"/>
                    <w:left w:val="single" w:color="000000" w:sz="6" w:space="0"/>
                    <w:right w:val="nil"/>
                  </w:tcBorders>
                  <w:vAlign w:val="center"/>
                </w:tcPr>
                <w:p w14:paraId="635C86AF">
                  <w:pPr>
                    <w:widowControl/>
                    <w:contextualSpacing/>
                    <w:jc w:val="center"/>
                    <w:rPr>
                      <w:color w:val="auto"/>
                      <w:szCs w:val="21"/>
                    </w:rPr>
                  </w:pPr>
                  <w:r>
                    <w:rPr>
                      <w:bCs/>
                      <w:color w:val="auto"/>
                      <w:szCs w:val="21"/>
                    </w:rPr>
                    <w:t>《大气污染物综合排放标准》（GB16297-1996）表</w:t>
                  </w:r>
                  <w:r>
                    <w:rPr>
                      <w:rFonts w:hint="eastAsia"/>
                      <w:bCs/>
                      <w:color w:val="auto"/>
                      <w:szCs w:val="21"/>
                    </w:rPr>
                    <w:t>2</w:t>
                  </w:r>
                  <w:r>
                    <w:rPr>
                      <w:bCs/>
                      <w:color w:val="auto"/>
                      <w:szCs w:val="21"/>
                    </w:rPr>
                    <w:t>无组织排放监控浓度限值要求</w:t>
                  </w:r>
                </w:p>
              </w:tc>
            </w:tr>
            <w:tr w14:paraId="373CF1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14:paraId="39E60FE3">
                  <w:pPr>
                    <w:contextualSpacing/>
                    <w:jc w:val="center"/>
                    <w:rPr>
                      <w:color w:val="auto"/>
                      <w:szCs w:val="21"/>
                    </w:rPr>
                  </w:pPr>
                </w:p>
              </w:tc>
              <w:tc>
                <w:tcPr>
                  <w:tcW w:w="746" w:type="pct"/>
                  <w:vMerge w:val="continue"/>
                  <w:tcBorders>
                    <w:left w:val="single" w:color="auto" w:sz="4" w:space="0"/>
                    <w:right w:val="single" w:color="000000" w:sz="6" w:space="0"/>
                  </w:tcBorders>
                  <w:vAlign w:val="center"/>
                </w:tcPr>
                <w:p w14:paraId="3FA4F5C0">
                  <w:pPr>
                    <w:contextualSpacing/>
                    <w:jc w:val="center"/>
                    <w:rPr>
                      <w:color w:val="auto"/>
                      <w:szCs w:val="21"/>
                    </w:rPr>
                  </w:pPr>
                </w:p>
              </w:tc>
              <w:tc>
                <w:tcPr>
                  <w:tcW w:w="747" w:type="pct"/>
                  <w:tcBorders>
                    <w:top w:val="single" w:color="000000" w:sz="6" w:space="0"/>
                    <w:left w:val="single" w:color="000000" w:sz="6" w:space="0"/>
                    <w:bottom w:val="single" w:color="000000" w:sz="6" w:space="0"/>
                    <w:right w:val="single" w:color="000000" w:sz="6" w:space="0"/>
                  </w:tcBorders>
                  <w:vAlign w:val="center"/>
                </w:tcPr>
                <w:p w14:paraId="360CBB61">
                  <w:pPr>
                    <w:contextualSpacing/>
                    <w:jc w:val="center"/>
                    <w:rPr>
                      <w:rFonts w:hAnsi="宋体"/>
                      <w:color w:val="auto"/>
                      <w:szCs w:val="21"/>
                    </w:rPr>
                  </w:pPr>
                  <w:r>
                    <w:rPr>
                      <w:rFonts w:hAnsi="宋体"/>
                      <w:color w:val="auto"/>
                      <w:szCs w:val="21"/>
                    </w:rPr>
                    <w:t>苯并[a]芘</w:t>
                  </w:r>
                </w:p>
              </w:tc>
              <w:tc>
                <w:tcPr>
                  <w:tcW w:w="821" w:type="pct"/>
                  <w:tcBorders>
                    <w:top w:val="single" w:color="000000" w:sz="6" w:space="0"/>
                    <w:left w:val="single" w:color="000000" w:sz="6" w:space="0"/>
                    <w:bottom w:val="single" w:color="000000" w:sz="6" w:space="0"/>
                    <w:right w:val="single" w:color="000000" w:sz="6" w:space="0"/>
                  </w:tcBorders>
                  <w:vAlign w:val="center"/>
                </w:tcPr>
                <w:p w14:paraId="2498B647">
                  <w:pPr>
                    <w:contextualSpacing/>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年</w:t>
                  </w:r>
                </w:p>
              </w:tc>
              <w:tc>
                <w:tcPr>
                  <w:tcW w:w="2244" w:type="pct"/>
                  <w:vMerge w:val="continue"/>
                  <w:tcBorders>
                    <w:left w:val="single" w:color="000000" w:sz="6" w:space="0"/>
                    <w:right w:val="nil"/>
                  </w:tcBorders>
                  <w:vAlign w:val="center"/>
                </w:tcPr>
                <w:p w14:paraId="766FD1C9">
                  <w:pPr>
                    <w:widowControl/>
                    <w:contextualSpacing/>
                    <w:jc w:val="center"/>
                    <w:rPr>
                      <w:color w:val="auto"/>
                      <w:szCs w:val="21"/>
                    </w:rPr>
                  </w:pPr>
                </w:p>
              </w:tc>
            </w:tr>
            <w:tr w14:paraId="7687E8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14:paraId="564CDAB0">
                  <w:pPr>
                    <w:contextualSpacing/>
                    <w:jc w:val="center"/>
                    <w:rPr>
                      <w:color w:val="auto"/>
                      <w:szCs w:val="21"/>
                    </w:rPr>
                  </w:pPr>
                </w:p>
              </w:tc>
              <w:tc>
                <w:tcPr>
                  <w:tcW w:w="746" w:type="pct"/>
                  <w:vMerge w:val="continue"/>
                  <w:tcBorders>
                    <w:left w:val="single" w:color="auto" w:sz="4" w:space="0"/>
                    <w:bottom w:val="single" w:color="000000" w:sz="6" w:space="0"/>
                    <w:right w:val="single" w:color="000000" w:sz="6" w:space="0"/>
                  </w:tcBorders>
                  <w:vAlign w:val="center"/>
                </w:tcPr>
                <w:p w14:paraId="7B5451C2">
                  <w:pPr>
                    <w:contextualSpacing/>
                    <w:jc w:val="center"/>
                    <w:rPr>
                      <w:color w:val="auto"/>
                      <w:szCs w:val="21"/>
                    </w:rPr>
                  </w:pPr>
                </w:p>
              </w:tc>
              <w:tc>
                <w:tcPr>
                  <w:tcW w:w="747" w:type="pct"/>
                  <w:tcBorders>
                    <w:top w:val="single" w:color="000000" w:sz="6" w:space="0"/>
                    <w:left w:val="single" w:color="000000" w:sz="6" w:space="0"/>
                    <w:bottom w:val="single" w:color="000000" w:sz="6" w:space="0"/>
                    <w:right w:val="single" w:color="000000" w:sz="6" w:space="0"/>
                  </w:tcBorders>
                  <w:vAlign w:val="center"/>
                </w:tcPr>
                <w:p w14:paraId="4F104854">
                  <w:pPr>
                    <w:contextualSpacing/>
                    <w:jc w:val="center"/>
                    <w:rPr>
                      <w:rFonts w:hAnsi="宋体"/>
                      <w:color w:val="auto"/>
                      <w:szCs w:val="21"/>
                    </w:rPr>
                  </w:pPr>
                  <w:r>
                    <w:rPr>
                      <w:rFonts w:hAnsi="宋体"/>
                      <w:color w:val="auto"/>
                      <w:szCs w:val="21"/>
                    </w:rPr>
                    <w:t>非甲烷总烃</w:t>
                  </w:r>
                </w:p>
              </w:tc>
              <w:tc>
                <w:tcPr>
                  <w:tcW w:w="821" w:type="pct"/>
                  <w:tcBorders>
                    <w:top w:val="single" w:color="000000" w:sz="6" w:space="0"/>
                    <w:left w:val="single" w:color="000000" w:sz="6" w:space="0"/>
                    <w:bottom w:val="single" w:color="000000" w:sz="6" w:space="0"/>
                    <w:right w:val="single" w:color="000000" w:sz="6" w:space="0"/>
                  </w:tcBorders>
                  <w:vAlign w:val="center"/>
                </w:tcPr>
                <w:p w14:paraId="458ABA67">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季度</w:t>
                  </w:r>
                </w:p>
              </w:tc>
              <w:tc>
                <w:tcPr>
                  <w:tcW w:w="2244" w:type="pct"/>
                  <w:vMerge w:val="continue"/>
                  <w:tcBorders>
                    <w:left w:val="single" w:color="000000" w:sz="6" w:space="0"/>
                    <w:bottom w:val="single" w:color="000000" w:sz="6" w:space="0"/>
                    <w:right w:val="nil"/>
                  </w:tcBorders>
                  <w:vAlign w:val="center"/>
                </w:tcPr>
                <w:p w14:paraId="6E8006EC">
                  <w:pPr>
                    <w:widowControl/>
                    <w:contextualSpacing/>
                    <w:jc w:val="center"/>
                    <w:rPr>
                      <w:color w:val="auto"/>
                      <w:szCs w:val="21"/>
                    </w:rPr>
                  </w:pPr>
                </w:p>
              </w:tc>
            </w:tr>
            <w:tr w14:paraId="2F1F0C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bottom w:val="single" w:color="000000" w:sz="12" w:space="0"/>
                    <w:right w:val="single" w:color="auto" w:sz="4" w:space="0"/>
                  </w:tcBorders>
                  <w:vAlign w:val="center"/>
                </w:tcPr>
                <w:p w14:paraId="47B5A1ED">
                  <w:pPr>
                    <w:contextualSpacing/>
                    <w:jc w:val="center"/>
                    <w:rPr>
                      <w:color w:val="auto"/>
                      <w:szCs w:val="21"/>
                    </w:rPr>
                  </w:pPr>
                </w:p>
              </w:tc>
              <w:tc>
                <w:tcPr>
                  <w:tcW w:w="746" w:type="pct"/>
                  <w:tcBorders>
                    <w:top w:val="single" w:color="000000" w:sz="6" w:space="0"/>
                    <w:left w:val="single" w:color="auto" w:sz="4" w:space="0"/>
                    <w:bottom w:val="single" w:color="000000" w:sz="12" w:space="0"/>
                    <w:right w:val="single" w:color="000000" w:sz="6" w:space="0"/>
                  </w:tcBorders>
                  <w:vAlign w:val="center"/>
                </w:tcPr>
                <w:p w14:paraId="184B72C4">
                  <w:pPr>
                    <w:contextualSpacing/>
                    <w:jc w:val="center"/>
                    <w:rPr>
                      <w:color w:val="auto"/>
                      <w:szCs w:val="21"/>
                    </w:rPr>
                  </w:pPr>
                  <w:r>
                    <w:rPr>
                      <w:color w:val="auto"/>
                      <w:szCs w:val="21"/>
                    </w:rPr>
                    <w:t>厂区内</w:t>
                  </w:r>
                </w:p>
              </w:tc>
              <w:tc>
                <w:tcPr>
                  <w:tcW w:w="747" w:type="pct"/>
                  <w:tcBorders>
                    <w:top w:val="single" w:color="000000" w:sz="6" w:space="0"/>
                    <w:left w:val="single" w:color="000000" w:sz="6" w:space="0"/>
                    <w:bottom w:val="single" w:color="000000" w:sz="12" w:space="0"/>
                    <w:right w:val="single" w:color="000000" w:sz="6" w:space="0"/>
                  </w:tcBorders>
                  <w:vAlign w:val="center"/>
                </w:tcPr>
                <w:p w14:paraId="182EE47E">
                  <w:pPr>
                    <w:contextualSpacing/>
                    <w:jc w:val="center"/>
                    <w:rPr>
                      <w:rFonts w:hAnsi="宋体"/>
                      <w:color w:val="auto"/>
                      <w:szCs w:val="21"/>
                    </w:rPr>
                  </w:pPr>
                  <w:r>
                    <w:rPr>
                      <w:rFonts w:hAnsi="宋体"/>
                      <w:color w:val="auto"/>
                      <w:szCs w:val="21"/>
                    </w:rPr>
                    <w:t>非甲烷总烃</w:t>
                  </w:r>
                </w:p>
              </w:tc>
              <w:tc>
                <w:tcPr>
                  <w:tcW w:w="821" w:type="pct"/>
                  <w:tcBorders>
                    <w:top w:val="single" w:color="000000" w:sz="6" w:space="0"/>
                    <w:left w:val="single" w:color="000000" w:sz="6" w:space="0"/>
                    <w:bottom w:val="single" w:color="000000" w:sz="12" w:space="0"/>
                    <w:right w:val="single" w:color="000000" w:sz="6" w:space="0"/>
                  </w:tcBorders>
                  <w:vAlign w:val="center"/>
                </w:tcPr>
                <w:p w14:paraId="5F0487F7">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季度</w:t>
                  </w:r>
                </w:p>
              </w:tc>
              <w:tc>
                <w:tcPr>
                  <w:tcW w:w="2244" w:type="pct"/>
                  <w:tcBorders>
                    <w:top w:val="single" w:color="000000" w:sz="6" w:space="0"/>
                    <w:left w:val="single" w:color="000000" w:sz="6" w:space="0"/>
                    <w:bottom w:val="single" w:color="000000" w:sz="12" w:space="0"/>
                    <w:right w:val="nil"/>
                  </w:tcBorders>
                  <w:vAlign w:val="center"/>
                </w:tcPr>
                <w:p w14:paraId="2CC36894">
                  <w:pPr>
                    <w:widowControl/>
                    <w:contextualSpacing/>
                    <w:jc w:val="center"/>
                    <w:rPr>
                      <w:color w:val="auto"/>
                      <w:szCs w:val="21"/>
                    </w:rPr>
                  </w:pPr>
                  <w:r>
                    <w:rPr>
                      <w:color w:val="auto"/>
                      <w:szCs w:val="21"/>
                    </w:rPr>
                    <w:t>《挥发性有机物无组织排放标准》（GB</w:t>
                  </w:r>
                  <w:r>
                    <w:rPr>
                      <w:rFonts w:hint="eastAsia"/>
                      <w:color w:val="auto"/>
                      <w:szCs w:val="21"/>
                    </w:rPr>
                    <w:t>37822</w:t>
                  </w:r>
                  <w:r>
                    <w:rPr>
                      <w:color w:val="auto"/>
                      <w:szCs w:val="21"/>
                    </w:rPr>
                    <w:t>-20</w:t>
                  </w:r>
                  <w:r>
                    <w:rPr>
                      <w:rFonts w:hint="eastAsia"/>
                      <w:color w:val="auto"/>
                      <w:szCs w:val="21"/>
                    </w:rPr>
                    <w:t>19</w:t>
                  </w:r>
                  <w:r>
                    <w:rPr>
                      <w:color w:val="auto"/>
                      <w:szCs w:val="21"/>
                    </w:rPr>
                    <w:t>）中表</w:t>
                  </w:r>
                  <w:r>
                    <w:rPr>
                      <w:rFonts w:hint="eastAsia"/>
                      <w:color w:val="auto"/>
                      <w:szCs w:val="21"/>
                    </w:rPr>
                    <w:t>A.1无组织排放限值</w:t>
                  </w:r>
                </w:p>
              </w:tc>
            </w:tr>
          </w:tbl>
          <w:p w14:paraId="0B830A94">
            <w:pPr>
              <w:spacing w:line="360" w:lineRule="auto"/>
              <w:ind w:firstLine="482" w:firstLineChars="200"/>
              <w:contextualSpacing/>
              <w:rPr>
                <w:b/>
                <w:bCs/>
                <w:color w:val="auto"/>
                <w:sz w:val="24"/>
              </w:rPr>
            </w:pPr>
          </w:p>
          <w:p w14:paraId="1345C938">
            <w:pPr>
              <w:spacing w:line="360" w:lineRule="auto"/>
              <w:ind w:firstLine="482" w:firstLineChars="200"/>
              <w:contextualSpacing/>
              <w:rPr>
                <w:b/>
                <w:bCs/>
                <w:color w:val="auto"/>
                <w:sz w:val="24"/>
              </w:rPr>
            </w:pPr>
            <w:r>
              <w:rPr>
                <w:b/>
                <w:bCs/>
                <w:color w:val="auto"/>
                <w:sz w:val="24"/>
              </w:rPr>
              <w:t>（二）废水</w:t>
            </w:r>
          </w:p>
          <w:p w14:paraId="65ECFD46">
            <w:pPr>
              <w:spacing w:line="360" w:lineRule="auto"/>
              <w:ind w:firstLine="480" w:firstLineChars="200"/>
              <w:contextualSpacing/>
              <w:rPr>
                <w:rFonts w:eastAsiaTheme="minorEastAsia"/>
                <w:bCs/>
                <w:color w:val="auto"/>
                <w:sz w:val="24"/>
              </w:rPr>
            </w:pPr>
            <w:r>
              <w:rPr>
                <w:rFonts w:eastAsiaTheme="minorEastAsia"/>
                <w:color w:val="auto"/>
                <w:sz w:val="24"/>
              </w:rPr>
              <w:t>本项目</w:t>
            </w:r>
            <w:r>
              <w:rPr>
                <w:color w:val="auto"/>
                <w:kern w:val="0"/>
                <w:sz w:val="24"/>
              </w:rPr>
              <w:t>无</w:t>
            </w:r>
            <w:r>
              <w:rPr>
                <w:color w:val="auto"/>
                <w:sz w:val="24"/>
              </w:rPr>
              <w:t>生产废水产生</w:t>
            </w:r>
            <w:r>
              <w:rPr>
                <w:rFonts w:eastAsiaTheme="minorEastAsia"/>
                <w:color w:val="auto"/>
                <w:sz w:val="24"/>
              </w:rPr>
              <w:t>；</w:t>
            </w:r>
            <w:r>
              <w:rPr>
                <w:rFonts w:eastAsiaTheme="minorEastAsia"/>
                <w:bCs/>
                <w:color w:val="auto"/>
                <w:sz w:val="24"/>
              </w:rPr>
              <w:t>生活污水总量为</w:t>
            </w:r>
            <w:r>
              <w:rPr>
                <w:color w:val="auto"/>
                <w:sz w:val="24"/>
              </w:rPr>
              <w:t>0.</w:t>
            </w:r>
            <w:r>
              <w:rPr>
                <w:rFonts w:hint="eastAsia"/>
                <w:color w:val="auto"/>
                <w:sz w:val="24"/>
                <w:lang w:val="en-US" w:eastAsia="zh-CN"/>
              </w:rPr>
              <w:t>384</w:t>
            </w:r>
            <w:r>
              <w:rPr>
                <w:color w:val="auto"/>
                <w:sz w:val="24"/>
              </w:rPr>
              <w:t>t/d，</w:t>
            </w:r>
            <w:r>
              <w:rPr>
                <w:rFonts w:hint="eastAsia"/>
                <w:color w:val="auto"/>
                <w:sz w:val="24"/>
                <w:lang w:val="en-US" w:eastAsia="zh-CN"/>
              </w:rPr>
              <w:t>92.16</w:t>
            </w:r>
            <w:r>
              <w:rPr>
                <w:color w:val="auto"/>
                <w:sz w:val="24"/>
              </w:rPr>
              <w:t>t/a</w:t>
            </w:r>
            <w:r>
              <w:rPr>
                <w:rFonts w:eastAsiaTheme="minorEastAsia"/>
                <w:bCs/>
                <w:color w:val="auto"/>
                <w:sz w:val="24"/>
              </w:rPr>
              <w:t>，根据《水工业工程设计手册-建筑和小区给排水》中“12.2.2污水水量和水质”中给出的住宅、各类公共建筑污水水质平均浓度，并结合项目特点，污水中主要污染物浓度分别为COD：</w:t>
            </w:r>
            <w:r>
              <w:rPr>
                <w:rFonts w:hint="eastAsia" w:eastAsiaTheme="minorEastAsia"/>
                <w:bCs/>
                <w:color w:val="auto"/>
                <w:sz w:val="24"/>
              </w:rPr>
              <w:t>45</w:t>
            </w:r>
            <w:r>
              <w:rPr>
                <w:rFonts w:eastAsiaTheme="minorEastAsia"/>
                <w:bCs/>
                <w:color w:val="auto"/>
                <w:sz w:val="24"/>
              </w:rPr>
              <w:t>0mg/L、氨氮：</w:t>
            </w:r>
            <w:r>
              <w:rPr>
                <w:rFonts w:hint="eastAsia" w:eastAsiaTheme="minorEastAsia"/>
                <w:bCs/>
                <w:color w:val="auto"/>
                <w:sz w:val="24"/>
              </w:rPr>
              <w:t>40</w:t>
            </w:r>
            <w:r>
              <w:rPr>
                <w:rFonts w:eastAsiaTheme="minorEastAsia"/>
                <w:bCs/>
                <w:color w:val="auto"/>
                <w:sz w:val="24"/>
              </w:rPr>
              <w:t>mg/L、pH：6.5-7.5、SS：</w:t>
            </w:r>
            <w:r>
              <w:rPr>
                <w:rFonts w:hint="eastAsia" w:eastAsiaTheme="minorEastAsia"/>
                <w:bCs/>
                <w:color w:val="auto"/>
                <w:sz w:val="24"/>
              </w:rPr>
              <w:t>3</w:t>
            </w:r>
            <w:r>
              <w:rPr>
                <w:rFonts w:eastAsiaTheme="minorEastAsia"/>
                <w:bCs/>
                <w:color w:val="auto"/>
                <w:sz w:val="24"/>
              </w:rPr>
              <w:t>00mg/L、BOD</w:t>
            </w:r>
            <w:r>
              <w:rPr>
                <w:rFonts w:eastAsiaTheme="minorEastAsia"/>
                <w:bCs/>
                <w:color w:val="auto"/>
                <w:sz w:val="24"/>
                <w:vertAlign w:val="subscript"/>
              </w:rPr>
              <w:t>5</w:t>
            </w:r>
            <w:r>
              <w:rPr>
                <w:rFonts w:eastAsiaTheme="minorEastAsia"/>
                <w:bCs/>
                <w:color w:val="auto"/>
                <w:sz w:val="24"/>
              </w:rPr>
              <w:t>：</w:t>
            </w:r>
            <w:r>
              <w:rPr>
                <w:rFonts w:hint="eastAsia" w:eastAsiaTheme="minorEastAsia"/>
                <w:bCs/>
                <w:color w:val="auto"/>
                <w:sz w:val="24"/>
              </w:rPr>
              <w:t>25</w:t>
            </w:r>
            <w:r>
              <w:rPr>
                <w:rFonts w:eastAsiaTheme="minorEastAsia"/>
                <w:bCs/>
                <w:color w:val="auto"/>
                <w:sz w:val="24"/>
              </w:rPr>
              <w:t>0mg/L，产生量分别为COD：0.</w:t>
            </w:r>
            <w:r>
              <w:rPr>
                <w:rFonts w:hint="eastAsia" w:eastAsiaTheme="minorEastAsia"/>
                <w:bCs/>
                <w:color w:val="auto"/>
                <w:sz w:val="24"/>
              </w:rPr>
              <w:t>12</w:t>
            </w:r>
            <w:r>
              <w:rPr>
                <w:rFonts w:eastAsiaTheme="minorEastAsia"/>
                <w:bCs/>
                <w:color w:val="auto"/>
                <w:sz w:val="24"/>
              </w:rPr>
              <w:t>t/a、氨氮：0.0</w:t>
            </w:r>
            <w:r>
              <w:rPr>
                <w:rFonts w:hint="eastAsia" w:eastAsiaTheme="minorEastAsia"/>
                <w:bCs/>
                <w:color w:val="auto"/>
                <w:sz w:val="24"/>
              </w:rPr>
              <w:t>1</w:t>
            </w:r>
            <w:r>
              <w:rPr>
                <w:rFonts w:eastAsiaTheme="minorEastAsia"/>
                <w:bCs/>
                <w:color w:val="auto"/>
                <w:sz w:val="24"/>
              </w:rPr>
              <w:t>t/a、SS：0.0</w:t>
            </w:r>
            <w:r>
              <w:rPr>
                <w:rFonts w:hint="eastAsia" w:eastAsiaTheme="minorEastAsia"/>
                <w:bCs/>
                <w:color w:val="auto"/>
                <w:sz w:val="24"/>
              </w:rPr>
              <w:t>8</w:t>
            </w:r>
            <w:r>
              <w:rPr>
                <w:rFonts w:eastAsiaTheme="minorEastAsia"/>
                <w:bCs/>
                <w:color w:val="auto"/>
                <w:sz w:val="24"/>
              </w:rPr>
              <w:t>t/a、BOD</w:t>
            </w:r>
            <w:r>
              <w:rPr>
                <w:rFonts w:eastAsiaTheme="minorEastAsia"/>
                <w:bCs/>
                <w:color w:val="auto"/>
                <w:sz w:val="24"/>
                <w:vertAlign w:val="subscript"/>
              </w:rPr>
              <w:t>5</w:t>
            </w:r>
            <w:r>
              <w:rPr>
                <w:rFonts w:eastAsiaTheme="minorEastAsia"/>
                <w:bCs/>
                <w:color w:val="auto"/>
                <w:sz w:val="24"/>
              </w:rPr>
              <w:t>：0.0</w:t>
            </w:r>
            <w:r>
              <w:rPr>
                <w:rFonts w:hint="eastAsia" w:eastAsiaTheme="minorEastAsia"/>
                <w:bCs/>
                <w:color w:val="auto"/>
                <w:sz w:val="24"/>
              </w:rPr>
              <w:t>6</w:t>
            </w:r>
            <w:r>
              <w:rPr>
                <w:rFonts w:eastAsiaTheme="minorEastAsia"/>
                <w:bCs/>
                <w:color w:val="auto"/>
                <w:sz w:val="24"/>
              </w:rPr>
              <w:t>t/a。生活污水排入防渗旱厕，定期清掏，外运堆肥。</w:t>
            </w:r>
          </w:p>
          <w:p w14:paraId="17AC579A">
            <w:pPr>
              <w:spacing w:line="360" w:lineRule="auto"/>
              <w:ind w:firstLine="480" w:firstLineChars="200"/>
              <w:rPr>
                <w:color w:val="auto"/>
                <w:sz w:val="24"/>
              </w:rPr>
            </w:pPr>
            <w:r>
              <w:rPr>
                <w:color w:val="auto"/>
                <w:sz w:val="24"/>
              </w:rPr>
              <w:t>初期雨水量为</w:t>
            </w:r>
            <w:r>
              <w:rPr>
                <w:rFonts w:hint="eastAsia"/>
                <w:color w:val="auto"/>
                <w:sz w:val="24"/>
              </w:rPr>
              <w:t>351.6</w:t>
            </w:r>
            <w:r>
              <w:rPr>
                <w:rFonts w:hint="eastAsia"/>
                <w:color w:val="auto"/>
                <w:sz w:val="24"/>
                <w:lang w:val="en-US" w:eastAsia="zh-CN"/>
              </w:rPr>
              <w:t>t/a</w:t>
            </w:r>
            <w:r>
              <w:rPr>
                <w:color w:val="auto"/>
                <w:sz w:val="24"/>
              </w:rPr>
              <w:t>。初期雨水经厂区四周排水沟汇入厂区初期雨水池隔油沉淀后，用于</w:t>
            </w:r>
            <w:r>
              <w:rPr>
                <w:rFonts w:hint="eastAsia"/>
                <w:color w:val="auto"/>
                <w:sz w:val="24"/>
              </w:rPr>
              <w:t>洒水</w:t>
            </w:r>
            <w:r>
              <w:rPr>
                <w:color w:val="auto"/>
                <w:sz w:val="24"/>
              </w:rPr>
              <w:t>降尘</w:t>
            </w:r>
            <w:r>
              <w:rPr>
                <w:rFonts w:hint="eastAsia"/>
                <w:color w:val="auto"/>
                <w:sz w:val="24"/>
              </w:rPr>
              <w:t>，不外排</w:t>
            </w:r>
            <w:r>
              <w:rPr>
                <w:color w:val="auto"/>
                <w:sz w:val="24"/>
              </w:rPr>
              <w:t>。</w:t>
            </w:r>
          </w:p>
          <w:p w14:paraId="6A8D211A">
            <w:pPr>
              <w:pStyle w:val="66"/>
              <w:spacing w:line="240" w:lineRule="auto"/>
              <w:contextualSpacing/>
              <w:rPr>
                <w:rFonts w:ascii="Times New Roman" w:hAnsi="Times New Roman" w:eastAsia="宋体"/>
                <w:b/>
                <w:color w:val="auto"/>
              </w:rPr>
            </w:pPr>
            <w:r>
              <w:rPr>
                <w:rFonts w:ascii="Times New Roman" w:hAnsi="Times New Roman" w:eastAsia="宋体"/>
                <w:b/>
                <w:color w:val="auto"/>
              </w:rPr>
              <w:t>表</w:t>
            </w:r>
            <w:r>
              <w:rPr>
                <w:rFonts w:hint="eastAsia" w:ascii="Times New Roman" w:hAnsi="Times New Roman" w:eastAsia="宋体"/>
                <w:b/>
                <w:color w:val="auto"/>
                <w:lang w:val="en-US" w:eastAsia="zh-CN"/>
              </w:rPr>
              <w:t>4-6</w:t>
            </w:r>
            <w:r>
              <w:rPr>
                <w:rFonts w:ascii="Times New Roman" w:hAnsi="Times New Roman" w:eastAsia="宋体"/>
                <w:b/>
                <w:color w:val="auto"/>
              </w:rPr>
              <w:t xml:space="preserve"> 废水污染源源强核算结果及相关参数一览表</w:t>
            </w:r>
          </w:p>
          <w:tbl>
            <w:tblPr>
              <w:tblStyle w:val="27"/>
              <w:tblW w:w="82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26"/>
              <w:gridCol w:w="850"/>
              <w:gridCol w:w="709"/>
              <w:gridCol w:w="850"/>
              <w:gridCol w:w="993"/>
              <w:gridCol w:w="425"/>
              <w:gridCol w:w="425"/>
              <w:gridCol w:w="851"/>
              <w:gridCol w:w="708"/>
              <w:gridCol w:w="792"/>
              <w:gridCol w:w="756"/>
            </w:tblGrid>
            <w:tr w14:paraId="5AD13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3" w:type="dxa"/>
                  <w:vMerge w:val="restart"/>
                  <w:vAlign w:val="center"/>
                </w:tcPr>
                <w:p w14:paraId="680BCD25">
                  <w:pPr>
                    <w:contextualSpacing/>
                    <w:jc w:val="center"/>
                    <w:rPr>
                      <w:rFonts w:eastAsiaTheme="minorEastAsia"/>
                      <w:color w:val="auto"/>
                      <w:szCs w:val="21"/>
                    </w:rPr>
                  </w:pPr>
                  <w:r>
                    <w:rPr>
                      <w:rFonts w:eastAsiaTheme="minorEastAsia"/>
                      <w:color w:val="auto"/>
                      <w:szCs w:val="21"/>
                    </w:rPr>
                    <w:t>产污环节</w:t>
                  </w:r>
                </w:p>
              </w:tc>
              <w:tc>
                <w:tcPr>
                  <w:tcW w:w="426" w:type="dxa"/>
                  <w:vMerge w:val="restart"/>
                  <w:vAlign w:val="center"/>
                </w:tcPr>
                <w:p w14:paraId="7C3A38BF">
                  <w:pPr>
                    <w:contextualSpacing/>
                    <w:jc w:val="center"/>
                    <w:rPr>
                      <w:rFonts w:eastAsiaTheme="minorEastAsia"/>
                      <w:color w:val="auto"/>
                      <w:szCs w:val="21"/>
                    </w:rPr>
                  </w:pPr>
                  <w:r>
                    <w:rPr>
                      <w:rFonts w:eastAsiaTheme="minorEastAsia"/>
                      <w:color w:val="auto"/>
                      <w:szCs w:val="21"/>
                    </w:rPr>
                    <w:t>类别</w:t>
                  </w:r>
                </w:p>
              </w:tc>
              <w:tc>
                <w:tcPr>
                  <w:tcW w:w="850" w:type="dxa"/>
                  <w:vMerge w:val="restart"/>
                  <w:vAlign w:val="center"/>
                </w:tcPr>
                <w:p w14:paraId="1E75DD26">
                  <w:pPr>
                    <w:autoSpaceDE w:val="0"/>
                    <w:autoSpaceDN w:val="0"/>
                    <w:contextualSpacing/>
                    <w:jc w:val="center"/>
                    <w:rPr>
                      <w:rFonts w:eastAsiaTheme="minorEastAsia"/>
                      <w:color w:val="auto"/>
                      <w:szCs w:val="21"/>
                    </w:rPr>
                  </w:pPr>
                  <w:r>
                    <w:rPr>
                      <w:rFonts w:eastAsiaTheme="minorEastAsia"/>
                      <w:color w:val="auto"/>
                      <w:szCs w:val="21"/>
                    </w:rPr>
                    <w:t>污染物种类</w:t>
                  </w:r>
                </w:p>
              </w:tc>
              <w:tc>
                <w:tcPr>
                  <w:tcW w:w="2552" w:type="dxa"/>
                  <w:gridSpan w:val="3"/>
                  <w:vAlign w:val="center"/>
                </w:tcPr>
                <w:p w14:paraId="4C412F5C">
                  <w:pPr>
                    <w:autoSpaceDE w:val="0"/>
                    <w:autoSpaceDN w:val="0"/>
                    <w:contextualSpacing/>
                    <w:jc w:val="center"/>
                    <w:rPr>
                      <w:rFonts w:eastAsiaTheme="minorEastAsia"/>
                      <w:color w:val="auto"/>
                      <w:szCs w:val="21"/>
                    </w:rPr>
                  </w:pPr>
                  <w:r>
                    <w:rPr>
                      <w:rFonts w:eastAsiaTheme="minorEastAsia"/>
                      <w:color w:val="auto"/>
                      <w:szCs w:val="21"/>
                    </w:rPr>
                    <w:t>污染物产生</w:t>
                  </w:r>
                </w:p>
              </w:tc>
              <w:tc>
                <w:tcPr>
                  <w:tcW w:w="1701" w:type="dxa"/>
                  <w:gridSpan w:val="3"/>
                  <w:vAlign w:val="center"/>
                </w:tcPr>
                <w:p w14:paraId="1674ED1C">
                  <w:pPr>
                    <w:autoSpaceDE w:val="0"/>
                    <w:autoSpaceDN w:val="0"/>
                    <w:contextualSpacing/>
                    <w:jc w:val="center"/>
                    <w:rPr>
                      <w:rFonts w:eastAsiaTheme="minorEastAsia"/>
                      <w:color w:val="auto"/>
                      <w:szCs w:val="21"/>
                    </w:rPr>
                  </w:pPr>
                  <w:r>
                    <w:rPr>
                      <w:rFonts w:eastAsiaTheme="minorEastAsia"/>
                      <w:color w:val="auto"/>
                      <w:szCs w:val="21"/>
                    </w:rPr>
                    <w:t>治理措施</w:t>
                  </w:r>
                </w:p>
              </w:tc>
              <w:tc>
                <w:tcPr>
                  <w:tcW w:w="2256" w:type="dxa"/>
                  <w:gridSpan w:val="3"/>
                  <w:vAlign w:val="center"/>
                </w:tcPr>
                <w:p w14:paraId="70833265">
                  <w:pPr>
                    <w:autoSpaceDE w:val="0"/>
                    <w:autoSpaceDN w:val="0"/>
                    <w:contextualSpacing/>
                    <w:jc w:val="center"/>
                    <w:rPr>
                      <w:rFonts w:eastAsiaTheme="minorEastAsia"/>
                      <w:color w:val="auto"/>
                      <w:szCs w:val="21"/>
                    </w:rPr>
                  </w:pPr>
                  <w:r>
                    <w:rPr>
                      <w:rFonts w:eastAsiaTheme="minorEastAsia"/>
                      <w:color w:val="auto"/>
                      <w:szCs w:val="21"/>
                    </w:rPr>
                    <w:t>污染物排放</w:t>
                  </w:r>
                </w:p>
              </w:tc>
            </w:tr>
            <w:tr w14:paraId="7A07B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73" w:type="dxa"/>
                  <w:vMerge w:val="continue"/>
                  <w:vAlign w:val="center"/>
                </w:tcPr>
                <w:p w14:paraId="1A205641">
                  <w:pPr>
                    <w:autoSpaceDE w:val="0"/>
                    <w:autoSpaceDN w:val="0"/>
                    <w:spacing w:line="240" w:lineRule="atLeast"/>
                    <w:contextualSpacing/>
                    <w:jc w:val="center"/>
                    <w:rPr>
                      <w:rFonts w:eastAsiaTheme="minorEastAsia"/>
                      <w:color w:val="auto"/>
                      <w:szCs w:val="21"/>
                    </w:rPr>
                  </w:pPr>
                </w:p>
              </w:tc>
              <w:tc>
                <w:tcPr>
                  <w:tcW w:w="426" w:type="dxa"/>
                  <w:vMerge w:val="continue"/>
                  <w:vAlign w:val="center"/>
                </w:tcPr>
                <w:p w14:paraId="491990DD">
                  <w:pPr>
                    <w:autoSpaceDE w:val="0"/>
                    <w:autoSpaceDN w:val="0"/>
                    <w:spacing w:line="240" w:lineRule="atLeast"/>
                    <w:contextualSpacing/>
                    <w:jc w:val="center"/>
                    <w:rPr>
                      <w:rFonts w:eastAsiaTheme="minorEastAsia"/>
                      <w:color w:val="auto"/>
                      <w:szCs w:val="21"/>
                    </w:rPr>
                  </w:pPr>
                </w:p>
              </w:tc>
              <w:tc>
                <w:tcPr>
                  <w:tcW w:w="850" w:type="dxa"/>
                  <w:vMerge w:val="continue"/>
                  <w:vAlign w:val="center"/>
                </w:tcPr>
                <w:p w14:paraId="22E762B1">
                  <w:pPr>
                    <w:autoSpaceDE w:val="0"/>
                    <w:autoSpaceDN w:val="0"/>
                    <w:spacing w:line="240" w:lineRule="atLeast"/>
                    <w:contextualSpacing/>
                    <w:jc w:val="center"/>
                    <w:rPr>
                      <w:rFonts w:eastAsiaTheme="minorEastAsia"/>
                      <w:color w:val="auto"/>
                      <w:szCs w:val="21"/>
                    </w:rPr>
                  </w:pPr>
                </w:p>
              </w:tc>
              <w:tc>
                <w:tcPr>
                  <w:tcW w:w="709" w:type="dxa"/>
                  <w:vAlign w:val="center"/>
                </w:tcPr>
                <w:p w14:paraId="74BFE2B8">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废水产生量t/a</w:t>
                  </w:r>
                </w:p>
              </w:tc>
              <w:tc>
                <w:tcPr>
                  <w:tcW w:w="850" w:type="dxa"/>
                  <w:vAlign w:val="center"/>
                </w:tcPr>
                <w:p w14:paraId="5DAB4B5E">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产生浓度</w:t>
                  </w:r>
                </w:p>
                <w:p w14:paraId="5112EC14">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mg/L</w:t>
                  </w:r>
                </w:p>
              </w:tc>
              <w:tc>
                <w:tcPr>
                  <w:tcW w:w="993" w:type="dxa"/>
                  <w:vAlign w:val="center"/>
                </w:tcPr>
                <w:p w14:paraId="4F05D134">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产生量</w:t>
                  </w:r>
                </w:p>
                <w:p w14:paraId="1A23359D">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t/a</w:t>
                  </w:r>
                </w:p>
              </w:tc>
              <w:tc>
                <w:tcPr>
                  <w:tcW w:w="425" w:type="dxa"/>
                  <w:vAlign w:val="center"/>
                </w:tcPr>
                <w:p w14:paraId="04251DFF">
                  <w:pPr>
                    <w:autoSpaceDE w:val="0"/>
                    <w:autoSpaceDN w:val="0"/>
                    <w:spacing w:line="240" w:lineRule="atLeast"/>
                    <w:contextualSpacing/>
                    <w:jc w:val="center"/>
                    <w:rPr>
                      <w:rFonts w:eastAsiaTheme="minorEastAsia"/>
                      <w:color w:val="auto"/>
                      <w:szCs w:val="21"/>
                    </w:rPr>
                  </w:pPr>
                  <w:r>
                    <w:rPr>
                      <w:rFonts w:eastAsiaTheme="minorEastAsia"/>
                      <w:color w:val="auto"/>
                      <w:szCs w:val="21"/>
                    </w:rPr>
                    <w:t>工艺</w:t>
                  </w:r>
                </w:p>
              </w:tc>
              <w:tc>
                <w:tcPr>
                  <w:tcW w:w="425" w:type="dxa"/>
                  <w:vAlign w:val="center"/>
                </w:tcPr>
                <w:p w14:paraId="162F6F25">
                  <w:pPr>
                    <w:autoSpaceDE w:val="0"/>
                    <w:autoSpaceDN w:val="0"/>
                    <w:spacing w:line="240" w:lineRule="atLeast"/>
                    <w:contextualSpacing/>
                    <w:jc w:val="center"/>
                    <w:rPr>
                      <w:rFonts w:eastAsiaTheme="minorEastAsia"/>
                      <w:color w:val="auto"/>
                      <w:szCs w:val="21"/>
                    </w:rPr>
                  </w:pPr>
                  <w:r>
                    <w:rPr>
                      <w:rFonts w:eastAsiaTheme="minorEastAsia"/>
                      <w:color w:val="auto"/>
                      <w:szCs w:val="21"/>
                    </w:rPr>
                    <w:t>效率</w:t>
                  </w:r>
                </w:p>
              </w:tc>
              <w:tc>
                <w:tcPr>
                  <w:tcW w:w="851" w:type="dxa"/>
                  <w:vAlign w:val="center"/>
                </w:tcPr>
                <w:p w14:paraId="0401D229">
                  <w:pPr>
                    <w:autoSpaceDE w:val="0"/>
                    <w:autoSpaceDN w:val="0"/>
                    <w:spacing w:line="240" w:lineRule="atLeast"/>
                    <w:contextualSpacing/>
                    <w:jc w:val="center"/>
                    <w:rPr>
                      <w:rFonts w:eastAsiaTheme="minorEastAsia"/>
                      <w:color w:val="auto"/>
                      <w:szCs w:val="21"/>
                    </w:rPr>
                  </w:pPr>
                  <w:r>
                    <w:rPr>
                      <w:rFonts w:eastAsiaTheme="minorEastAsia"/>
                      <w:color w:val="auto"/>
                      <w:szCs w:val="21"/>
                    </w:rPr>
                    <w:t>是否为可行性技术</w:t>
                  </w:r>
                </w:p>
              </w:tc>
              <w:tc>
                <w:tcPr>
                  <w:tcW w:w="708" w:type="dxa"/>
                  <w:vAlign w:val="center"/>
                </w:tcPr>
                <w:p w14:paraId="20F4E7B5">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废水排放量t/a</w:t>
                  </w:r>
                </w:p>
              </w:tc>
              <w:tc>
                <w:tcPr>
                  <w:tcW w:w="792" w:type="dxa"/>
                  <w:vAlign w:val="center"/>
                </w:tcPr>
                <w:p w14:paraId="6990A426">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排放浓度mg/L</w:t>
                  </w:r>
                </w:p>
              </w:tc>
              <w:tc>
                <w:tcPr>
                  <w:tcW w:w="756" w:type="dxa"/>
                  <w:vAlign w:val="center"/>
                </w:tcPr>
                <w:p w14:paraId="517DC1B6">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排放量</w:t>
                  </w:r>
                </w:p>
                <w:p w14:paraId="4007145B">
                  <w:pPr>
                    <w:pStyle w:val="66"/>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t/a</w:t>
                  </w:r>
                </w:p>
              </w:tc>
            </w:tr>
            <w:tr w14:paraId="7884B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73" w:type="dxa"/>
                  <w:vMerge w:val="restart"/>
                  <w:vAlign w:val="center"/>
                </w:tcPr>
                <w:p w14:paraId="17D64E9C">
                  <w:pPr>
                    <w:autoSpaceDE w:val="0"/>
                    <w:autoSpaceDN w:val="0"/>
                    <w:spacing w:line="240" w:lineRule="atLeast"/>
                    <w:contextualSpacing/>
                    <w:jc w:val="center"/>
                    <w:rPr>
                      <w:rFonts w:eastAsiaTheme="minorEastAsia"/>
                      <w:color w:val="auto"/>
                      <w:szCs w:val="21"/>
                    </w:rPr>
                  </w:pPr>
                  <w:r>
                    <w:rPr>
                      <w:rFonts w:eastAsiaTheme="minorEastAsia"/>
                      <w:color w:val="auto"/>
                      <w:szCs w:val="21"/>
                    </w:rPr>
                    <w:t>员工生活</w:t>
                  </w:r>
                </w:p>
              </w:tc>
              <w:tc>
                <w:tcPr>
                  <w:tcW w:w="426" w:type="dxa"/>
                  <w:vMerge w:val="restart"/>
                  <w:vAlign w:val="center"/>
                </w:tcPr>
                <w:p w14:paraId="29FC1E04">
                  <w:pPr>
                    <w:widowControl/>
                    <w:spacing w:line="240" w:lineRule="atLeast"/>
                    <w:contextualSpacing/>
                    <w:jc w:val="center"/>
                    <w:rPr>
                      <w:rFonts w:eastAsiaTheme="minorEastAsia"/>
                      <w:color w:val="auto"/>
                      <w:szCs w:val="21"/>
                    </w:rPr>
                  </w:pPr>
                  <w:r>
                    <w:rPr>
                      <w:rFonts w:eastAsiaTheme="minorEastAsia"/>
                      <w:color w:val="auto"/>
                      <w:szCs w:val="21"/>
                    </w:rPr>
                    <w:t>生活污水</w:t>
                  </w:r>
                </w:p>
              </w:tc>
              <w:tc>
                <w:tcPr>
                  <w:tcW w:w="850" w:type="dxa"/>
                  <w:vAlign w:val="center"/>
                </w:tcPr>
                <w:p w14:paraId="75BDDC60">
                  <w:pPr>
                    <w:spacing w:line="240" w:lineRule="atLeast"/>
                    <w:contextualSpacing/>
                    <w:jc w:val="center"/>
                    <w:rPr>
                      <w:rFonts w:eastAsiaTheme="minorEastAsia"/>
                      <w:color w:val="auto"/>
                      <w:szCs w:val="21"/>
                    </w:rPr>
                  </w:pPr>
                  <w:r>
                    <w:rPr>
                      <w:rFonts w:eastAsiaTheme="minorEastAsia"/>
                      <w:color w:val="auto"/>
                      <w:szCs w:val="21"/>
                    </w:rPr>
                    <w:t>COD</w:t>
                  </w:r>
                </w:p>
              </w:tc>
              <w:tc>
                <w:tcPr>
                  <w:tcW w:w="709" w:type="dxa"/>
                  <w:vMerge w:val="restart"/>
                  <w:vAlign w:val="center"/>
                </w:tcPr>
                <w:p w14:paraId="720FFB22">
                  <w:pPr>
                    <w:autoSpaceDE w:val="0"/>
                    <w:autoSpaceDN w:val="0"/>
                    <w:spacing w:line="240" w:lineRule="atLeast"/>
                    <w:contextualSpacing/>
                    <w:jc w:val="center"/>
                    <w:rPr>
                      <w:rFonts w:eastAsiaTheme="minorEastAsia"/>
                      <w:color w:val="auto"/>
                      <w:szCs w:val="21"/>
                    </w:rPr>
                  </w:pPr>
                  <w:r>
                    <w:rPr>
                      <w:rFonts w:hint="eastAsia"/>
                      <w:color w:val="auto"/>
                      <w:sz w:val="21"/>
                      <w:szCs w:val="21"/>
                      <w:lang w:val="en-US" w:eastAsia="zh-CN"/>
                    </w:rPr>
                    <w:t>92.16</w:t>
                  </w:r>
                </w:p>
              </w:tc>
              <w:tc>
                <w:tcPr>
                  <w:tcW w:w="850" w:type="dxa"/>
                  <w:vAlign w:val="center"/>
                </w:tcPr>
                <w:p w14:paraId="46AD16C8">
                  <w:pPr>
                    <w:autoSpaceDE w:val="0"/>
                    <w:autoSpaceDN w:val="0"/>
                    <w:spacing w:line="240" w:lineRule="atLeast"/>
                    <w:contextualSpacing/>
                    <w:jc w:val="center"/>
                    <w:rPr>
                      <w:rFonts w:eastAsiaTheme="minorEastAsia"/>
                      <w:color w:val="auto"/>
                      <w:szCs w:val="21"/>
                    </w:rPr>
                  </w:pPr>
                  <w:r>
                    <w:rPr>
                      <w:rFonts w:hint="eastAsia" w:eastAsiaTheme="minorEastAsia"/>
                      <w:color w:val="auto"/>
                      <w:szCs w:val="21"/>
                    </w:rPr>
                    <w:t>45</w:t>
                  </w:r>
                  <w:r>
                    <w:rPr>
                      <w:rFonts w:eastAsiaTheme="minorEastAsia"/>
                      <w:color w:val="auto"/>
                      <w:szCs w:val="21"/>
                    </w:rPr>
                    <w:t>0</w:t>
                  </w:r>
                </w:p>
              </w:tc>
              <w:tc>
                <w:tcPr>
                  <w:tcW w:w="993" w:type="dxa"/>
                  <w:vAlign w:val="center"/>
                </w:tcPr>
                <w:p w14:paraId="7BA6EEAD">
                  <w:pPr>
                    <w:autoSpaceDE w:val="0"/>
                    <w:autoSpaceDN w:val="0"/>
                    <w:spacing w:line="240" w:lineRule="atLeast"/>
                    <w:contextualSpacing/>
                    <w:jc w:val="center"/>
                    <w:rPr>
                      <w:rFonts w:hint="default" w:eastAsiaTheme="minorEastAsia"/>
                      <w:color w:val="auto"/>
                      <w:szCs w:val="21"/>
                      <w:lang w:val="en-US" w:eastAsia="zh-CN"/>
                    </w:rPr>
                  </w:pPr>
                  <w:r>
                    <w:rPr>
                      <w:rFonts w:hint="eastAsia" w:eastAsiaTheme="minorEastAsia"/>
                      <w:color w:val="auto"/>
                      <w:szCs w:val="21"/>
                    </w:rPr>
                    <w:t>0.</w:t>
                  </w:r>
                  <w:r>
                    <w:rPr>
                      <w:rFonts w:hint="eastAsia" w:eastAsiaTheme="minorEastAsia"/>
                      <w:color w:val="auto"/>
                      <w:szCs w:val="21"/>
                      <w:lang w:val="en-US" w:eastAsia="zh-CN"/>
                    </w:rPr>
                    <w:t>03</w:t>
                  </w:r>
                </w:p>
              </w:tc>
              <w:tc>
                <w:tcPr>
                  <w:tcW w:w="425" w:type="dxa"/>
                  <w:vMerge w:val="restart"/>
                  <w:vAlign w:val="center"/>
                </w:tcPr>
                <w:p w14:paraId="6D0D2AAD">
                  <w:pPr>
                    <w:autoSpaceDE w:val="0"/>
                    <w:autoSpaceDN w:val="0"/>
                    <w:spacing w:line="240" w:lineRule="atLeast"/>
                    <w:contextualSpacing/>
                    <w:jc w:val="center"/>
                    <w:rPr>
                      <w:rFonts w:eastAsiaTheme="minorEastAsia"/>
                      <w:color w:val="auto"/>
                      <w:szCs w:val="21"/>
                    </w:rPr>
                  </w:pPr>
                  <w:r>
                    <w:rPr>
                      <w:rFonts w:eastAsiaTheme="minorEastAsia"/>
                      <w:color w:val="auto"/>
                      <w:szCs w:val="21"/>
                    </w:rPr>
                    <w:t>/</w:t>
                  </w:r>
                </w:p>
              </w:tc>
              <w:tc>
                <w:tcPr>
                  <w:tcW w:w="425" w:type="dxa"/>
                  <w:vMerge w:val="restart"/>
                  <w:vAlign w:val="center"/>
                </w:tcPr>
                <w:p w14:paraId="6C7FFBF0">
                  <w:pPr>
                    <w:pStyle w:val="69"/>
                    <w:adjustRightInd/>
                    <w:snapToGrid/>
                    <w:spacing w:line="240" w:lineRule="atLeast"/>
                    <w:ind w:firstLine="0" w:firstLineChars="0"/>
                    <w:contextualSpacing/>
                    <w:jc w:val="center"/>
                    <w:rPr>
                      <w:rFonts w:eastAsiaTheme="minorEastAsia"/>
                      <w:bCs/>
                      <w:color w:val="auto"/>
                      <w:sz w:val="21"/>
                      <w:szCs w:val="21"/>
                    </w:rPr>
                  </w:pPr>
                  <w:r>
                    <w:rPr>
                      <w:rFonts w:eastAsiaTheme="minorEastAsia"/>
                      <w:bCs/>
                      <w:color w:val="auto"/>
                      <w:sz w:val="21"/>
                      <w:szCs w:val="21"/>
                    </w:rPr>
                    <w:t>/</w:t>
                  </w:r>
                </w:p>
              </w:tc>
              <w:tc>
                <w:tcPr>
                  <w:tcW w:w="851" w:type="dxa"/>
                  <w:vMerge w:val="restart"/>
                  <w:vAlign w:val="center"/>
                </w:tcPr>
                <w:p w14:paraId="197A84E7">
                  <w:pPr>
                    <w:pStyle w:val="69"/>
                    <w:adjustRightInd/>
                    <w:snapToGrid/>
                    <w:spacing w:line="240" w:lineRule="atLeast"/>
                    <w:ind w:firstLine="0" w:firstLineChars="0"/>
                    <w:contextualSpacing/>
                    <w:jc w:val="center"/>
                    <w:rPr>
                      <w:rFonts w:eastAsiaTheme="minorEastAsia"/>
                      <w:bCs/>
                      <w:color w:val="auto"/>
                      <w:sz w:val="21"/>
                      <w:szCs w:val="21"/>
                    </w:rPr>
                  </w:pPr>
                  <w:r>
                    <w:rPr>
                      <w:rFonts w:eastAsiaTheme="minorEastAsia"/>
                      <w:color w:val="auto"/>
                      <w:sz w:val="21"/>
                      <w:szCs w:val="21"/>
                    </w:rPr>
                    <w:t>/</w:t>
                  </w:r>
                </w:p>
              </w:tc>
              <w:tc>
                <w:tcPr>
                  <w:tcW w:w="708" w:type="dxa"/>
                  <w:vMerge w:val="restart"/>
                  <w:vAlign w:val="center"/>
                </w:tcPr>
                <w:p w14:paraId="477BBA4F">
                  <w:pPr>
                    <w:autoSpaceDE w:val="0"/>
                    <w:autoSpaceDN w:val="0"/>
                    <w:spacing w:line="240" w:lineRule="atLeast"/>
                    <w:contextualSpacing/>
                    <w:jc w:val="center"/>
                    <w:rPr>
                      <w:rFonts w:eastAsiaTheme="minorEastAsia"/>
                      <w:color w:val="auto"/>
                      <w:szCs w:val="21"/>
                    </w:rPr>
                  </w:pPr>
                  <w:r>
                    <w:rPr>
                      <w:rFonts w:eastAsiaTheme="minorEastAsia"/>
                      <w:color w:val="auto"/>
                      <w:kern w:val="0"/>
                      <w:szCs w:val="21"/>
                    </w:rPr>
                    <w:t>0</w:t>
                  </w:r>
                </w:p>
              </w:tc>
              <w:tc>
                <w:tcPr>
                  <w:tcW w:w="792" w:type="dxa"/>
                  <w:vAlign w:val="center"/>
                </w:tcPr>
                <w:p w14:paraId="7B155EE6">
                  <w:pPr>
                    <w:autoSpaceDE w:val="0"/>
                    <w:autoSpaceDN w:val="0"/>
                    <w:spacing w:line="240" w:lineRule="atLeast"/>
                    <w:contextualSpacing/>
                    <w:jc w:val="center"/>
                    <w:rPr>
                      <w:rFonts w:eastAsiaTheme="minorEastAsia"/>
                      <w:color w:val="auto"/>
                      <w:szCs w:val="21"/>
                    </w:rPr>
                  </w:pPr>
                  <w:r>
                    <w:rPr>
                      <w:rFonts w:eastAsiaTheme="minorEastAsia"/>
                      <w:color w:val="auto"/>
                      <w:kern w:val="0"/>
                      <w:szCs w:val="21"/>
                    </w:rPr>
                    <w:t>0</w:t>
                  </w:r>
                </w:p>
              </w:tc>
              <w:tc>
                <w:tcPr>
                  <w:tcW w:w="756" w:type="dxa"/>
                  <w:vAlign w:val="center"/>
                </w:tcPr>
                <w:p w14:paraId="5D76803F">
                  <w:pPr>
                    <w:autoSpaceDE w:val="0"/>
                    <w:autoSpaceDN w:val="0"/>
                    <w:spacing w:line="240" w:lineRule="atLeast"/>
                    <w:contextualSpacing/>
                    <w:jc w:val="center"/>
                    <w:rPr>
                      <w:rFonts w:eastAsiaTheme="minorEastAsia"/>
                      <w:color w:val="auto"/>
                      <w:szCs w:val="21"/>
                    </w:rPr>
                  </w:pPr>
                  <w:r>
                    <w:rPr>
                      <w:rFonts w:eastAsiaTheme="minorEastAsia"/>
                      <w:color w:val="auto"/>
                      <w:kern w:val="0"/>
                      <w:szCs w:val="21"/>
                    </w:rPr>
                    <w:t>0</w:t>
                  </w:r>
                </w:p>
              </w:tc>
            </w:tr>
            <w:tr w14:paraId="3C45C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73" w:type="dxa"/>
                  <w:vMerge w:val="continue"/>
                  <w:vAlign w:val="center"/>
                </w:tcPr>
                <w:p w14:paraId="73B738E7">
                  <w:pPr>
                    <w:autoSpaceDE w:val="0"/>
                    <w:autoSpaceDN w:val="0"/>
                    <w:spacing w:line="240" w:lineRule="atLeast"/>
                    <w:contextualSpacing/>
                    <w:jc w:val="center"/>
                    <w:rPr>
                      <w:rFonts w:eastAsiaTheme="minorEastAsia"/>
                      <w:color w:val="auto"/>
                      <w:szCs w:val="21"/>
                    </w:rPr>
                  </w:pPr>
                </w:p>
              </w:tc>
              <w:tc>
                <w:tcPr>
                  <w:tcW w:w="426" w:type="dxa"/>
                  <w:vMerge w:val="continue"/>
                  <w:vAlign w:val="center"/>
                </w:tcPr>
                <w:p w14:paraId="6A845C49">
                  <w:pPr>
                    <w:spacing w:line="240" w:lineRule="atLeast"/>
                    <w:contextualSpacing/>
                    <w:jc w:val="center"/>
                    <w:rPr>
                      <w:rFonts w:eastAsiaTheme="minorEastAsia"/>
                      <w:color w:val="auto"/>
                      <w:szCs w:val="21"/>
                    </w:rPr>
                  </w:pPr>
                </w:p>
              </w:tc>
              <w:tc>
                <w:tcPr>
                  <w:tcW w:w="850" w:type="dxa"/>
                  <w:vAlign w:val="center"/>
                </w:tcPr>
                <w:p w14:paraId="188D6BD3">
                  <w:pPr>
                    <w:spacing w:line="240" w:lineRule="atLeast"/>
                    <w:contextualSpacing/>
                    <w:jc w:val="center"/>
                    <w:rPr>
                      <w:rFonts w:eastAsiaTheme="minorEastAsia"/>
                      <w:color w:val="auto"/>
                      <w:szCs w:val="21"/>
                    </w:rPr>
                  </w:pPr>
                  <w:r>
                    <w:rPr>
                      <w:rFonts w:eastAsiaTheme="minorEastAsia"/>
                      <w:color w:val="auto"/>
                      <w:szCs w:val="21"/>
                    </w:rPr>
                    <w:t>氨氮</w:t>
                  </w:r>
                </w:p>
              </w:tc>
              <w:tc>
                <w:tcPr>
                  <w:tcW w:w="709" w:type="dxa"/>
                  <w:vMerge w:val="continue"/>
                  <w:vAlign w:val="center"/>
                </w:tcPr>
                <w:p w14:paraId="4E33F312">
                  <w:pPr>
                    <w:autoSpaceDE w:val="0"/>
                    <w:autoSpaceDN w:val="0"/>
                    <w:spacing w:line="240" w:lineRule="atLeast"/>
                    <w:contextualSpacing/>
                    <w:jc w:val="center"/>
                    <w:rPr>
                      <w:rFonts w:eastAsiaTheme="minorEastAsia"/>
                      <w:color w:val="auto"/>
                      <w:szCs w:val="21"/>
                    </w:rPr>
                  </w:pPr>
                </w:p>
              </w:tc>
              <w:tc>
                <w:tcPr>
                  <w:tcW w:w="850" w:type="dxa"/>
                  <w:vAlign w:val="center"/>
                </w:tcPr>
                <w:p w14:paraId="379B77D0">
                  <w:pPr>
                    <w:autoSpaceDE w:val="0"/>
                    <w:autoSpaceDN w:val="0"/>
                    <w:spacing w:line="240" w:lineRule="atLeast"/>
                    <w:contextualSpacing/>
                    <w:jc w:val="center"/>
                    <w:rPr>
                      <w:rFonts w:eastAsiaTheme="minorEastAsia"/>
                      <w:color w:val="auto"/>
                      <w:szCs w:val="21"/>
                    </w:rPr>
                  </w:pPr>
                  <w:r>
                    <w:rPr>
                      <w:rFonts w:hint="eastAsia" w:eastAsiaTheme="minorEastAsia"/>
                      <w:color w:val="auto"/>
                      <w:szCs w:val="21"/>
                    </w:rPr>
                    <w:t>40</w:t>
                  </w:r>
                </w:p>
              </w:tc>
              <w:tc>
                <w:tcPr>
                  <w:tcW w:w="993" w:type="dxa"/>
                  <w:vAlign w:val="center"/>
                </w:tcPr>
                <w:p w14:paraId="16517D40">
                  <w:pPr>
                    <w:autoSpaceDE w:val="0"/>
                    <w:autoSpaceDN w:val="0"/>
                    <w:spacing w:line="240" w:lineRule="atLeast"/>
                    <w:contextualSpacing/>
                    <w:jc w:val="center"/>
                    <w:rPr>
                      <w:rFonts w:hint="default" w:eastAsiaTheme="minorEastAsia"/>
                      <w:color w:val="auto"/>
                      <w:szCs w:val="21"/>
                      <w:lang w:val="en-US" w:eastAsia="zh-CN"/>
                    </w:rPr>
                  </w:pPr>
                  <w:r>
                    <w:rPr>
                      <w:rFonts w:hint="eastAsia" w:eastAsiaTheme="minorEastAsia"/>
                      <w:color w:val="auto"/>
                      <w:szCs w:val="21"/>
                    </w:rPr>
                    <w:t>0.0</w:t>
                  </w:r>
                  <w:r>
                    <w:rPr>
                      <w:rFonts w:hint="eastAsia" w:eastAsiaTheme="minorEastAsia"/>
                      <w:color w:val="auto"/>
                      <w:szCs w:val="21"/>
                      <w:lang w:val="en-US" w:eastAsia="zh-CN"/>
                    </w:rPr>
                    <w:t>02</w:t>
                  </w:r>
                </w:p>
              </w:tc>
              <w:tc>
                <w:tcPr>
                  <w:tcW w:w="425" w:type="dxa"/>
                  <w:vMerge w:val="continue"/>
                  <w:vAlign w:val="center"/>
                </w:tcPr>
                <w:p w14:paraId="01D9B3F4">
                  <w:pPr>
                    <w:autoSpaceDE w:val="0"/>
                    <w:autoSpaceDN w:val="0"/>
                    <w:spacing w:line="240" w:lineRule="atLeast"/>
                    <w:contextualSpacing/>
                    <w:jc w:val="center"/>
                    <w:rPr>
                      <w:rFonts w:eastAsiaTheme="minorEastAsia"/>
                      <w:color w:val="auto"/>
                      <w:szCs w:val="21"/>
                    </w:rPr>
                  </w:pPr>
                </w:p>
              </w:tc>
              <w:tc>
                <w:tcPr>
                  <w:tcW w:w="425" w:type="dxa"/>
                  <w:vMerge w:val="continue"/>
                  <w:vAlign w:val="center"/>
                </w:tcPr>
                <w:p w14:paraId="76F6D431">
                  <w:pPr>
                    <w:pStyle w:val="69"/>
                    <w:adjustRightInd/>
                    <w:snapToGrid/>
                    <w:spacing w:line="240" w:lineRule="atLeast"/>
                    <w:ind w:firstLine="0" w:firstLineChars="0"/>
                    <w:contextualSpacing/>
                    <w:jc w:val="center"/>
                    <w:rPr>
                      <w:rFonts w:eastAsiaTheme="minorEastAsia"/>
                      <w:bCs/>
                      <w:color w:val="auto"/>
                      <w:sz w:val="21"/>
                      <w:szCs w:val="21"/>
                    </w:rPr>
                  </w:pPr>
                </w:p>
              </w:tc>
              <w:tc>
                <w:tcPr>
                  <w:tcW w:w="851" w:type="dxa"/>
                  <w:vMerge w:val="continue"/>
                  <w:vAlign w:val="center"/>
                </w:tcPr>
                <w:p w14:paraId="79CD1383">
                  <w:pPr>
                    <w:pStyle w:val="69"/>
                    <w:adjustRightInd/>
                    <w:snapToGrid/>
                    <w:spacing w:line="240" w:lineRule="atLeast"/>
                    <w:ind w:firstLine="0" w:firstLineChars="0"/>
                    <w:contextualSpacing/>
                    <w:jc w:val="center"/>
                    <w:rPr>
                      <w:rFonts w:eastAsiaTheme="minorEastAsia"/>
                      <w:bCs/>
                      <w:color w:val="auto"/>
                      <w:sz w:val="21"/>
                      <w:szCs w:val="21"/>
                    </w:rPr>
                  </w:pPr>
                </w:p>
              </w:tc>
              <w:tc>
                <w:tcPr>
                  <w:tcW w:w="708" w:type="dxa"/>
                  <w:vMerge w:val="continue"/>
                  <w:vAlign w:val="center"/>
                </w:tcPr>
                <w:p w14:paraId="32183062">
                  <w:pPr>
                    <w:autoSpaceDE w:val="0"/>
                    <w:autoSpaceDN w:val="0"/>
                    <w:spacing w:line="240" w:lineRule="atLeast"/>
                    <w:contextualSpacing/>
                    <w:jc w:val="center"/>
                    <w:rPr>
                      <w:rFonts w:eastAsiaTheme="minorEastAsia"/>
                      <w:color w:val="auto"/>
                      <w:szCs w:val="21"/>
                    </w:rPr>
                  </w:pPr>
                </w:p>
              </w:tc>
              <w:tc>
                <w:tcPr>
                  <w:tcW w:w="792" w:type="dxa"/>
                  <w:vAlign w:val="center"/>
                </w:tcPr>
                <w:p w14:paraId="7A771D7A">
                  <w:pPr>
                    <w:spacing w:line="240" w:lineRule="atLeast"/>
                    <w:jc w:val="center"/>
                    <w:rPr>
                      <w:rFonts w:eastAsiaTheme="minorEastAsia"/>
                      <w:color w:val="auto"/>
                      <w:szCs w:val="21"/>
                    </w:rPr>
                  </w:pPr>
                  <w:r>
                    <w:rPr>
                      <w:rFonts w:eastAsiaTheme="minorEastAsia"/>
                      <w:color w:val="auto"/>
                      <w:kern w:val="0"/>
                      <w:szCs w:val="21"/>
                    </w:rPr>
                    <w:t>0</w:t>
                  </w:r>
                </w:p>
              </w:tc>
              <w:tc>
                <w:tcPr>
                  <w:tcW w:w="756" w:type="dxa"/>
                  <w:vAlign w:val="center"/>
                </w:tcPr>
                <w:p w14:paraId="2784780B">
                  <w:pPr>
                    <w:spacing w:line="240" w:lineRule="atLeast"/>
                    <w:jc w:val="center"/>
                    <w:rPr>
                      <w:rFonts w:eastAsiaTheme="minorEastAsia"/>
                      <w:color w:val="auto"/>
                      <w:szCs w:val="21"/>
                    </w:rPr>
                  </w:pPr>
                  <w:r>
                    <w:rPr>
                      <w:rFonts w:eastAsiaTheme="minorEastAsia"/>
                      <w:color w:val="auto"/>
                      <w:kern w:val="0"/>
                      <w:szCs w:val="21"/>
                    </w:rPr>
                    <w:t>0</w:t>
                  </w:r>
                </w:p>
              </w:tc>
            </w:tr>
            <w:tr w14:paraId="08A0E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73" w:type="dxa"/>
                  <w:vMerge w:val="continue"/>
                  <w:vAlign w:val="center"/>
                </w:tcPr>
                <w:p w14:paraId="657A7026">
                  <w:pPr>
                    <w:autoSpaceDE w:val="0"/>
                    <w:autoSpaceDN w:val="0"/>
                    <w:spacing w:line="240" w:lineRule="atLeast"/>
                    <w:contextualSpacing/>
                    <w:jc w:val="center"/>
                    <w:rPr>
                      <w:rFonts w:eastAsiaTheme="minorEastAsia"/>
                      <w:color w:val="auto"/>
                      <w:szCs w:val="21"/>
                    </w:rPr>
                  </w:pPr>
                </w:p>
              </w:tc>
              <w:tc>
                <w:tcPr>
                  <w:tcW w:w="426" w:type="dxa"/>
                  <w:vMerge w:val="continue"/>
                  <w:vAlign w:val="center"/>
                </w:tcPr>
                <w:p w14:paraId="5D2D617C">
                  <w:pPr>
                    <w:spacing w:line="240" w:lineRule="atLeast"/>
                    <w:contextualSpacing/>
                    <w:jc w:val="center"/>
                    <w:rPr>
                      <w:rFonts w:eastAsiaTheme="minorEastAsia"/>
                      <w:color w:val="auto"/>
                      <w:szCs w:val="21"/>
                    </w:rPr>
                  </w:pPr>
                </w:p>
              </w:tc>
              <w:tc>
                <w:tcPr>
                  <w:tcW w:w="850" w:type="dxa"/>
                  <w:vAlign w:val="center"/>
                </w:tcPr>
                <w:p w14:paraId="58A3C2DB">
                  <w:pPr>
                    <w:spacing w:line="240" w:lineRule="atLeast"/>
                    <w:contextualSpacing/>
                    <w:jc w:val="center"/>
                    <w:rPr>
                      <w:rFonts w:eastAsiaTheme="minorEastAsia"/>
                      <w:color w:val="auto"/>
                      <w:szCs w:val="21"/>
                    </w:rPr>
                  </w:pPr>
                  <w:r>
                    <w:rPr>
                      <w:rFonts w:eastAsiaTheme="minorEastAsia"/>
                      <w:color w:val="auto"/>
                      <w:szCs w:val="21"/>
                    </w:rPr>
                    <w:t>SS</w:t>
                  </w:r>
                </w:p>
              </w:tc>
              <w:tc>
                <w:tcPr>
                  <w:tcW w:w="709" w:type="dxa"/>
                  <w:vMerge w:val="continue"/>
                  <w:vAlign w:val="center"/>
                </w:tcPr>
                <w:p w14:paraId="3ADBD447">
                  <w:pPr>
                    <w:autoSpaceDE w:val="0"/>
                    <w:autoSpaceDN w:val="0"/>
                    <w:spacing w:line="240" w:lineRule="atLeast"/>
                    <w:contextualSpacing/>
                    <w:jc w:val="center"/>
                    <w:rPr>
                      <w:rFonts w:eastAsiaTheme="minorEastAsia"/>
                      <w:color w:val="auto"/>
                      <w:szCs w:val="21"/>
                    </w:rPr>
                  </w:pPr>
                </w:p>
              </w:tc>
              <w:tc>
                <w:tcPr>
                  <w:tcW w:w="850" w:type="dxa"/>
                  <w:vAlign w:val="center"/>
                </w:tcPr>
                <w:p w14:paraId="55E6AB14">
                  <w:pPr>
                    <w:autoSpaceDE w:val="0"/>
                    <w:autoSpaceDN w:val="0"/>
                    <w:spacing w:line="240" w:lineRule="atLeast"/>
                    <w:contextualSpacing/>
                    <w:jc w:val="center"/>
                    <w:rPr>
                      <w:rFonts w:eastAsiaTheme="minorEastAsia"/>
                      <w:color w:val="auto"/>
                      <w:szCs w:val="21"/>
                    </w:rPr>
                  </w:pPr>
                  <w:r>
                    <w:rPr>
                      <w:rFonts w:hint="eastAsia" w:eastAsiaTheme="minorEastAsia"/>
                      <w:color w:val="auto"/>
                      <w:szCs w:val="21"/>
                    </w:rPr>
                    <w:t>3</w:t>
                  </w:r>
                  <w:r>
                    <w:rPr>
                      <w:rFonts w:eastAsiaTheme="minorEastAsia"/>
                      <w:color w:val="auto"/>
                      <w:szCs w:val="21"/>
                    </w:rPr>
                    <w:t>00</w:t>
                  </w:r>
                </w:p>
              </w:tc>
              <w:tc>
                <w:tcPr>
                  <w:tcW w:w="993" w:type="dxa"/>
                  <w:vAlign w:val="center"/>
                </w:tcPr>
                <w:p w14:paraId="59A98341">
                  <w:pPr>
                    <w:autoSpaceDE w:val="0"/>
                    <w:autoSpaceDN w:val="0"/>
                    <w:spacing w:line="240" w:lineRule="atLeast"/>
                    <w:contextualSpacing/>
                    <w:jc w:val="center"/>
                    <w:rPr>
                      <w:rFonts w:eastAsiaTheme="minorEastAsia"/>
                      <w:color w:val="auto"/>
                      <w:szCs w:val="21"/>
                    </w:rPr>
                  </w:pPr>
                  <w:r>
                    <w:rPr>
                      <w:rFonts w:hint="eastAsia" w:eastAsiaTheme="minorEastAsia"/>
                      <w:color w:val="auto"/>
                      <w:szCs w:val="21"/>
                    </w:rPr>
                    <w:t>0.0</w:t>
                  </w:r>
                  <w:r>
                    <w:rPr>
                      <w:rFonts w:hint="eastAsia" w:eastAsiaTheme="minorEastAsia"/>
                      <w:color w:val="auto"/>
                      <w:szCs w:val="21"/>
                      <w:lang w:val="en-US" w:eastAsia="zh-CN"/>
                    </w:rPr>
                    <w:t>1</w:t>
                  </w:r>
                  <w:r>
                    <w:rPr>
                      <w:rFonts w:hint="eastAsia" w:eastAsiaTheme="minorEastAsia"/>
                      <w:color w:val="auto"/>
                      <w:szCs w:val="21"/>
                    </w:rPr>
                    <w:t>8</w:t>
                  </w:r>
                </w:p>
              </w:tc>
              <w:tc>
                <w:tcPr>
                  <w:tcW w:w="425" w:type="dxa"/>
                  <w:vMerge w:val="continue"/>
                  <w:vAlign w:val="center"/>
                </w:tcPr>
                <w:p w14:paraId="39BE5D1B">
                  <w:pPr>
                    <w:autoSpaceDE w:val="0"/>
                    <w:autoSpaceDN w:val="0"/>
                    <w:spacing w:line="240" w:lineRule="atLeast"/>
                    <w:contextualSpacing/>
                    <w:jc w:val="center"/>
                    <w:rPr>
                      <w:rFonts w:eastAsiaTheme="minorEastAsia"/>
                      <w:color w:val="auto"/>
                      <w:szCs w:val="21"/>
                    </w:rPr>
                  </w:pPr>
                </w:p>
              </w:tc>
              <w:tc>
                <w:tcPr>
                  <w:tcW w:w="425" w:type="dxa"/>
                  <w:vMerge w:val="continue"/>
                  <w:vAlign w:val="center"/>
                </w:tcPr>
                <w:p w14:paraId="4DDE2F9A">
                  <w:pPr>
                    <w:pStyle w:val="69"/>
                    <w:adjustRightInd/>
                    <w:snapToGrid/>
                    <w:spacing w:line="240" w:lineRule="atLeast"/>
                    <w:ind w:firstLine="0" w:firstLineChars="0"/>
                    <w:contextualSpacing/>
                    <w:jc w:val="center"/>
                    <w:rPr>
                      <w:rFonts w:eastAsiaTheme="minorEastAsia"/>
                      <w:bCs/>
                      <w:color w:val="auto"/>
                      <w:sz w:val="21"/>
                      <w:szCs w:val="21"/>
                    </w:rPr>
                  </w:pPr>
                </w:p>
              </w:tc>
              <w:tc>
                <w:tcPr>
                  <w:tcW w:w="851" w:type="dxa"/>
                  <w:vMerge w:val="continue"/>
                  <w:vAlign w:val="center"/>
                </w:tcPr>
                <w:p w14:paraId="485DED82">
                  <w:pPr>
                    <w:pStyle w:val="69"/>
                    <w:adjustRightInd/>
                    <w:snapToGrid/>
                    <w:spacing w:line="240" w:lineRule="atLeast"/>
                    <w:ind w:firstLine="0" w:firstLineChars="0"/>
                    <w:contextualSpacing/>
                    <w:jc w:val="center"/>
                    <w:rPr>
                      <w:rFonts w:eastAsiaTheme="minorEastAsia"/>
                      <w:bCs/>
                      <w:color w:val="auto"/>
                      <w:sz w:val="21"/>
                      <w:szCs w:val="21"/>
                    </w:rPr>
                  </w:pPr>
                </w:p>
              </w:tc>
              <w:tc>
                <w:tcPr>
                  <w:tcW w:w="708" w:type="dxa"/>
                  <w:vMerge w:val="continue"/>
                  <w:vAlign w:val="center"/>
                </w:tcPr>
                <w:p w14:paraId="436BA4A3">
                  <w:pPr>
                    <w:autoSpaceDE w:val="0"/>
                    <w:autoSpaceDN w:val="0"/>
                    <w:spacing w:line="240" w:lineRule="atLeast"/>
                    <w:contextualSpacing/>
                    <w:jc w:val="center"/>
                    <w:rPr>
                      <w:rFonts w:eastAsiaTheme="minorEastAsia"/>
                      <w:color w:val="auto"/>
                      <w:szCs w:val="21"/>
                    </w:rPr>
                  </w:pPr>
                </w:p>
              </w:tc>
              <w:tc>
                <w:tcPr>
                  <w:tcW w:w="792" w:type="dxa"/>
                  <w:vAlign w:val="center"/>
                </w:tcPr>
                <w:p w14:paraId="0C52CD90">
                  <w:pPr>
                    <w:spacing w:line="240" w:lineRule="atLeast"/>
                    <w:jc w:val="center"/>
                    <w:rPr>
                      <w:rFonts w:eastAsiaTheme="minorEastAsia"/>
                      <w:color w:val="auto"/>
                      <w:szCs w:val="21"/>
                    </w:rPr>
                  </w:pPr>
                  <w:r>
                    <w:rPr>
                      <w:rFonts w:eastAsiaTheme="minorEastAsia"/>
                      <w:color w:val="auto"/>
                      <w:kern w:val="0"/>
                      <w:szCs w:val="21"/>
                    </w:rPr>
                    <w:t>0</w:t>
                  </w:r>
                </w:p>
              </w:tc>
              <w:tc>
                <w:tcPr>
                  <w:tcW w:w="756" w:type="dxa"/>
                  <w:vAlign w:val="center"/>
                </w:tcPr>
                <w:p w14:paraId="5475CAF1">
                  <w:pPr>
                    <w:spacing w:line="240" w:lineRule="atLeast"/>
                    <w:jc w:val="center"/>
                    <w:rPr>
                      <w:rFonts w:eastAsiaTheme="minorEastAsia"/>
                      <w:color w:val="auto"/>
                      <w:szCs w:val="21"/>
                    </w:rPr>
                  </w:pPr>
                  <w:r>
                    <w:rPr>
                      <w:rFonts w:eastAsiaTheme="minorEastAsia"/>
                      <w:color w:val="auto"/>
                      <w:kern w:val="0"/>
                      <w:szCs w:val="21"/>
                    </w:rPr>
                    <w:t>0</w:t>
                  </w:r>
                </w:p>
              </w:tc>
            </w:tr>
            <w:tr w14:paraId="5EEBF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73" w:type="dxa"/>
                  <w:vMerge w:val="continue"/>
                  <w:vAlign w:val="center"/>
                </w:tcPr>
                <w:p w14:paraId="35B02785">
                  <w:pPr>
                    <w:autoSpaceDE w:val="0"/>
                    <w:autoSpaceDN w:val="0"/>
                    <w:spacing w:line="240" w:lineRule="atLeast"/>
                    <w:contextualSpacing/>
                    <w:jc w:val="center"/>
                    <w:rPr>
                      <w:rFonts w:eastAsiaTheme="minorEastAsia"/>
                      <w:color w:val="auto"/>
                      <w:szCs w:val="21"/>
                    </w:rPr>
                  </w:pPr>
                </w:p>
              </w:tc>
              <w:tc>
                <w:tcPr>
                  <w:tcW w:w="426" w:type="dxa"/>
                  <w:vMerge w:val="continue"/>
                  <w:vAlign w:val="center"/>
                </w:tcPr>
                <w:p w14:paraId="3AB325D1">
                  <w:pPr>
                    <w:spacing w:line="240" w:lineRule="atLeast"/>
                    <w:contextualSpacing/>
                    <w:jc w:val="center"/>
                    <w:rPr>
                      <w:rFonts w:eastAsiaTheme="minorEastAsia"/>
                      <w:color w:val="auto"/>
                      <w:szCs w:val="21"/>
                    </w:rPr>
                  </w:pPr>
                </w:p>
              </w:tc>
              <w:tc>
                <w:tcPr>
                  <w:tcW w:w="850" w:type="dxa"/>
                  <w:vAlign w:val="center"/>
                </w:tcPr>
                <w:p w14:paraId="6BE8139B">
                  <w:pPr>
                    <w:spacing w:line="240" w:lineRule="atLeast"/>
                    <w:contextualSpacing/>
                    <w:jc w:val="center"/>
                    <w:rPr>
                      <w:rFonts w:eastAsiaTheme="minorEastAsia"/>
                      <w:color w:val="auto"/>
                      <w:szCs w:val="21"/>
                    </w:rPr>
                  </w:pPr>
                  <w:r>
                    <w:rPr>
                      <w:rFonts w:eastAsiaTheme="minorEastAsia"/>
                      <w:color w:val="auto"/>
                      <w:szCs w:val="21"/>
                    </w:rPr>
                    <w:t>pH</w:t>
                  </w:r>
                </w:p>
              </w:tc>
              <w:tc>
                <w:tcPr>
                  <w:tcW w:w="709" w:type="dxa"/>
                  <w:vMerge w:val="continue"/>
                  <w:vAlign w:val="center"/>
                </w:tcPr>
                <w:p w14:paraId="4500D349">
                  <w:pPr>
                    <w:autoSpaceDE w:val="0"/>
                    <w:autoSpaceDN w:val="0"/>
                    <w:spacing w:line="240" w:lineRule="atLeast"/>
                    <w:contextualSpacing/>
                    <w:jc w:val="center"/>
                    <w:rPr>
                      <w:rFonts w:eastAsiaTheme="minorEastAsia"/>
                      <w:color w:val="auto"/>
                      <w:szCs w:val="21"/>
                    </w:rPr>
                  </w:pPr>
                </w:p>
              </w:tc>
              <w:tc>
                <w:tcPr>
                  <w:tcW w:w="850" w:type="dxa"/>
                  <w:vAlign w:val="center"/>
                </w:tcPr>
                <w:p w14:paraId="68512078">
                  <w:pPr>
                    <w:autoSpaceDE w:val="0"/>
                    <w:autoSpaceDN w:val="0"/>
                    <w:spacing w:line="240" w:lineRule="atLeast"/>
                    <w:contextualSpacing/>
                    <w:jc w:val="center"/>
                    <w:rPr>
                      <w:rFonts w:eastAsiaTheme="minorEastAsia"/>
                      <w:color w:val="auto"/>
                      <w:szCs w:val="21"/>
                    </w:rPr>
                  </w:pPr>
                  <w:r>
                    <w:rPr>
                      <w:rFonts w:eastAsiaTheme="minorEastAsia"/>
                      <w:color w:val="auto"/>
                      <w:szCs w:val="21"/>
                    </w:rPr>
                    <w:t>6.5-7.5</w:t>
                  </w:r>
                </w:p>
              </w:tc>
              <w:tc>
                <w:tcPr>
                  <w:tcW w:w="993" w:type="dxa"/>
                  <w:vAlign w:val="center"/>
                </w:tcPr>
                <w:p w14:paraId="69FB0F8A">
                  <w:pPr>
                    <w:autoSpaceDE w:val="0"/>
                    <w:autoSpaceDN w:val="0"/>
                    <w:spacing w:line="240" w:lineRule="atLeast"/>
                    <w:contextualSpacing/>
                    <w:jc w:val="center"/>
                    <w:rPr>
                      <w:rFonts w:eastAsiaTheme="minorEastAsia"/>
                      <w:color w:val="auto"/>
                      <w:szCs w:val="21"/>
                    </w:rPr>
                  </w:pPr>
                  <w:r>
                    <w:rPr>
                      <w:rFonts w:eastAsiaTheme="minorEastAsia"/>
                      <w:color w:val="auto"/>
                      <w:szCs w:val="21"/>
                    </w:rPr>
                    <w:t>/</w:t>
                  </w:r>
                </w:p>
              </w:tc>
              <w:tc>
                <w:tcPr>
                  <w:tcW w:w="425" w:type="dxa"/>
                  <w:vMerge w:val="continue"/>
                  <w:vAlign w:val="center"/>
                </w:tcPr>
                <w:p w14:paraId="457CA8A3">
                  <w:pPr>
                    <w:autoSpaceDE w:val="0"/>
                    <w:autoSpaceDN w:val="0"/>
                    <w:spacing w:line="240" w:lineRule="atLeast"/>
                    <w:contextualSpacing/>
                    <w:jc w:val="center"/>
                    <w:rPr>
                      <w:rFonts w:eastAsiaTheme="minorEastAsia"/>
                      <w:color w:val="auto"/>
                      <w:szCs w:val="21"/>
                    </w:rPr>
                  </w:pPr>
                </w:p>
              </w:tc>
              <w:tc>
                <w:tcPr>
                  <w:tcW w:w="425" w:type="dxa"/>
                  <w:vMerge w:val="continue"/>
                  <w:vAlign w:val="center"/>
                </w:tcPr>
                <w:p w14:paraId="3125A332">
                  <w:pPr>
                    <w:pStyle w:val="69"/>
                    <w:adjustRightInd/>
                    <w:snapToGrid/>
                    <w:spacing w:line="240" w:lineRule="atLeast"/>
                    <w:ind w:firstLine="0" w:firstLineChars="0"/>
                    <w:contextualSpacing/>
                    <w:jc w:val="center"/>
                    <w:rPr>
                      <w:rFonts w:eastAsiaTheme="minorEastAsia"/>
                      <w:bCs/>
                      <w:color w:val="auto"/>
                      <w:sz w:val="21"/>
                      <w:szCs w:val="21"/>
                    </w:rPr>
                  </w:pPr>
                </w:p>
              </w:tc>
              <w:tc>
                <w:tcPr>
                  <w:tcW w:w="851" w:type="dxa"/>
                  <w:vMerge w:val="continue"/>
                  <w:vAlign w:val="center"/>
                </w:tcPr>
                <w:p w14:paraId="65C444EF">
                  <w:pPr>
                    <w:pStyle w:val="69"/>
                    <w:adjustRightInd/>
                    <w:snapToGrid/>
                    <w:spacing w:line="240" w:lineRule="atLeast"/>
                    <w:ind w:firstLine="0" w:firstLineChars="0"/>
                    <w:contextualSpacing/>
                    <w:jc w:val="center"/>
                    <w:rPr>
                      <w:rFonts w:eastAsiaTheme="minorEastAsia"/>
                      <w:bCs/>
                      <w:color w:val="auto"/>
                      <w:sz w:val="21"/>
                      <w:szCs w:val="21"/>
                    </w:rPr>
                  </w:pPr>
                </w:p>
              </w:tc>
              <w:tc>
                <w:tcPr>
                  <w:tcW w:w="708" w:type="dxa"/>
                  <w:vMerge w:val="continue"/>
                  <w:vAlign w:val="center"/>
                </w:tcPr>
                <w:p w14:paraId="102DA816">
                  <w:pPr>
                    <w:autoSpaceDE w:val="0"/>
                    <w:autoSpaceDN w:val="0"/>
                    <w:spacing w:line="240" w:lineRule="atLeast"/>
                    <w:contextualSpacing/>
                    <w:jc w:val="center"/>
                    <w:rPr>
                      <w:rFonts w:eastAsiaTheme="minorEastAsia"/>
                      <w:color w:val="auto"/>
                      <w:szCs w:val="21"/>
                    </w:rPr>
                  </w:pPr>
                </w:p>
              </w:tc>
              <w:tc>
                <w:tcPr>
                  <w:tcW w:w="792" w:type="dxa"/>
                  <w:vAlign w:val="center"/>
                </w:tcPr>
                <w:p w14:paraId="75A6C828">
                  <w:pPr>
                    <w:spacing w:line="240" w:lineRule="atLeast"/>
                    <w:jc w:val="center"/>
                    <w:rPr>
                      <w:rFonts w:eastAsiaTheme="minorEastAsia"/>
                      <w:color w:val="auto"/>
                      <w:szCs w:val="21"/>
                    </w:rPr>
                  </w:pPr>
                  <w:r>
                    <w:rPr>
                      <w:rFonts w:eastAsiaTheme="minorEastAsia"/>
                      <w:color w:val="auto"/>
                      <w:kern w:val="0"/>
                      <w:szCs w:val="21"/>
                    </w:rPr>
                    <w:t>0</w:t>
                  </w:r>
                </w:p>
              </w:tc>
              <w:tc>
                <w:tcPr>
                  <w:tcW w:w="756" w:type="dxa"/>
                  <w:vAlign w:val="center"/>
                </w:tcPr>
                <w:p w14:paraId="53ABD6B3">
                  <w:pPr>
                    <w:spacing w:line="240" w:lineRule="atLeast"/>
                    <w:jc w:val="center"/>
                    <w:rPr>
                      <w:rFonts w:eastAsiaTheme="minorEastAsia"/>
                      <w:color w:val="auto"/>
                      <w:szCs w:val="21"/>
                    </w:rPr>
                  </w:pPr>
                  <w:r>
                    <w:rPr>
                      <w:rFonts w:eastAsiaTheme="minorEastAsia"/>
                      <w:color w:val="auto"/>
                      <w:kern w:val="0"/>
                      <w:szCs w:val="21"/>
                    </w:rPr>
                    <w:t>0</w:t>
                  </w:r>
                </w:p>
              </w:tc>
            </w:tr>
            <w:tr w14:paraId="3127B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73" w:type="dxa"/>
                  <w:vMerge w:val="continue"/>
                  <w:vAlign w:val="center"/>
                </w:tcPr>
                <w:p w14:paraId="09572432">
                  <w:pPr>
                    <w:autoSpaceDE w:val="0"/>
                    <w:autoSpaceDN w:val="0"/>
                    <w:spacing w:line="240" w:lineRule="atLeast"/>
                    <w:contextualSpacing/>
                    <w:jc w:val="center"/>
                    <w:rPr>
                      <w:rFonts w:eastAsiaTheme="minorEastAsia"/>
                      <w:color w:val="auto"/>
                      <w:szCs w:val="21"/>
                    </w:rPr>
                  </w:pPr>
                </w:p>
              </w:tc>
              <w:tc>
                <w:tcPr>
                  <w:tcW w:w="426" w:type="dxa"/>
                  <w:vMerge w:val="continue"/>
                  <w:vAlign w:val="center"/>
                </w:tcPr>
                <w:p w14:paraId="69F80EFA">
                  <w:pPr>
                    <w:spacing w:line="240" w:lineRule="atLeast"/>
                    <w:contextualSpacing/>
                    <w:jc w:val="center"/>
                    <w:rPr>
                      <w:rFonts w:eastAsiaTheme="minorEastAsia"/>
                      <w:color w:val="auto"/>
                      <w:szCs w:val="21"/>
                    </w:rPr>
                  </w:pPr>
                </w:p>
              </w:tc>
              <w:tc>
                <w:tcPr>
                  <w:tcW w:w="850" w:type="dxa"/>
                  <w:vAlign w:val="center"/>
                </w:tcPr>
                <w:p w14:paraId="009494F7">
                  <w:pPr>
                    <w:spacing w:line="240" w:lineRule="atLeast"/>
                    <w:contextualSpacing/>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709" w:type="dxa"/>
                  <w:vMerge w:val="continue"/>
                  <w:vAlign w:val="center"/>
                </w:tcPr>
                <w:p w14:paraId="408FA9C2">
                  <w:pPr>
                    <w:autoSpaceDE w:val="0"/>
                    <w:autoSpaceDN w:val="0"/>
                    <w:spacing w:line="240" w:lineRule="atLeast"/>
                    <w:contextualSpacing/>
                    <w:jc w:val="center"/>
                    <w:rPr>
                      <w:rFonts w:eastAsiaTheme="minorEastAsia"/>
                      <w:color w:val="auto"/>
                      <w:szCs w:val="21"/>
                    </w:rPr>
                  </w:pPr>
                </w:p>
              </w:tc>
              <w:tc>
                <w:tcPr>
                  <w:tcW w:w="850" w:type="dxa"/>
                  <w:vAlign w:val="center"/>
                </w:tcPr>
                <w:p w14:paraId="24B709B1">
                  <w:pPr>
                    <w:autoSpaceDE w:val="0"/>
                    <w:autoSpaceDN w:val="0"/>
                    <w:spacing w:line="240" w:lineRule="atLeast"/>
                    <w:contextualSpacing/>
                    <w:jc w:val="center"/>
                    <w:rPr>
                      <w:rFonts w:eastAsiaTheme="minorEastAsia"/>
                      <w:color w:val="auto"/>
                      <w:szCs w:val="21"/>
                    </w:rPr>
                  </w:pPr>
                  <w:r>
                    <w:rPr>
                      <w:rFonts w:hint="eastAsia" w:eastAsiaTheme="minorEastAsia"/>
                      <w:color w:val="auto"/>
                      <w:szCs w:val="21"/>
                    </w:rPr>
                    <w:t>250</w:t>
                  </w:r>
                </w:p>
              </w:tc>
              <w:tc>
                <w:tcPr>
                  <w:tcW w:w="993" w:type="dxa"/>
                  <w:vAlign w:val="center"/>
                </w:tcPr>
                <w:p w14:paraId="7A1AE9CE">
                  <w:pPr>
                    <w:autoSpaceDE w:val="0"/>
                    <w:autoSpaceDN w:val="0"/>
                    <w:spacing w:line="240" w:lineRule="atLeast"/>
                    <w:contextualSpacing/>
                    <w:jc w:val="center"/>
                    <w:rPr>
                      <w:rFonts w:eastAsiaTheme="minorEastAsia"/>
                      <w:color w:val="auto"/>
                      <w:szCs w:val="21"/>
                    </w:rPr>
                  </w:pPr>
                  <w:r>
                    <w:rPr>
                      <w:rFonts w:hint="eastAsia" w:eastAsiaTheme="minorEastAsia"/>
                      <w:color w:val="auto"/>
                      <w:szCs w:val="21"/>
                    </w:rPr>
                    <w:t>0.0</w:t>
                  </w:r>
                  <w:r>
                    <w:rPr>
                      <w:rFonts w:hint="eastAsia" w:eastAsiaTheme="minorEastAsia"/>
                      <w:color w:val="auto"/>
                      <w:szCs w:val="21"/>
                      <w:lang w:val="en-US" w:eastAsia="zh-CN"/>
                    </w:rPr>
                    <w:t>1</w:t>
                  </w:r>
                  <w:r>
                    <w:rPr>
                      <w:rFonts w:hint="eastAsia" w:eastAsiaTheme="minorEastAsia"/>
                      <w:color w:val="auto"/>
                      <w:szCs w:val="21"/>
                    </w:rPr>
                    <w:t>6</w:t>
                  </w:r>
                </w:p>
              </w:tc>
              <w:tc>
                <w:tcPr>
                  <w:tcW w:w="425" w:type="dxa"/>
                  <w:vMerge w:val="continue"/>
                  <w:vAlign w:val="center"/>
                </w:tcPr>
                <w:p w14:paraId="529BDEB0">
                  <w:pPr>
                    <w:autoSpaceDE w:val="0"/>
                    <w:autoSpaceDN w:val="0"/>
                    <w:spacing w:line="240" w:lineRule="atLeast"/>
                    <w:contextualSpacing/>
                    <w:jc w:val="center"/>
                    <w:rPr>
                      <w:rFonts w:eastAsiaTheme="minorEastAsia"/>
                      <w:color w:val="auto"/>
                      <w:szCs w:val="21"/>
                    </w:rPr>
                  </w:pPr>
                </w:p>
              </w:tc>
              <w:tc>
                <w:tcPr>
                  <w:tcW w:w="425" w:type="dxa"/>
                  <w:vMerge w:val="continue"/>
                  <w:vAlign w:val="center"/>
                </w:tcPr>
                <w:p w14:paraId="0AEE586F">
                  <w:pPr>
                    <w:pStyle w:val="69"/>
                    <w:adjustRightInd/>
                    <w:snapToGrid/>
                    <w:spacing w:line="240" w:lineRule="atLeast"/>
                    <w:ind w:firstLine="0" w:firstLineChars="0"/>
                    <w:contextualSpacing/>
                    <w:jc w:val="center"/>
                    <w:rPr>
                      <w:rFonts w:eastAsiaTheme="minorEastAsia"/>
                      <w:bCs/>
                      <w:color w:val="auto"/>
                      <w:sz w:val="21"/>
                      <w:szCs w:val="21"/>
                    </w:rPr>
                  </w:pPr>
                </w:p>
              </w:tc>
              <w:tc>
                <w:tcPr>
                  <w:tcW w:w="851" w:type="dxa"/>
                  <w:vMerge w:val="continue"/>
                  <w:vAlign w:val="center"/>
                </w:tcPr>
                <w:p w14:paraId="601D9775">
                  <w:pPr>
                    <w:pStyle w:val="69"/>
                    <w:adjustRightInd/>
                    <w:snapToGrid/>
                    <w:spacing w:line="240" w:lineRule="atLeast"/>
                    <w:ind w:firstLine="0" w:firstLineChars="0"/>
                    <w:contextualSpacing/>
                    <w:jc w:val="center"/>
                    <w:rPr>
                      <w:rFonts w:eastAsiaTheme="minorEastAsia"/>
                      <w:bCs/>
                      <w:color w:val="auto"/>
                      <w:sz w:val="21"/>
                      <w:szCs w:val="21"/>
                    </w:rPr>
                  </w:pPr>
                </w:p>
              </w:tc>
              <w:tc>
                <w:tcPr>
                  <w:tcW w:w="708" w:type="dxa"/>
                  <w:vMerge w:val="continue"/>
                  <w:vAlign w:val="center"/>
                </w:tcPr>
                <w:p w14:paraId="38541016">
                  <w:pPr>
                    <w:autoSpaceDE w:val="0"/>
                    <w:autoSpaceDN w:val="0"/>
                    <w:spacing w:line="240" w:lineRule="atLeast"/>
                    <w:contextualSpacing/>
                    <w:jc w:val="center"/>
                    <w:rPr>
                      <w:rFonts w:eastAsiaTheme="minorEastAsia"/>
                      <w:color w:val="auto"/>
                      <w:szCs w:val="21"/>
                    </w:rPr>
                  </w:pPr>
                </w:p>
              </w:tc>
              <w:tc>
                <w:tcPr>
                  <w:tcW w:w="792" w:type="dxa"/>
                  <w:vAlign w:val="center"/>
                </w:tcPr>
                <w:p w14:paraId="24681FA5">
                  <w:pPr>
                    <w:spacing w:line="240" w:lineRule="atLeast"/>
                    <w:jc w:val="center"/>
                    <w:rPr>
                      <w:rFonts w:eastAsiaTheme="minorEastAsia"/>
                      <w:color w:val="auto"/>
                      <w:szCs w:val="21"/>
                    </w:rPr>
                  </w:pPr>
                  <w:r>
                    <w:rPr>
                      <w:rFonts w:eastAsiaTheme="minorEastAsia"/>
                      <w:color w:val="auto"/>
                      <w:kern w:val="0"/>
                      <w:szCs w:val="21"/>
                    </w:rPr>
                    <w:t>0</w:t>
                  </w:r>
                </w:p>
              </w:tc>
              <w:tc>
                <w:tcPr>
                  <w:tcW w:w="756" w:type="dxa"/>
                  <w:vAlign w:val="center"/>
                </w:tcPr>
                <w:p w14:paraId="78F0171D">
                  <w:pPr>
                    <w:spacing w:line="240" w:lineRule="atLeast"/>
                    <w:jc w:val="center"/>
                    <w:rPr>
                      <w:rFonts w:eastAsiaTheme="minorEastAsia"/>
                      <w:color w:val="auto"/>
                      <w:szCs w:val="21"/>
                    </w:rPr>
                  </w:pPr>
                  <w:r>
                    <w:rPr>
                      <w:rFonts w:eastAsiaTheme="minorEastAsia"/>
                      <w:color w:val="auto"/>
                      <w:kern w:val="0"/>
                      <w:szCs w:val="21"/>
                    </w:rPr>
                    <w:t>0</w:t>
                  </w:r>
                </w:p>
              </w:tc>
            </w:tr>
          </w:tbl>
          <w:p w14:paraId="2D415A07">
            <w:pPr>
              <w:spacing w:line="360" w:lineRule="auto"/>
              <w:ind w:firstLine="482" w:firstLineChars="200"/>
              <w:contextualSpacing/>
              <w:rPr>
                <w:rFonts w:eastAsiaTheme="minorEastAsia"/>
                <w:b/>
                <w:bCs/>
                <w:color w:val="auto"/>
                <w:sz w:val="24"/>
              </w:rPr>
            </w:pPr>
            <w:r>
              <w:rPr>
                <w:rFonts w:hint="eastAsia" w:eastAsiaTheme="minorEastAsia"/>
                <w:b/>
                <w:bCs/>
                <w:color w:val="auto"/>
                <w:sz w:val="24"/>
              </w:rPr>
              <w:t>2、环境影响分析</w:t>
            </w:r>
          </w:p>
          <w:p w14:paraId="05CDC798">
            <w:pPr>
              <w:spacing w:line="360" w:lineRule="auto"/>
              <w:ind w:firstLine="480" w:firstLineChars="200"/>
              <w:rPr>
                <w:color w:val="auto"/>
                <w:sz w:val="24"/>
              </w:rPr>
            </w:pPr>
            <w:r>
              <w:rPr>
                <w:rFonts w:hint="eastAsia"/>
                <w:color w:val="auto"/>
                <w:sz w:val="24"/>
              </w:rPr>
              <w:t>本项目废水主要为生活污水、初期雨水。其生初期雨水量29.3</w:t>
            </w:r>
            <w:r>
              <w:rPr>
                <w:color w:val="auto"/>
                <w:sz w:val="24"/>
              </w:rPr>
              <w:t>m</w:t>
            </w:r>
            <w:r>
              <w:rPr>
                <w:color w:val="auto"/>
                <w:sz w:val="24"/>
                <w:vertAlign w:val="superscript"/>
              </w:rPr>
              <w:t>3</w:t>
            </w:r>
            <w:r>
              <w:rPr>
                <w:color w:val="auto"/>
                <w:sz w:val="24"/>
              </w:rPr>
              <w:t>/次</w:t>
            </w:r>
            <w:r>
              <w:rPr>
                <w:rFonts w:hint="eastAsia"/>
                <w:color w:val="auto"/>
                <w:sz w:val="24"/>
              </w:rPr>
              <w:t>，项目设置初期雨水池容积35m</w:t>
            </w:r>
            <w:r>
              <w:rPr>
                <w:rFonts w:hint="eastAsia"/>
                <w:color w:val="auto"/>
                <w:sz w:val="24"/>
                <w:vertAlign w:val="superscript"/>
              </w:rPr>
              <w:t>3</w:t>
            </w:r>
            <w:r>
              <w:rPr>
                <w:rFonts w:hint="eastAsia"/>
                <w:color w:val="auto"/>
                <w:sz w:val="24"/>
              </w:rPr>
              <w:t>，能够满足初期雨水排入初期雨水池要求；除初期雨水外，生活污水产生量约为0.96t/d（259.2t/a），生活污水排入防渗旱厕，定期清掏，外运堆肥，对项目周围区域地表水影响小。</w:t>
            </w:r>
          </w:p>
          <w:p w14:paraId="29683C00">
            <w:pPr>
              <w:spacing w:line="360" w:lineRule="auto"/>
              <w:ind w:firstLine="480" w:firstLineChars="200"/>
              <w:textAlignment w:val="baseline"/>
              <w:rPr>
                <w:rFonts w:hAnsiTheme="minorEastAsia" w:eastAsiaTheme="minorEastAsia"/>
                <w:color w:val="auto"/>
                <w:sz w:val="24"/>
              </w:rPr>
            </w:pPr>
            <w:r>
              <w:rPr>
                <w:rFonts w:hint="eastAsia"/>
                <w:color w:val="auto"/>
                <w:sz w:val="24"/>
              </w:rPr>
              <w:t>采取上述措施后，可进一步降低本项目所产生的废水对周围的地表水的环境影响。</w:t>
            </w:r>
          </w:p>
          <w:p w14:paraId="0DDA1656">
            <w:pPr>
              <w:spacing w:line="360" w:lineRule="auto"/>
              <w:ind w:firstLine="482" w:firstLineChars="200"/>
              <w:contextualSpacing/>
              <w:rPr>
                <w:b/>
                <w:bCs/>
                <w:color w:val="auto"/>
                <w:sz w:val="24"/>
              </w:rPr>
            </w:pPr>
            <w:r>
              <w:rPr>
                <w:b/>
                <w:bCs/>
                <w:color w:val="auto"/>
                <w:sz w:val="24"/>
              </w:rPr>
              <w:t>（三）噪声</w:t>
            </w:r>
          </w:p>
          <w:p w14:paraId="4203D588">
            <w:pPr>
              <w:spacing w:line="360" w:lineRule="auto"/>
              <w:ind w:firstLine="482" w:firstLineChars="200"/>
              <w:contextualSpacing/>
              <w:rPr>
                <w:b/>
                <w:bCs/>
                <w:color w:val="auto"/>
                <w:sz w:val="24"/>
              </w:rPr>
            </w:pPr>
            <w:r>
              <w:rPr>
                <w:b/>
                <w:bCs/>
                <w:color w:val="auto"/>
                <w:sz w:val="24"/>
              </w:rPr>
              <w:t>1、噪声源强</w:t>
            </w:r>
          </w:p>
          <w:p w14:paraId="41268449">
            <w:pPr>
              <w:pStyle w:val="59"/>
              <w:spacing w:beforeLines="0" w:afterLines="0" w:line="360" w:lineRule="auto"/>
              <w:ind w:firstLine="480"/>
              <w:rPr>
                <w:color w:val="auto"/>
              </w:rPr>
            </w:pPr>
            <w:r>
              <w:rPr>
                <w:color w:val="auto"/>
              </w:rPr>
              <w:t>该项目的</w:t>
            </w:r>
            <w:r>
              <w:rPr>
                <w:bCs/>
                <w:color w:val="auto"/>
              </w:rPr>
              <w:t>主要噪声来自于</w:t>
            </w:r>
            <w:r>
              <w:rPr>
                <w:color w:val="auto"/>
              </w:rPr>
              <w:t>混凝土生产线中各设施运行时产生噪声。设备噪声在</w:t>
            </w:r>
            <w:r>
              <w:rPr>
                <w:rFonts w:hint="eastAsia"/>
                <w:color w:val="auto"/>
              </w:rPr>
              <w:t>70</w:t>
            </w:r>
            <w:r>
              <w:rPr>
                <w:color w:val="auto"/>
              </w:rPr>
              <w:t>~</w:t>
            </w:r>
            <w:r>
              <w:rPr>
                <w:rFonts w:hint="eastAsia"/>
                <w:color w:val="auto"/>
              </w:rPr>
              <w:t>85</w:t>
            </w:r>
            <w:r>
              <w:rPr>
                <w:color w:val="auto"/>
              </w:rPr>
              <w:t>dB(A)左右。本项目设备产生的噪声源强见下表。</w:t>
            </w:r>
          </w:p>
          <w:p w14:paraId="0BB3D60C">
            <w:pPr>
              <w:pStyle w:val="95"/>
              <w:spacing w:line="240" w:lineRule="auto"/>
              <w:ind w:firstLine="0" w:firstLineChars="0"/>
              <w:jc w:val="center"/>
              <w:rPr>
                <w:rFonts w:cs="Times New Roman"/>
                <w:b/>
                <w:color w:val="auto"/>
              </w:rPr>
            </w:pPr>
            <w:r>
              <w:rPr>
                <w:rFonts w:cs="Times New Roman"/>
                <w:b/>
                <w:color w:val="auto"/>
              </w:rPr>
              <w:t>表</w:t>
            </w:r>
            <w:r>
              <w:rPr>
                <w:rFonts w:hint="eastAsia" w:cs="Times New Roman"/>
                <w:b/>
                <w:color w:val="auto"/>
                <w:lang w:val="en-US" w:eastAsia="zh-CN"/>
              </w:rPr>
              <w:t>4-7</w:t>
            </w:r>
            <w:r>
              <w:rPr>
                <w:rFonts w:cs="Times New Roman"/>
                <w:b/>
                <w:color w:val="auto"/>
              </w:rPr>
              <w:t>工业企业噪声源强调查清单（室外声源）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388"/>
              <w:gridCol w:w="458"/>
              <w:gridCol w:w="523"/>
              <w:gridCol w:w="523"/>
              <w:gridCol w:w="575"/>
              <w:gridCol w:w="1408"/>
              <w:gridCol w:w="1802"/>
              <w:gridCol w:w="1153"/>
            </w:tblGrid>
            <w:tr w14:paraId="23809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33" w:type="pct"/>
                  <w:vMerge w:val="restart"/>
                  <w:tcBorders>
                    <w:tl2br w:val="nil"/>
                    <w:tr2bl w:val="nil"/>
                  </w:tcBorders>
                  <w:vAlign w:val="center"/>
                </w:tcPr>
                <w:p w14:paraId="5D2BA212">
                  <w:pPr>
                    <w:jc w:val="center"/>
                    <w:rPr>
                      <w:color w:val="auto"/>
                      <w:szCs w:val="21"/>
                    </w:rPr>
                  </w:pPr>
                  <w:r>
                    <w:rPr>
                      <w:rFonts w:hint="eastAsia"/>
                      <w:color w:val="auto"/>
                      <w:szCs w:val="21"/>
                    </w:rPr>
                    <w:t>序号</w:t>
                  </w:r>
                </w:p>
              </w:tc>
              <w:tc>
                <w:tcPr>
                  <w:tcW w:w="827" w:type="pct"/>
                  <w:vMerge w:val="restart"/>
                  <w:tcBorders>
                    <w:tl2br w:val="nil"/>
                    <w:tr2bl w:val="nil"/>
                  </w:tcBorders>
                  <w:vAlign w:val="center"/>
                </w:tcPr>
                <w:p w14:paraId="0E28FB0E">
                  <w:pPr>
                    <w:jc w:val="center"/>
                    <w:rPr>
                      <w:color w:val="auto"/>
                      <w:szCs w:val="21"/>
                    </w:rPr>
                  </w:pPr>
                  <w:r>
                    <w:rPr>
                      <w:rFonts w:hint="eastAsia"/>
                      <w:color w:val="auto"/>
                      <w:szCs w:val="21"/>
                    </w:rPr>
                    <w:t>声源名称</w:t>
                  </w:r>
                </w:p>
              </w:tc>
              <w:tc>
                <w:tcPr>
                  <w:tcW w:w="273" w:type="pct"/>
                  <w:vMerge w:val="restart"/>
                  <w:tcBorders>
                    <w:tl2br w:val="nil"/>
                    <w:tr2bl w:val="nil"/>
                  </w:tcBorders>
                  <w:vAlign w:val="center"/>
                </w:tcPr>
                <w:p w14:paraId="4BD216B1">
                  <w:pPr>
                    <w:jc w:val="center"/>
                    <w:rPr>
                      <w:color w:val="auto"/>
                      <w:szCs w:val="21"/>
                    </w:rPr>
                  </w:pPr>
                  <w:r>
                    <w:rPr>
                      <w:rFonts w:hint="eastAsia"/>
                      <w:color w:val="auto"/>
                      <w:szCs w:val="21"/>
                    </w:rPr>
                    <w:t>型号</w:t>
                  </w:r>
                </w:p>
              </w:tc>
              <w:tc>
                <w:tcPr>
                  <w:tcW w:w="967" w:type="pct"/>
                  <w:gridSpan w:val="3"/>
                  <w:tcBorders>
                    <w:tl2br w:val="nil"/>
                    <w:tr2bl w:val="nil"/>
                  </w:tcBorders>
                  <w:vAlign w:val="center"/>
                </w:tcPr>
                <w:p w14:paraId="0235892C">
                  <w:pPr>
                    <w:jc w:val="center"/>
                    <w:rPr>
                      <w:color w:val="auto"/>
                      <w:szCs w:val="21"/>
                    </w:rPr>
                  </w:pPr>
                  <w:r>
                    <w:rPr>
                      <w:rFonts w:hint="eastAsia"/>
                      <w:color w:val="auto"/>
                      <w:szCs w:val="21"/>
                    </w:rPr>
                    <w:t>空间相对位置</w:t>
                  </w:r>
                </w:p>
              </w:tc>
              <w:tc>
                <w:tcPr>
                  <w:tcW w:w="839" w:type="pct"/>
                  <w:vMerge w:val="restart"/>
                  <w:tcBorders>
                    <w:tl2br w:val="nil"/>
                    <w:tr2bl w:val="nil"/>
                  </w:tcBorders>
                  <w:vAlign w:val="center"/>
                </w:tcPr>
                <w:p w14:paraId="7827E3B4">
                  <w:pPr>
                    <w:jc w:val="center"/>
                    <w:rPr>
                      <w:color w:val="auto"/>
                      <w:szCs w:val="21"/>
                    </w:rPr>
                  </w:pPr>
                  <w:r>
                    <w:rPr>
                      <w:rFonts w:hint="eastAsia"/>
                      <w:color w:val="auto"/>
                      <w:szCs w:val="21"/>
                    </w:rPr>
                    <w:t>声功率级/dB(A)</w:t>
                  </w:r>
                </w:p>
              </w:tc>
              <w:tc>
                <w:tcPr>
                  <w:tcW w:w="1074" w:type="pct"/>
                  <w:vMerge w:val="restart"/>
                  <w:tcBorders>
                    <w:tl2br w:val="nil"/>
                    <w:tr2bl w:val="nil"/>
                  </w:tcBorders>
                  <w:vAlign w:val="center"/>
                </w:tcPr>
                <w:p w14:paraId="74922BE6">
                  <w:pPr>
                    <w:jc w:val="center"/>
                    <w:rPr>
                      <w:color w:val="auto"/>
                      <w:szCs w:val="21"/>
                    </w:rPr>
                  </w:pPr>
                  <w:r>
                    <w:rPr>
                      <w:rFonts w:hint="eastAsia"/>
                      <w:color w:val="auto"/>
                      <w:szCs w:val="21"/>
                    </w:rPr>
                    <w:t>声源控制措施</w:t>
                  </w:r>
                </w:p>
              </w:tc>
              <w:tc>
                <w:tcPr>
                  <w:tcW w:w="687" w:type="pct"/>
                  <w:vMerge w:val="restart"/>
                  <w:tcBorders>
                    <w:tl2br w:val="nil"/>
                    <w:tr2bl w:val="nil"/>
                  </w:tcBorders>
                  <w:vAlign w:val="center"/>
                </w:tcPr>
                <w:p w14:paraId="51C30D76">
                  <w:pPr>
                    <w:jc w:val="center"/>
                    <w:rPr>
                      <w:color w:val="auto"/>
                      <w:szCs w:val="21"/>
                    </w:rPr>
                  </w:pPr>
                  <w:r>
                    <w:rPr>
                      <w:rFonts w:hint="eastAsia"/>
                      <w:color w:val="auto"/>
                      <w:szCs w:val="21"/>
                    </w:rPr>
                    <w:t>运行时段</w:t>
                  </w:r>
                  <w:r>
                    <w:rPr>
                      <w:rFonts w:hint="eastAsia"/>
                      <w:color w:val="auto"/>
                      <w:kern w:val="0"/>
                      <w:szCs w:val="21"/>
                    </w:rPr>
                    <w:t>/h</w:t>
                  </w:r>
                </w:p>
              </w:tc>
            </w:tr>
            <w:tr w14:paraId="137CE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 w:type="pct"/>
                  <w:vMerge w:val="continue"/>
                  <w:tcBorders>
                    <w:tl2br w:val="nil"/>
                    <w:tr2bl w:val="nil"/>
                  </w:tcBorders>
                  <w:vAlign w:val="center"/>
                </w:tcPr>
                <w:p w14:paraId="2B2AE6E2">
                  <w:pPr>
                    <w:jc w:val="center"/>
                    <w:rPr>
                      <w:color w:val="auto"/>
                      <w:szCs w:val="21"/>
                    </w:rPr>
                  </w:pPr>
                </w:p>
              </w:tc>
              <w:tc>
                <w:tcPr>
                  <w:tcW w:w="827" w:type="pct"/>
                  <w:vMerge w:val="continue"/>
                  <w:tcBorders>
                    <w:tl2br w:val="nil"/>
                    <w:tr2bl w:val="nil"/>
                  </w:tcBorders>
                  <w:vAlign w:val="center"/>
                </w:tcPr>
                <w:p w14:paraId="45291F0C">
                  <w:pPr>
                    <w:jc w:val="center"/>
                    <w:rPr>
                      <w:color w:val="auto"/>
                      <w:szCs w:val="21"/>
                    </w:rPr>
                  </w:pPr>
                </w:p>
              </w:tc>
              <w:tc>
                <w:tcPr>
                  <w:tcW w:w="273" w:type="pct"/>
                  <w:vMerge w:val="continue"/>
                  <w:tcBorders>
                    <w:tl2br w:val="nil"/>
                    <w:tr2bl w:val="nil"/>
                  </w:tcBorders>
                  <w:vAlign w:val="center"/>
                </w:tcPr>
                <w:p w14:paraId="305494B0">
                  <w:pPr>
                    <w:jc w:val="center"/>
                    <w:rPr>
                      <w:color w:val="auto"/>
                      <w:szCs w:val="21"/>
                    </w:rPr>
                  </w:pPr>
                </w:p>
              </w:tc>
              <w:tc>
                <w:tcPr>
                  <w:tcW w:w="312" w:type="pct"/>
                  <w:tcBorders>
                    <w:tl2br w:val="nil"/>
                    <w:tr2bl w:val="nil"/>
                  </w:tcBorders>
                  <w:vAlign w:val="center"/>
                </w:tcPr>
                <w:p w14:paraId="4B4F80C9">
                  <w:pPr>
                    <w:jc w:val="center"/>
                    <w:rPr>
                      <w:color w:val="auto"/>
                      <w:szCs w:val="21"/>
                    </w:rPr>
                  </w:pPr>
                  <w:r>
                    <w:rPr>
                      <w:rFonts w:hint="eastAsia"/>
                      <w:color w:val="auto"/>
                      <w:szCs w:val="21"/>
                    </w:rPr>
                    <w:t>X</w:t>
                  </w:r>
                </w:p>
              </w:tc>
              <w:tc>
                <w:tcPr>
                  <w:tcW w:w="312" w:type="pct"/>
                  <w:tcBorders>
                    <w:tl2br w:val="nil"/>
                    <w:tr2bl w:val="nil"/>
                  </w:tcBorders>
                  <w:vAlign w:val="center"/>
                </w:tcPr>
                <w:p w14:paraId="0DDA63CB">
                  <w:pPr>
                    <w:jc w:val="center"/>
                    <w:rPr>
                      <w:color w:val="auto"/>
                      <w:szCs w:val="21"/>
                    </w:rPr>
                  </w:pPr>
                  <w:r>
                    <w:rPr>
                      <w:rFonts w:hint="eastAsia"/>
                      <w:color w:val="auto"/>
                      <w:szCs w:val="21"/>
                    </w:rPr>
                    <w:t>Y</w:t>
                  </w:r>
                </w:p>
              </w:tc>
              <w:tc>
                <w:tcPr>
                  <w:tcW w:w="343" w:type="pct"/>
                  <w:tcBorders>
                    <w:tl2br w:val="nil"/>
                    <w:tr2bl w:val="nil"/>
                  </w:tcBorders>
                  <w:vAlign w:val="center"/>
                </w:tcPr>
                <w:p w14:paraId="2B514A78">
                  <w:pPr>
                    <w:jc w:val="center"/>
                    <w:rPr>
                      <w:color w:val="auto"/>
                      <w:szCs w:val="21"/>
                    </w:rPr>
                  </w:pPr>
                  <w:r>
                    <w:rPr>
                      <w:rFonts w:hint="eastAsia"/>
                      <w:color w:val="auto"/>
                      <w:szCs w:val="21"/>
                    </w:rPr>
                    <w:t>Z</w:t>
                  </w:r>
                </w:p>
              </w:tc>
              <w:tc>
                <w:tcPr>
                  <w:tcW w:w="839" w:type="pct"/>
                  <w:vMerge w:val="continue"/>
                  <w:tcBorders>
                    <w:tl2br w:val="nil"/>
                    <w:tr2bl w:val="nil"/>
                  </w:tcBorders>
                  <w:vAlign w:val="center"/>
                </w:tcPr>
                <w:p w14:paraId="5446E3A3">
                  <w:pPr>
                    <w:jc w:val="center"/>
                    <w:rPr>
                      <w:color w:val="auto"/>
                      <w:szCs w:val="21"/>
                    </w:rPr>
                  </w:pPr>
                </w:p>
              </w:tc>
              <w:tc>
                <w:tcPr>
                  <w:tcW w:w="1074" w:type="pct"/>
                  <w:vMerge w:val="continue"/>
                  <w:tcBorders>
                    <w:tl2br w:val="nil"/>
                    <w:tr2bl w:val="nil"/>
                  </w:tcBorders>
                  <w:vAlign w:val="center"/>
                </w:tcPr>
                <w:p w14:paraId="72AAEBE4">
                  <w:pPr>
                    <w:jc w:val="center"/>
                    <w:rPr>
                      <w:color w:val="auto"/>
                      <w:szCs w:val="21"/>
                    </w:rPr>
                  </w:pPr>
                </w:p>
              </w:tc>
              <w:tc>
                <w:tcPr>
                  <w:tcW w:w="687" w:type="pct"/>
                  <w:vMerge w:val="continue"/>
                  <w:tcBorders>
                    <w:tl2br w:val="nil"/>
                    <w:tr2bl w:val="nil"/>
                  </w:tcBorders>
                  <w:vAlign w:val="center"/>
                </w:tcPr>
                <w:p w14:paraId="08604B5D">
                  <w:pPr>
                    <w:jc w:val="center"/>
                    <w:rPr>
                      <w:color w:val="auto"/>
                      <w:szCs w:val="21"/>
                    </w:rPr>
                  </w:pPr>
                </w:p>
              </w:tc>
            </w:tr>
            <w:tr w14:paraId="7AE82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 w:type="pct"/>
                  <w:tcBorders>
                    <w:tl2br w:val="nil"/>
                    <w:tr2bl w:val="nil"/>
                  </w:tcBorders>
                  <w:vAlign w:val="center"/>
                </w:tcPr>
                <w:p w14:paraId="405AEF3F">
                  <w:pPr>
                    <w:jc w:val="center"/>
                    <w:rPr>
                      <w:color w:val="auto"/>
                      <w:szCs w:val="21"/>
                    </w:rPr>
                  </w:pPr>
                  <w:r>
                    <w:rPr>
                      <w:rFonts w:hint="eastAsia"/>
                      <w:color w:val="auto"/>
                      <w:szCs w:val="21"/>
                    </w:rPr>
                    <w:t>1</w:t>
                  </w:r>
                </w:p>
              </w:tc>
              <w:tc>
                <w:tcPr>
                  <w:tcW w:w="827" w:type="pct"/>
                  <w:tcBorders>
                    <w:tl2br w:val="nil"/>
                    <w:tr2bl w:val="nil"/>
                  </w:tcBorders>
                  <w:vAlign w:val="center"/>
                </w:tcPr>
                <w:p w14:paraId="35697DE3">
                  <w:pPr>
                    <w:jc w:val="center"/>
                    <w:rPr>
                      <w:color w:val="auto"/>
                      <w:szCs w:val="21"/>
                    </w:rPr>
                  </w:pPr>
                  <w:r>
                    <w:rPr>
                      <w:rFonts w:hint="eastAsia"/>
                      <w:color w:val="auto"/>
                      <w:szCs w:val="21"/>
                    </w:rPr>
                    <w:t>搅拌站</w:t>
                  </w:r>
                </w:p>
              </w:tc>
              <w:tc>
                <w:tcPr>
                  <w:tcW w:w="273" w:type="pct"/>
                  <w:tcBorders>
                    <w:tl2br w:val="nil"/>
                    <w:tr2bl w:val="nil"/>
                  </w:tcBorders>
                  <w:vAlign w:val="center"/>
                </w:tcPr>
                <w:p w14:paraId="374CDAEC">
                  <w:pPr>
                    <w:jc w:val="center"/>
                    <w:rPr>
                      <w:color w:val="auto"/>
                      <w:szCs w:val="21"/>
                    </w:rPr>
                  </w:pPr>
                  <w:r>
                    <w:rPr>
                      <w:rFonts w:hint="eastAsia"/>
                      <w:color w:val="auto"/>
                      <w:szCs w:val="21"/>
                    </w:rPr>
                    <w:t>/</w:t>
                  </w:r>
                </w:p>
              </w:tc>
              <w:tc>
                <w:tcPr>
                  <w:tcW w:w="312" w:type="pct"/>
                  <w:tcBorders>
                    <w:tl2br w:val="nil"/>
                    <w:tr2bl w:val="nil"/>
                  </w:tcBorders>
                  <w:vAlign w:val="center"/>
                </w:tcPr>
                <w:p w14:paraId="7F16A142">
                  <w:pPr>
                    <w:jc w:val="center"/>
                    <w:rPr>
                      <w:color w:val="auto"/>
                      <w:szCs w:val="21"/>
                    </w:rPr>
                  </w:pPr>
                  <w:r>
                    <w:rPr>
                      <w:rFonts w:hint="eastAsia"/>
                      <w:color w:val="auto"/>
                      <w:szCs w:val="21"/>
                    </w:rPr>
                    <w:t>-15</w:t>
                  </w:r>
                </w:p>
              </w:tc>
              <w:tc>
                <w:tcPr>
                  <w:tcW w:w="312" w:type="pct"/>
                  <w:tcBorders>
                    <w:tl2br w:val="nil"/>
                    <w:tr2bl w:val="nil"/>
                  </w:tcBorders>
                  <w:vAlign w:val="center"/>
                </w:tcPr>
                <w:p w14:paraId="521BD629">
                  <w:pPr>
                    <w:jc w:val="center"/>
                    <w:rPr>
                      <w:color w:val="auto"/>
                      <w:szCs w:val="21"/>
                    </w:rPr>
                  </w:pPr>
                  <w:r>
                    <w:rPr>
                      <w:rFonts w:hint="eastAsia"/>
                      <w:color w:val="auto"/>
                      <w:szCs w:val="21"/>
                    </w:rPr>
                    <w:t>18</w:t>
                  </w:r>
                </w:p>
              </w:tc>
              <w:tc>
                <w:tcPr>
                  <w:tcW w:w="343" w:type="pct"/>
                  <w:tcBorders>
                    <w:tl2br w:val="nil"/>
                    <w:tr2bl w:val="nil"/>
                  </w:tcBorders>
                  <w:vAlign w:val="center"/>
                </w:tcPr>
                <w:p w14:paraId="1EC9CE64">
                  <w:pPr>
                    <w:jc w:val="center"/>
                    <w:rPr>
                      <w:color w:val="auto"/>
                      <w:szCs w:val="21"/>
                    </w:rPr>
                  </w:pPr>
                  <w:r>
                    <w:rPr>
                      <w:rFonts w:hint="eastAsia"/>
                      <w:color w:val="auto"/>
                      <w:szCs w:val="21"/>
                    </w:rPr>
                    <w:t>164</w:t>
                  </w:r>
                </w:p>
              </w:tc>
              <w:tc>
                <w:tcPr>
                  <w:tcW w:w="839" w:type="pct"/>
                  <w:tcBorders>
                    <w:tl2br w:val="nil"/>
                    <w:tr2bl w:val="nil"/>
                  </w:tcBorders>
                  <w:vAlign w:val="center"/>
                </w:tcPr>
                <w:p w14:paraId="6FBD61AA">
                  <w:pPr>
                    <w:jc w:val="center"/>
                    <w:rPr>
                      <w:color w:val="auto"/>
                      <w:szCs w:val="21"/>
                    </w:rPr>
                  </w:pPr>
                  <w:r>
                    <w:rPr>
                      <w:rFonts w:hint="eastAsia"/>
                      <w:color w:val="auto"/>
                      <w:szCs w:val="21"/>
                    </w:rPr>
                    <w:t>85</w:t>
                  </w:r>
                </w:p>
              </w:tc>
              <w:tc>
                <w:tcPr>
                  <w:tcW w:w="1074" w:type="pct"/>
                  <w:tcBorders>
                    <w:tl2br w:val="nil"/>
                    <w:tr2bl w:val="nil"/>
                  </w:tcBorders>
                  <w:vAlign w:val="center"/>
                </w:tcPr>
                <w:p w14:paraId="26E59F53">
                  <w:pPr>
                    <w:jc w:val="center"/>
                    <w:rPr>
                      <w:color w:val="auto"/>
                      <w:szCs w:val="21"/>
                    </w:rPr>
                  </w:pPr>
                  <w:r>
                    <w:rPr>
                      <w:rFonts w:hint="eastAsia"/>
                      <w:color w:val="auto"/>
                      <w:szCs w:val="21"/>
                    </w:rPr>
                    <w:t>减振措施</w:t>
                  </w:r>
                </w:p>
              </w:tc>
              <w:tc>
                <w:tcPr>
                  <w:tcW w:w="687" w:type="pct"/>
                  <w:vMerge w:val="restart"/>
                  <w:tcBorders>
                    <w:tl2br w:val="nil"/>
                    <w:tr2bl w:val="nil"/>
                  </w:tcBorders>
                  <w:vAlign w:val="center"/>
                </w:tcPr>
                <w:p w14:paraId="4DD06B77">
                  <w:pPr>
                    <w:jc w:val="center"/>
                    <w:rPr>
                      <w:color w:val="auto"/>
                      <w:szCs w:val="21"/>
                    </w:rPr>
                  </w:pPr>
                  <w:r>
                    <w:rPr>
                      <w:rFonts w:hint="eastAsia"/>
                      <w:color w:val="auto"/>
                      <w:szCs w:val="21"/>
                    </w:rPr>
                    <w:t>2</w:t>
                  </w:r>
                  <w:r>
                    <w:rPr>
                      <w:rFonts w:hint="eastAsia"/>
                      <w:color w:val="auto"/>
                      <w:szCs w:val="21"/>
                      <w:lang w:val="en-US" w:eastAsia="zh-CN"/>
                    </w:rPr>
                    <w:t>4</w:t>
                  </w:r>
                  <w:r>
                    <w:rPr>
                      <w:rFonts w:hint="eastAsia"/>
                      <w:color w:val="auto"/>
                      <w:szCs w:val="21"/>
                    </w:rPr>
                    <w:t>00</w:t>
                  </w:r>
                </w:p>
              </w:tc>
            </w:tr>
            <w:tr w14:paraId="10EE1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430EA8A2">
                  <w:pPr>
                    <w:jc w:val="center"/>
                    <w:rPr>
                      <w:color w:val="auto"/>
                      <w:szCs w:val="21"/>
                    </w:rPr>
                  </w:pPr>
                  <w:r>
                    <w:rPr>
                      <w:rFonts w:hint="eastAsia"/>
                      <w:color w:val="auto"/>
                      <w:szCs w:val="21"/>
                    </w:rPr>
                    <w:t>2</w:t>
                  </w:r>
                </w:p>
              </w:tc>
              <w:tc>
                <w:tcPr>
                  <w:tcW w:w="827" w:type="pct"/>
                  <w:tcBorders>
                    <w:tl2br w:val="nil"/>
                    <w:tr2bl w:val="nil"/>
                  </w:tcBorders>
                  <w:vAlign w:val="center"/>
                </w:tcPr>
                <w:p w14:paraId="44ABDDFF">
                  <w:pPr>
                    <w:jc w:val="center"/>
                    <w:rPr>
                      <w:color w:val="auto"/>
                      <w:szCs w:val="21"/>
                    </w:rPr>
                  </w:pPr>
                  <w:r>
                    <w:rPr>
                      <w:color w:val="auto"/>
                      <w:szCs w:val="21"/>
                    </w:rPr>
                    <w:t>振动筛</w:t>
                  </w:r>
                </w:p>
              </w:tc>
              <w:tc>
                <w:tcPr>
                  <w:tcW w:w="273" w:type="pct"/>
                  <w:tcBorders>
                    <w:tl2br w:val="nil"/>
                    <w:tr2bl w:val="nil"/>
                  </w:tcBorders>
                  <w:vAlign w:val="center"/>
                </w:tcPr>
                <w:p w14:paraId="462A5B69">
                  <w:pPr>
                    <w:jc w:val="center"/>
                    <w:rPr>
                      <w:color w:val="auto"/>
                      <w:szCs w:val="21"/>
                    </w:rPr>
                  </w:pPr>
                  <w:r>
                    <w:rPr>
                      <w:rFonts w:hint="eastAsia"/>
                      <w:color w:val="auto"/>
                      <w:szCs w:val="21"/>
                    </w:rPr>
                    <w:t>/</w:t>
                  </w:r>
                </w:p>
              </w:tc>
              <w:tc>
                <w:tcPr>
                  <w:tcW w:w="312" w:type="pct"/>
                  <w:tcBorders>
                    <w:tl2br w:val="nil"/>
                    <w:tr2bl w:val="nil"/>
                  </w:tcBorders>
                  <w:vAlign w:val="center"/>
                </w:tcPr>
                <w:p w14:paraId="54528D75">
                  <w:pPr>
                    <w:jc w:val="center"/>
                    <w:rPr>
                      <w:color w:val="auto"/>
                      <w:szCs w:val="21"/>
                    </w:rPr>
                  </w:pPr>
                  <w:r>
                    <w:rPr>
                      <w:rFonts w:hint="eastAsia"/>
                      <w:color w:val="auto"/>
                      <w:szCs w:val="21"/>
                    </w:rPr>
                    <w:t>-4</w:t>
                  </w:r>
                </w:p>
              </w:tc>
              <w:tc>
                <w:tcPr>
                  <w:tcW w:w="312" w:type="pct"/>
                  <w:tcBorders>
                    <w:tl2br w:val="nil"/>
                    <w:tr2bl w:val="nil"/>
                  </w:tcBorders>
                  <w:vAlign w:val="center"/>
                </w:tcPr>
                <w:p w14:paraId="0049C8AD">
                  <w:pPr>
                    <w:jc w:val="center"/>
                    <w:rPr>
                      <w:color w:val="auto"/>
                      <w:szCs w:val="21"/>
                    </w:rPr>
                  </w:pPr>
                  <w:r>
                    <w:rPr>
                      <w:rFonts w:hint="eastAsia"/>
                      <w:color w:val="auto"/>
                      <w:szCs w:val="21"/>
                    </w:rPr>
                    <w:t>7</w:t>
                  </w:r>
                </w:p>
              </w:tc>
              <w:tc>
                <w:tcPr>
                  <w:tcW w:w="343" w:type="pct"/>
                  <w:tcBorders>
                    <w:tl2br w:val="nil"/>
                    <w:tr2bl w:val="nil"/>
                  </w:tcBorders>
                  <w:vAlign w:val="center"/>
                </w:tcPr>
                <w:p w14:paraId="5EC0C6F4">
                  <w:pPr>
                    <w:jc w:val="center"/>
                    <w:rPr>
                      <w:color w:val="auto"/>
                      <w:szCs w:val="21"/>
                    </w:rPr>
                  </w:pPr>
                  <w:r>
                    <w:rPr>
                      <w:rFonts w:hint="eastAsia"/>
                      <w:color w:val="auto"/>
                      <w:szCs w:val="21"/>
                    </w:rPr>
                    <w:t>164</w:t>
                  </w:r>
                </w:p>
              </w:tc>
              <w:tc>
                <w:tcPr>
                  <w:tcW w:w="839" w:type="pct"/>
                  <w:tcBorders>
                    <w:tl2br w:val="nil"/>
                    <w:tr2bl w:val="nil"/>
                  </w:tcBorders>
                  <w:vAlign w:val="center"/>
                </w:tcPr>
                <w:p w14:paraId="5DDA89FF">
                  <w:pPr>
                    <w:jc w:val="center"/>
                    <w:rPr>
                      <w:color w:val="auto"/>
                      <w:szCs w:val="21"/>
                    </w:rPr>
                  </w:pPr>
                  <w:r>
                    <w:rPr>
                      <w:rFonts w:hint="eastAsia"/>
                      <w:color w:val="auto"/>
                      <w:szCs w:val="21"/>
                    </w:rPr>
                    <w:t>70</w:t>
                  </w:r>
                </w:p>
              </w:tc>
              <w:tc>
                <w:tcPr>
                  <w:tcW w:w="1074" w:type="pct"/>
                  <w:tcBorders>
                    <w:tl2br w:val="nil"/>
                    <w:tr2bl w:val="nil"/>
                  </w:tcBorders>
                  <w:vAlign w:val="center"/>
                </w:tcPr>
                <w:p w14:paraId="4A4CD301">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31955E2D">
                  <w:pPr>
                    <w:jc w:val="center"/>
                    <w:rPr>
                      <w:color w:val="auto"/>
                      <w:szCs w:val="21"/>
                    </w:rPr>
                  </w:pPr>
                </w:p>
              </w:tc>
            </w:tr>
            <w:tr w14:paraId="7F57C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12AD031E">
                  <w:pPr>
                    <w:jc w:val="center"/>
                    <w:rPr>
                      <w:color w:val="auto"/>
                      <w:szCs w:val="21"/>
                    </w:rPr>
                  </w:pPr>
                  <w:r>
                    <w:rPr>
                      <w:rFonts w:hint="eastAsia"/>
                      <w:color w:val="auto"/>
                      <w:szCs w:val="21"/>
                    </w:rPr>
                    <w:t>3</w:t>
                  </w:r>
                </w:p>
              </w:tc>
              <w:tc>
                <w:tcPr>
                  <w:tcW w:w="827" w:type="pct"/>
                  <w:tcBorders>
                    <w:tl2br w:val="nil"/>
                    <w:tr2bl w:val="nil"/>
                  </w:tcBorders>
                  <w:vAlign w:val="center"/>
                </w:tcPr>
                <w:p w14:paraId="159632B3">
                  <w:pPr>
                    <w:jc w:val="center"/>
                    <w:rPr>
                      <w:color w:val="auto"/>
                      <w:szCs w:val="21"/>
                    </w:rPr>
                  </w:pPr>
                  <w:r>
                    <w:rPr>
                      <w:color w:val="auto"/>
                      <w:szCs w:val="21"/>
                    </w:rPr>
                    <w:t>干燥筒</w:t>
                  </w:r>
                </w:p>
              </w:tc>
              <w:tc>
                <w:tcPr>
                  <w:tcW w:w="273" w:type="pct"/>
                  <w:tcBorders>
                    <w:tl2br w:val="nil"/>
                    <w:tr2bl w:val="nil"/>
                  </w:tcBorders>
                  <w:vAlign w:val="center"/>
                </w:tcPr>
                <w:p w14:paraId="26C3542A">
                  <w:pPr>
                    <w:jc w:val="center"/>
                    <w:rPr>
                      <w:color w:val="auto"/>
                      <w:szCs w:val="21"/>
                    </w:rPr>
                  </w:pPr>
                </w:p>
              </w:tc>
              <w:tc>
                <w:tcPr>
                  <w:tcW w:w="312" w:type="pct"/>
                  <w:tcBorders>
                    <w:tl2br w:val="nil"/>
                    <w:tr2bl w:val="nil"/>
                  </w:tcBorders>
                  <w:vAlign w:val="center"/>
                </w:tcPr>
                <w:p w14:paraId="16D122FB">
                  <w:pPr>
                    <w:jc w:val="center"/>
                    <w:rPr>
                      <w:color w:val="auto"/>
                      <w:szCs w:val="21"/>
                    </w:rPr>
                  </w:pPr>
                  <w:r>
                    <w:rPr>
                      <w:rFonts w:hint="eastAsia"/>
                      <w:color w:val="auto"/>
                      <w:szCs w:val="21"/>
                    </w:rPr>
                    <w:t>0</w:t>
                  </w:r>
                </w:p>
              </w:tc>
              <w:tc>
                <w:tcPr>
                  <w:tcW w:w="312" w:type="pct"/>
                  <w:tcBorders>
                    <w:tl2br w:val="nil"/>
                    <w:tr2bl w:val="nil"/>
                  </w:tcBorders>
                  <w:vAlign w:val="center"/>
                </w:tcPr>
                <w:p w14:paraId="2130D33A">
                  <w:pPr>
                    <w:jc w:val="center"/>
                    <w:rPr>
                      <w:color w:val="auto"/>
                      <w:szCs w:val="21"/>
                    </w:rPr>
                  </w:pPr>
                  <w:r>
                    <w:rPr>
                      <w:rFonts w:hint="eastAsia"/>
                      <w:color w:val="auto"/>
                      <w:szCs w:val="21"/>
                    </w:rPr>
                    <w:t>0</w:t>
                  </w:r>
                </w:p>
              </w:tc>
              <w:tc>
                <w:tcPr>
                  <w:tcW w:w="343" w:type="pct"/>
                  <w:tcBorders>
                    <w:tl2br w:val="nil"/>
                    <w:tr2bl w:val="nil"/>
                  </w:tcBorders>
                  <w:vAlign w:val="center"/>
                </w:tcPr>
                <w:p w14:paraId="161BE7DE">
                  <w:pPr>
                    <w:jc w:val="center"/>
                    <w:rPr>
                      <w:color w:val="auto"/>
                      <w:szCs w:val="21"/>
                    </w:rPr>
                  </w:pPr>
                  <w:r>
                    <w:rPr>
                      <w:rFonts w:hint="eastAsia"/>
                      <w:color w:val="auto"/>
                      <w:szCs w:val="21"/>
                    </w:rPr>
                    <w:t>164</w:t>
                  </w:r>
                </w:p>
              </w:tc>
              <w:tc>
                <w:tcPr>
                  <w:tcW w:w="839" w:type="pct"/>
                  <w:tcBorders>
                    <w:tl2br w:val="nil"/>
                    <w:tr2bl w:val="nil"/>
                  </w:tcBorders>
                  <w:vAlign w:val="center"/>
                </w:tcPr>
                <w:p w14:paraId="5F9A602F">
                  <w:pPr>
                    <w:jc w:val="center"/>
                    <w:rPr>
                      <w:color w:val="auto"/>
                      <w:szCs w:val="21"/>
                    </w:rPr>
                  </w:pPr>
                  <w:r>
                    <w:rPr>
                      <w:rFonts w:hint="eastAsia"/>
                      <w:color w:val="auto"/>
                      <w:szCs w:val="21"/>
                    </w:rPr>
                    <w:t>70</w:t>
                  </w:r>
                </w:p>
              </w:tc>
              <w:tc>
                <w:tcPr>
                  <w:tcW w:w="1074" w:type="pct"/>
                  <w:tcBorders>
                    <w:tl2br w:val="nil"/>
                    <w:tr2bl w:val="nil"/>
                  </w:tcBorders>
                  <w:vAlign w:val="center"/>
                </w:tcPr>
                <w:p w14:paraId="13F6EDF0">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1972BCA8">
                  <w:pPr>
                    <w:jc w:val="center"/>
                    <w:rPr>
                      <w:color w:val="auto"/>
                      <w:szCs w:val="21"/>
                    </w:rPr>
                  </w:pPr>
                </w:p>
              </w:tc>
            </w:tr>
            <w:tr w14:paraId="27E2A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0" w:hRule="atLeast"/>
              </w:trPr>
              <w:tc>
                <w:tcPr>
                  <w:tcW w:w="333" w:type="pct"/>
                  <w:tcBorders>
                    <w:tl2br w:val="nil"/>
                    <w:tr2bl w:val="nil"/>
                  </w:tcBorders>
                  <w:vAlign w:val="center"/>
                </w:tcPr>
                <w:p w14:paraId="113C1009">
                  <w:pPr>
                    <w:jc w:val="center"/>
                    <w:rPr>
                      <w:color w:val="auto"/>
                      <w:szCs w:val="21"/>
                    </w:rPr>
                  </w:pPr>
                  <w:r>
                    <w:rPr>
                      <w:rFonts w:hint="eastAsia"/>
                      <w:color w:val="auto"/>
                      <w:szCs w:val="21"/>
                    </w:rPr>
                    <w:t>4</w:t>
                  </w:r>
                </w:p>
              </w:tc>
              <w:tc>
                <w:tcPr>
                  <w:tcW w:w="827" w:type="pct"/>
                  <w:tcBorders>
                    <w:tl2br w:val="nil"/>
                    <w:tr2bl w:val="nil"/>
                  </w:tcBorders>
                  <w:vAlign w:val="center"/>
                </w:tcPr>
                <w:p w14:paraId="68E985EA">
                  <w:pPr>
                    <w:jc w:val="center"/>
                    <w:rPr>
                      <w:color w:val="auto"/>
                      <w:szCs w:val="21"/>
                    </w:rPr>
                  </w:pPr>
                  <w:r>
                    <w:rPr>
                      <w:color w:val="auto"/>
                      <w:szCs w:val="21"/>
                    </w:rPr>
                    <w:t>铲车</w:t>
                  </w:r>
                </w:p>
              </w:tc>
              <w:tc>
                <w:tcPr>
                  <w:tcW w:w="273" w:type="pct"/>
                  <w:tcBorders>
                    <w:tl2br w:val="nil"/>
                    <w:tr2bl w:val="nil"/>
                  </w:tcBorders>
                  <w:vAlign w:val="center"/>
                </w:tcPr>
                <w:p w14:paraId="7413B640">
                  <w:pPr>
                    <w:jc w:val="center"/>
                    <w:rPr>
                      <w:color w:val="auto"/>
                      <w:szCs w:val="21"/>
                    </w:rPr>
                  </w:pPr>
                </w:p>
              </w:tc>
              <w:tc>
                <w:tcPr>
                  <w:tcW w:w="312" w:type="pct"/>
                  <w:tcBorders>
                    <w:tl2br w:val="nil"/>
                    <w:tr2bl w:val="nil"/>
                  </w:tcBorders>
                  <w:vAlign w:val="center"/>
                </w:tcPr>
                <w:p w14:paraId="60B8F1A7">
                  <w:pPr>
                    <w:jc w:val="center"/>
                    <w:rPr>
                      <w:color w:val="auto"/>
                      <w:szCs w:val="21"/>
                    </w:rPr>
                  </w:pPr>
                  <w:r>
                    <w:rPr>
                      <w:rFonts w:hint="eastAsia"/>
                      <w:color w:val="auto"/>
                      <w:szCs w:val="21"/>
                    </w:rPr>
                    <w:t>24</w:t>
                  </w:r>
                </w:p>
              </w:tc>
              <w:tc>
                <w:tcPr>
                  <w:tcW w:w="312" w:type="pct"/>
                  <w:tcBorders>
                    <w:tl2br w:val="nil"/>
                    <w:tr2bl w:val="nil"/>
                  </w:tcBorders>
                  <w:vAlign w:val="center"/>
                </w:tcPr>
                <w:p w14:paraId="3CB07E58">
                  <w:pPr>
                    <w:jc w:val="center"/>
                    <w:rPr>
                      <w:color w:val="auto"/>
                      <w:szCs w:val="21"/>
                    </w:rPr>
                  </w:pPr>
                  <w:r>
                    <w:rPr>
                      <w:rFonts w:hint="eastAsia"/>
                      <w:color w:val="auto"/>
                      <w:szCs w:val="21"/>
                    </w:rPr>
                    <w:t>15</w:t>
                  </w:r>
                </w:p>
              </w:tc>
              <w:tc>
                <w:tcPr>
                  <w:tcW w:w="343" w:type="pct"/>
                  <w:tcBorders>
                    <w:tl2br w:val="nil"/>
                    <w:tr2bl w:val="nil"/>
                  </w:tcBorders>
                  <w:vAlign w:val="center"/>
                </w:tcPr>
                <w:p w14:paraId="281CDB1A">
                  <w:pPr>
                    <w:jc w:val="center"/>
                    <w:rPr>
                      <w:color w:val="auto"/>
                      <w:szCs w:val="21"/>
                    </w:rPr>
                  </w:pPr>
                  <w:r>
                    <w:rPr>
                      <w:rFonts w:hint="eastAsia"/>
                      <w:color w:val="auto"/>
                      <w:szCs w:val="21"/>
                    </w:rPr>
                    <w:t>165</w:t>
                  </w:r>
                </w:p>
              </w:tc>
              <w:tc>
                <w:tcPr>
                  <w:tcW w:w="839" w:type="pct"/>
                  <w:tcBorders>
                    <w:tl2br w:val="nil"/>
                    <w:tr2bl w:val="nil"/>
                  </w:tcBorders>
                  <w:vAlign w:val="center"/>
                </w:tcPr>
                <w:p w14:paraId="73EFB2EE">
                  <w:pPr>
                    <w:jc w:val="center"/>
                    <w:rPr>
                      <w:color w:val="auto"/>
                      <w:szCs w:val="21"/>
                    </w:rPr>
                  </w:pPr>
                  <w:r>
                    <w:rPr>
                      <w:rFonts w:hint="eastAsia"/>
                      <w:color w:val="auto"/>
                      <w:szCs w:val="21"/>
                    </w:rPr>
                    <w:t>80</w:t>
                  </w:r>
                </w:p>
              </w:tc>
              <w:tc>
                <w:tcPr>
                  <w:tcW w:w="1074" w:type="pct"/>
                  <w:tcBorders>
                    <w:tl2br w:val="nil"/>
                    <w:tr2bl w:val="nil"/>
                  </w:tcBorders>
                  <w:vAlign w:val="center"/>
                </w:tcPr>
                <w:p w14:paraId="3943AEE5">
                  <w:pPr>
                    <w:jc w:val="center"/>
                    <w:rPr>
                      <w:color w:val="auto"/>
                      <w:szCs w:val="21"/>
                    </w:rPr>
                  </w:pPr>
                  <w:r>
                    <w:rPr>
                      <w:rFonts w:hint="eastAsia"/>
                      <w:color w:val="auto"/>
                      <w:szCs w:val="21"/>
                    </w:rPr>
                    <w:t>采取禁鸣限速措施</w:t>
                  </w:r>
                </w:p>
              </w:tc>
              <w:tc>
                <w:tcPr>
                  <w:tcW w:w="687" w:type="pct"/>
                  <w:vMerge w:val="continue"/>
                  <w:tcBorders>
                    <w:tl2br w:val="nil"/>
                    <w:tr2bl w:val="nil"/>
                  </w:tcBorders>
                  <w:vAlign w:val="center"/>
                </w:tcPr>
                <w:p w14:paraId="298A883F">
                  <w:pPr>
                    <w:jc w:val="center"/>
                    <w:rPr>
                      <w:color w:val="auto"/>
                      <w:szCs w:val="21"/>
                    </w:rPr>
                  </w:pPr>
                </w:p>
              </w:tc>
            </w:tr>
            <w:tr w14:paraId="4CB60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6A167E87">
                  <w:pPr>
                    <w:jc w:val="center"/>
                    <w:rPr>
                      <w:color w:val="auto"/>
                      <w:szCs w:val="21"/>
                    </w:rPr>
                  </w:pPr>
                  <w:r>
                    <w:rPr>
                      <w:rFonts w:hint="eastAsia"/>
                      <w:color w:val="auto"/>
                      <w:szCs w:val="21"/>
                    </w:rPr>
                    <w:t>5</w:t>
                  </w:r>
                </w:p>
              </w:tc>
              <w:tc>
                <w:tcPr>
                  <w:tcW w:w="827" w:type="pct"/>
                  <w:tcBorders>
                    <w:tl2br w:val="nil"/>
                    <w:tr2bl w:val="nil"/>
                  </w:tcBorders>
                  <w:vAlign w:val="center"/>
                </w:tcPr>
                <w:p w14:paraId="6D1EB95A">
                  <w:pPr>
                    <w:jc w:val="center"/>
                    <w:rPr>
                      <w:color w:val="auto"/>
                      <w:szCs w:val="21"/>
                    </w:rPr>
                  </w:pPr>
                  <w:r>
                    <w:rPr>
                      <w:color w:val="auto"/>
                      <w:szCs w:val="21"/>
                    </w:rPr>
                    <w:t>风机</w:t>
                  </w:r>
                </w:p>
              </w:tc>
              <w:tc>
                <w:tcPr>
                  <w:tcW w:w="273" w:type="pct"/>
                  <w:tcBorders>
                    <w:tl2br w:val="nil"/>
                    <w:tr2bl w:val="nil"/>
                  </w:tcBorders>
                  <w:vAlign w:val="center"/>
                </w:tcPr>
                <w:p w14:paraId="61221943">
                  <w:pPr>
                    <w:jc w:val="center"/>
                    <w:rPr>
                      <w:color w:val="auto"/>
                      <w:szCs w:val="21"/>
                    </w:rPr>
                  </w:pPr>
                  <w:r>
                    <w:rPr>
                      <w:rFonts w:hint="eastAsia"/>
                      <w:color w:val="auto"/>
                      <w:szCs w:val="21"/>
                    </w:rPr>
                    <w:t>/</w:t>
                  </w:r>
                </w:p>
              </w:tc>
              <w:tc>
                <w:tcPr>
                  <w:tcW w:w="312" w:type="pct"/>
                  <w:tcBorders>
                    <w:tl2br w:val="nil"/>
                    <w:tr2bl w:val="nil"/>
                  </w:tcBorders>
                  <w:vAlign w:val="center"/>
                </w:tcPr>
                <w:p w14:paraId="2393FBCB">
                  <w:pPr>
                    <w:jc w:val="center"/>
                    <w:rPr>
                      <w:color w:val="auto"/>
                      <w:szCs w:val="21"/>
                    </w:rPr>
                  </w:pPr>
                  <w:r>
                    <w:rPr>
                      <w:rFonts w:hint="eastAsia"/>
                      <w:color w:val="auto"/>
                      <w:szCs w:val="21"/>
                    </w:rPr>
                    <w:t>-5</w:t>
                  </w:r>
                </w:p>
              </w:tc>
              <w:tc>
                <w:tcPr>
                  <w:tcW w:w="312" w:type="pct"/>
                  <w:tcBorders>
                    <w:tl2br w:val="nil"/>
                    <w:tr2bl w:val="nil"/>
                  </w:tcBorders>
                  <w:vAlign w:val="center"/>
                </w:tcPr>
                <w:p w14:paraId="6FE54F28">
                  <w:pPr>
                    <w:jc w:val="center"/>
                    <w:rPr>
                      <w:color w:val="auto"/>
                      <w:szCs w:val="21"/>
                    </w:rPr>
                  </w:pPr>
                  <w:r>
                    <w:rPr>
                      <w:rFonts w:hint="eastAsia"/>
                      <w:color w:val="auto"/>
                      <w:szCs w:val="21"/>
                    </w:rPr>
                    <w:t>15</w:t>
                  </w:r>
                </w:p>
              </w:tc>
              <w:tc>
                <w:tcPr>
                  <w:tcW w:w="343" w:type="pct"/>
                  <w:tcBorders>
                    <w:tl2br w:val="nil"/>
                    <w:tr2bl w:val="nil"/>
                  </w:tcBorders>
                  <w:vAlign w:val="center"/>
                </w:tcPr>
                <w:p w14:paraId="48A61F82">
                  <w:pPr>
                    <w:jc w:val="center"/>
                    <w:rPr>
                      <w:color w:val="auto"/>
                      <w:szCs w:val="21"/>
                    </w:rPr>
                  </w:pPr>
                  <w:r>
                    <w:rPr>
                      <w:rFonts w:hint="eastAsia"/>
                      <w:color w:val="auto"/>
                      <w:szCs w:val="21"/>
                    </w:rPr>
                    <w:t>164</w:t>
                  </w:r>
                </w:p>
              </w:tc>
              <w:tc>
                <w:tcPr>
                  <w:tcW w:w="839" w:type="pct"/>
                  <w:tcBorders>
                    <w:tl2br w:val="nil"/>
                    <w:tr2bl w:val="nil"/>
                  </w:tcBorders>
                  <w:vAlign w:val="center"/>
                </w:tcPr>
                <w:p w14:paraId="02673709">
                  <w:pPr>
                    <w:jc w:val="center"/>
                    <w:rPr>
                      <w:color w:val="auto"/>
                      <w:szCs w:val="21"/>
                    </w:rPr>
                  </w:pPr>
                  <w:r>
                    <w:rPr>
                      <w:rFonts w:hint="eastAsia"/>
                      <w:color w:val="auto"/>
                      <w:szCs w:val="21"/>
                    </w:rPr>
                    <w:t>85</w:t>
                  </w:r>
                </w:p>
              </w:tc>
              <w:tc>
                <w:tcPr>
                  <w:tcW w:w="1074" w:type="pct"/>
                  <w:tcBorders>
                    <w:tl2br w:val="nil"/>
                    <w:tr2bl w:val="nil"/>
                  </w:tcBorders>
                  <w:vAlign w:val="center"/>
                </w:tcPr>
                <w:p w14:paraId="6BE86E79">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2092754D">
                  <w:pPr>
                    <w:jc w:val="center"/>
                    <w:rPr>
                      <w:color w:val="auto"/>
                      <w:szCs w:val="21"/>
                    </w:rPr>
                  </w:pPr>
                </w:p>
              </w:tc>
            </w:tr>
            <w:tr w14:paraId="49B2A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33024DEB">
                  <w:pPr>
                    <w:jc w:val="center"/>
                    <w:rPr>
                      <w:color w:val="auto"/>
                      <w:szCs w:val="21"/>
                    </w:rPr>
                  </w:pPr>
                  <w:r>
                    <w:rPr>
                      <w:rFonts w:hint="eastAsia"/>
                      <w:color w:val="auto"/>
                      <w:szCs w:val="21"/>
                    </w:rPr>
                    <w:t>6</w:t>
                  </w:r>
                </w:p>
              </w:tc>
              <w:tc>
                <w:tcPr>
                  <w:tcW w:w="827" w:type="pct"/>
                  <w:tcBorders>
                    <w:tl2br w:val="nil"/>
                    <w:tr2bl w:val="nil"/>
                  </w:tcBorders>
                  <w:vAlign w:val="center"/>
                </w:tcPr>
                <w:p w14:paraId="0C7F6111">
                  <w:pPr>
                    <w:jc w:val="center"/>
                    <w:rPr>
                      <w:color w:val="auto"/>
                      <w:szCs w:val="21"/>
                    </w:rPr>
                  </w:pPr>
                  <w:r>
                    <w:rPr>
                      <w:color w:val="auto"/>
                      <w:szCs w:val="21"/>
                    </w:rPr>
                    <w:t>风机</w:t>
                  </w:r>
                </w:p>
              </w:tc>
              <w:tc>
                <w:tcPr>
                  <w:tcW w:w="273" w:type="pct"/>
                  <w:tcBorders>
                    <w:tl2br w:val="nil"/>
                    <w:tr2bl w:val="nil"/>
                  </w:tcBorders>
                  <w:vAlign w:val="center"/>
                </w:tcPr>
                <w:p w14:paraId="3540B479">
                  <w:pPr>
                    <w:jc w:val="center"/>
                    <w:rPr>
                      <w:color w:val="auto"/>
                      <w:szCs w:val="21"/>
                    </w:rPr>
                  </w:pPr>
                </w:p>
              </w:tc>
              <w:tc>
                <w:tcPr>
                  <w:tcW w:w="312" w:type="pct"/>
                  <w:tcBorders>
                    <w:tl2br w:val="nil"/>
                    <w:tr2bl w:val="nil"/>
                  </w:tcBorders>
                  <w:vAlign w:val="center"/>
                </w:tcPr>
                <w:p w14:paraId="679F87BC">
                  <w:pPr>
                    <w:jc w:val="center"/>
                    <w:rPr>
                      <w:color w:val="auto"/>
                      <w:szCs w:val="21"/>
                    </w:rPr>
                  </w:pPr>
                  <w:r>
                    <w:rPr>
                      <w:rFonts w:hint="eastAsia"/>
                      <w:color w:val="auto"/>
                      <w:szCs w:val="21"/>
                    </w:rPr>
                    <w:t>20</w:t>
                  </w:r>
                </w:p>
              </w:tc>
              <w:tc>
                <w:tcPr>
                  <w:tcW w:w="312" w:type="pct"/>
                  <w:tcBorders>
                    <w:tl2br w:val="nil"/>
                    <w:tr2bl w:val="nil"/>
                  </w:tcBorders>
                  <w:vAlign w:val="center"/>
                </w:tcPr>
                <w:p w14:paraId="0BD99025">
                  <w:pPr>
                    <w:jc w:val="center"/>
                    <w:rPr>
                      <w:color w:val="auto"/>
                      <w:szCs w:val="21"/>
                    </w:rPr>
                  </w:pPr>
                  <w:r>
                    <w:rPr>
                      <w:rFonts w:hint="eastAsia"/>
                      <w:color w:val="auto"/>
                      <w:szCs w:val="21"/>
                    </w:rPr>
                    <w:t>10</w:t>
                  </w:r>
                </w:p>
              </w:tc>
              <w:tc>
                <w:tcPr>
                  <w:tcW w:w="343" w:type="pct"/>
                  <w:tcBorders>
                    <w:tl2br w:val="nil"/>
                    <w:tr2bl w:val="nil"/>
                  </w:tcBorders>
                  <w:vAlign w:val="center"/>
                </w:tcPr>
                <w:p w14:paraId="331FECAF">
                  <w:pPr>
                    <w:jc w:val="center"/>
                    <w:rPr>
                      <w:color w:val="auto"/>
                      <w:szCs w:val="21"/>
                    </w:rPr>
                  </w:pPr>
                  <w:r>
                    <w:rPr>
                      <w:rFonts w:hint="eastAsia"/>
                      <w:color w:val="auto"/>
                      <w:szCs w:val="21"/>
                    </w:rPr>
                    <w:t>165</w:t>
                  </w:r>
                </w:p>
              </w:tc>
              <w:tc>
                <w:tcPr>
                  <w:tcW w:w="839" w:type="pct"/>
                  <w:tcBorders>
                    <w:tl2br w:val="nil"/>
                    <w:tr2bl w:val="nil"/>
                  </w:tcBorders>
                  <w:vAlign w:val="center"/>
                </w:tcPr>
                <w:p w14:paraId="0CC12F04">
                  <w:pPr>
                    <w:jc w:val="center"/>
                    <w:rPr>
                      <w:color w:val="auto"/>
                      <w:szCs w:val="21"/>
                    </w:rPr>
                  </w:pPr>
                  <w:r>
                    <w:rPr>
                      <w:rFonts w:hint="eastAsia"/>
                      <w:color w:val="auto"/>
                      <w:szCs w:val="21"/>
                    </w:rPr>
                    <w:t>70</w:t>
                  </w:r>
                </w:p>
              </w:tc>
              <w:tc>
                <w:tcPr>
                  <w:tcW w:w="1074" w:type="pct"/>
                  <w:tcBorders>
                    <w:tl2br w:val="nil"/>
                    <w:tr2bl w:val="nil"/>
                  </w:tcBorders>
                  <w:vAlign w:val="center"/>
                </w:tcPr>
                <w:p w14:paraId="5B14AA6F">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5BC6BADE">
                  <w:pPr>
                    <w:jc w:val="center"/>
                    <w:rPr>
                      <w:color w:val="auto"/>
                      <w:szCs w:val="21"/>
                    </w:rPr>
                  </w:pPr>
                </w:p>
              </w:tc>
            </w:tr>
            <w:tr w14:paraId="5C2FA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6EE65646">
                  <w:pPr>
                    <w:jc w:val="center"/>
                    <w:rPr>
                      <w:color w:val="auto"/>
                      <w:szCs w:val="21"/>
                    </w:rPr>
                  </w:pPr>
                  <w:r>
                    <w:rPr>
                      <w:rFonts w:hint="eastAsia"/>
                      <w:color w:val="auto"/>
                      <w:szCs w:val="21"/>
                    </w:rPr>
                    <w:t>7</w:t>
                  </w:r>
                </w:p>
              </w:tc>
              <w:tc>
                <w:tcPr>
                  <w:tcW w:w="827" w:type="pct"/>
                  <w:tcBorders>
                    <w:tl2br w:val="nil"/>
                    <w:tr2bl w:val="nil"/>
                  </w:tcBorders>
                  <w:vAlign w:val="center"/>
                </w:tcPr>
                <w:p w14:paraId="42944D6F">
                  <w:pPr>
                    <w:jc w:val="center"/>
                    <w:rPr>
                      <w:color w:val="auto"/>
                      <w:szCs w:val="21"/>
                    </w:rPr>
                  </w:pPr>
                  <w:r>
                    <w:rPr>
                      <w:color w:val="auto"/>
                      <w:szCs w:val="21"/>
                    </w:rPr>
                    <w:t>风机</w:t>
                  </w:r>
                </w:p>
              </w:tc>
              <w:tc>
                <w:tcPr>
                  <w:tcW w:w="273" w:type="pct"/>
                  <w:tcBorders>
                    <w:tl2br w:val="nil"/>
                    <w:tr2bl w:val="nil"/>
                  </w:tcBorders>
                  <w:vAlign w:val="center"/>
                </w:tcPr>
                <w:p w14:paraId="42ACC9E9">
                  <w:pPr>
                    <w:jc w:val="center"/>
                    <w:rPr>
                      <w:color w:val="auto"/>
                      <w:szCs w:val="21"/>
                    </w:rPr>
                  </w:pPr>
                </w:p>
              </w:tc>
              <w:tc>
                <w:tcPr>
                  <w:tcW w:w="312" w:type="pct"/>
                  <w:tcBorders>
                    <w:tl2br w:val="nil"/>
                    <w:tr2bl w:val="nil"/>
                  </w:tcBorders>
                  <w:vAlign w:val="center"/>
                </w:tcPr>
                <w:p w14:paraId="72B709B6">
                  <w:pPr>
                    <w:jc w:val="center"/>
                    <w:rPr>
                      <w:color w:val="auto"/>
                      <w:szCs w:val="21"/>
                    </w:rPr>
                  </w:pPr>
                  <w:r>
                    <w:rPr>
                      <w:rFonts w:hint="eastAsia"/>
                      <w:color w:val="auto"/>
                      <w:szCs w:val="21"/>
                    </w:rPr>
                    <w:t>25</w:t>
                  </w:r>
                </w:p>
              </w:tc>
              <w:tc>
                <w:tcPr>
                  <w:tcW w:w="312" w:type="pct"/>
                  <w:tcBorders>
                    <w:tl2br w:val="nil"/>
                    <w:tr2bl w:val="nil"/>
                  </w:tcBorders>
                  <w:vAlign w:val="center"/>
                </w:tcPr>
                <w:p w14:paraId="1D6A2690">
                  <w:pPr>
                    <w:jc w:val="center"/>
                    <w:rPr>
                      <w:color w:val="auto"/>
                      <w:szCs w:val="21"/>
                    </w:rPr>
                  </w:pPr>
                  <w:r>
                    <w:rPr>
                      <w:rFonts w:hint="eastAsia"/>
                      <w:color w:val="auto"/>
                      <w:szCs w:val="21"/>
                    </w:rPr>
                    <w:t>7</w:t>
                  </w:r>
                </w:p>
              </w:tc>
              <w:tc>
                <w:tcPr>
                  <w:tcW w:w="343" w:type="pct"/>
                  <w:tcBorders>
                    <w:tl2br w:val="nil"/>
                    <w:tr2bl w:val="nil"/>
                  </w:tcBorders>
                  <w:vAlign w:val="center"/>
                </w:tcPr>
                <w:p w14:paraId="73E998C9">
                  <w:pPr>
                    <w:jc w:val="center"/>
                    <w:rPr>
                      <w:color w:val="auto"/>
                      <w:szCs w:val="21"/>
                    </w:rPr>
                  </w:pPr>
                  <w:r>
                    <w:rPr>
                      <w:rFonts w:hint="eastAsia"/>
                      <w:color w:val="auto"/>
                      <w:szCs w:val="21"/>
                    </w:rPr>
                    <w:t>164</w:t>
                  </w:r>
                </w:p>
              </w:tc>
              <w:tc>
                <w:tcPr>
                  <w:tcW w:w="839" w:type="pct"/>
                  <w:tcBorders>
                    <w:tl2br w:val="nil"/>
                    <w:tr2bl w:val="nil"/>
                  </w:tcBorders>
                  <w:vAlign w:val="center"/>
                </w:tcPr>
                <w:p w14:paraId="201251FA">
                  <w:pPr>
                    <w:jc w:val="center"/>
                    <w:rPr>
                      <w:color w:val="auto"/>
                      <w:szCs w:val="21"/>
                    </w:rPr>
                  </w:pPr>
                  <w:r>
                    <w:rPr>
                      <w:rFonts w:hint="eastAsia"/>
                      <w:color w:val="auto"/>
                      <w:szCs w:val="21"/>
                    </w:rPr>
                    <w:t>70</w:t>
                  </w:r>
                </w:p>
              </w:tc>
              <w:tc>
                <w:tcPr>
                  <w:tcW w:w="1074" w:type="pct"/>
                  <w:tcBorders>
                    <w:tl2br w:val="nil"/>
                    <w:tr2bl w:val="nil"/>
                  </w:tcBorders>
                  <w:vAlign w:val="center"/>
                </w:tcPr>
                <w:p w14:paraId="42569648">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6EF980DA">
                  <w:pPr>
                    <w:jc w:val="center"/>
                    <w:rPr>
                      <w:color w:val="auto"/>
                      <w:szCs w:val="21"/>
                    </w:rPr>
                  </w:pPr>
                </w:p>
              </w:tc>
            </w:tr>
            <w:tr w14:paraId="0C475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3E8F0B32">
                  <w:pPr>
                    <w:jc w:val="center"/>
                    <w:rPr>
                      <w:color w:val="auto"/>
                      <w:szCs w:val="21"/>
                    </w:rPr>
                  </w:pPr>
                  <w:r>
                    <w:rPr>
                      <w:rFonts w:hint="eastAsia"/>
                      <w:color w:val="auto"/>
                      <w:szCs w:val="21"/>
                    </w:rPr>
                    <w:t>8</w:t>
                  </w:r>
                </w:p>
              </w:tc>
              <w:tc>
                <w:tcPr>
                  <w:tcW w:w="827" w:type="pct"/>
                  <w:tcBorders>
                    <w:tl2br w:val="nil"/>
                    <w:tr2bl w:val="nil"/>
                  </w:tcBorders>
                  <w:vAlign w:val="center"/>
                </w:tcPr>
                <w:p w14:paraId="3BBB1DAC">
                  <w:pPr>
                    <w:jc w:val="center"/>
                    <w:rPr>
                      <w:color w:val="auto"/>
                      <w:szCs w:val="21"/>
                    </w:rPr>
                  </w:pPr>
                  <w:r>
                    <w:rPr>
                      <w:color w:val="auto"/>
                      <w:szCs w:val="21"/>
                    </w:rPr>
                    <w:t>风机</w:t>
                  </w:r>
                </w:p>
              </w:tc>
              <w:tc>
                <w:tcPr>
                  <w:tcW w:w="273" w:type="pct"/>
                  <w:tcBorders>
                    <w:tl2br w:val="nil"/>
                    <w:tr2bl w:val="nil"/>
                  </w:tcBorders>
                  <w:vAlign w:val="center"/>
                </w:tcPr>
                <w:p w14:paraId="186A12E9">
                  <w:pPr>
                    <w:jc w:val="center"/>
                    <w:rPr>
                      <w:color w:val="auto"/>
                      <w:szCs w:val="21"/>
                    </w:rPr>
                  </w:pPr>
                </w:p>
              </w:tc>
              <w:tc>
                <w:tcPr>
                  <w:tcW w:w="312" w:type="pct"/>
                  <w:tcBorders>
                    <w:tl2br w:val="nil"/>
                    <w:tr2bl w:val="nil"/>
                  </w:tcBorders>
                  <w:vAlign w:val="center"/>
                </w:tcPr>
                <w:p w14:paraId="47EF2E77">
                  <w:pPr>
                    <w:jc w:val="center"/>
                    <w:rPr>
                      <w:color w:val="auto"/>
                      <w:szCs w:val="21"/>
                    </w:rPr>
                  </w:pPr>
                  <w:r>
                    <w:rPr>
                      <w:rFonts w:hint="eastAsia"/>
                      <w:color w:val="auto"/>
                      <w:szCs w:val="21"/>
                    </w:rPr>
                    <w:t>-5</w:t>
                  </w:r>
                </w:p>
              </w:tc>
              <w:tc>
                <w:tcPr>
                  <w:tcW w:w="312" w:type="pct"/>
                  <w:tcBorders>
                    <w:tl2br w:val="nil"/>
                    <w:tr2bl w:val="nil"/>
                  </w:tcBorders>
                  <w:vAlign w:val="center"/>
                </w:tcPr>
                <w:p w14:paraId="569D1DF9">
                  <w:pPr>
                    <w:jc w:val="center"/>
                    <w:rPr>
                      <w:color w:val="auto"/>
                      <w:szCs w:val="21"/>
                    </w:rPr>
                  </w:pPr>
                  <w:r>
                    <w:rPr>
                      <w:rFonts w:hint="eastAsia"/>
                      <w:color w:val="auto"/>
                      <w:szCs w:val="21"/>
                    </w:rPr>
                    <w:t>16</w:t>
                  </w:r>
                </w:p>
              </w:tc>
              <w:tc>
                <w:tcPr>
                  <w:tcW w:w="343" w:type="pct"/>
                  <w:tcBorders>
                    <w:tl2br w:val="nil"/>
                    <w:tr2bl w:val="nil"/>
                  </w:tcBorders>
                  <w:vAlign w:val="center"/>
                </w:tcPr>
                <w:p w14:paraId="376CF4EF">
                  <w:pPr>
                    <w:jc w:val="center"/>
                    <w:rPr>
                      <w:color w:val="auto"/>
                      <w:szCs w:val="21"/>
                    </w:rPr>
                  </w:pPr>
                  <w:r>
                    <w:rPr>
                      <w:rFonts w:hint="eastAsia"/>
                      <w:color w:val="auto"/>
                      <w:szCs w:val="21"/>
                    </w:rPr>
                    <w:t>164</w:t>
                  </w:r>
                </w:p>
              </w:tc>
              <w:tc>
                <w:tcPr>
                  <w:tcW w:w="839" w:type="pct"/>
                  <w:tcBorders>
                    <w:tl2br w:val="nil"/>
                    <w:tr2bl w:val="nil"/>
                  </w:tcBorders>
                  <w:vAlign w:val="center"/>
                </w:tcPr>
                <w:p w14:paraId="2683874B">
                  <w:pPr>
                    <w:jc w:val="center"/>
                    <w:rPr>
                      <w:color w:val="auto"/>
                      <w:szCs w:val="21"/>
                    </w:rPr>
                  </w:pPr>
                  <w:r>
                    <w:rPr>
                      <w:rFonts w:hint="eastAsia"/>
                      <w:color w:val="auto"/>
                      <w:szCs w:val="21"/>
                    </w:rPr>
                    <w:t>70</w:t>
                  </w:r>
                </w:p>
              </w:tc>
              <w:tc>
                <w:tcPr>
                  <w:tcW w:w="1074" w:type="pct"/>
                  <w:tcBorders>
                    <w:tl2br w:val="nil"/>
                    <w:tr2bl w:val="nil"/>
                  </w:tcBorders>
                  <w:vAlign w:val="center"/>
                </w:tcPr>
                <w:p w14:paraId="528D9589">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3EC4CC75">
                  <w:pPr>
                    <w:jc w:val="center"/>
                    <w:rPr>
                      <w:color w:val="auto"/>
                      <w:szCs w:val="21"/>
                    </w:rPr>
                  </w:pPr>
                </w:p>
              </w:tc>
            </w:tr>
            <w:tr w14:paraId="1DE1D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73C0365B">
                  <w:pPr>
                    <w:jc w:val="center"/>
                    <w:rPr>
                      <w:color w:val="auto"/>
                      <w:szCs w:val="21"/>
                    </w:rPr>
                  </w:pPr>
                  <w:r>
                    <w:rPr>
                      <w:rFonts w:hint="eastAsia"/>
                      <w:color w:val="auto"/>
                      <w:szCs w:val="21"/>
                    </w:rPr>
                    <w:t>9</w:t>
                  </w:r>
                </w:p>
              </w:tc>
              <w:tc>
                <w:tcPr>
                  <w:tcW w:w="827" w:type="pct"/>
                  <w:tcBorders>
                    <w:tl2br w:val="nil"/>
                    <w:tr2bl w:val="nil"/>
                  </w:tcBorders>
                  <w:vAlign w:val="center"/>
                </w:tcPr>
                <w:p w14:paraId="61501657">
                  <w:pPr>
                    <w:jc w:val="center"/>
                    <w:rPr>
                      <w:color w:val="auto"/>
                      <w:szCs w:val="21"/>
                    </w:rPr>
                  </w:pPr>
                  <w:r>
                    <w:rPr>
                      <w:color w:val="auto"/>
                      <w:szCs w:val="21"/>
                    </w:rPr>
                    <w:t>风机</w:t>
                  </w:r>
                </w:p>
              </w:tc>
              <w:tc>
                <w:tcPr>
                  <w:tcW w:w="273" w:type="pct"/>
                  <w:tcBorders>
                    <w:tl2br w:val="nil"/>
                    <w:tr2bl w:val="nil"/>
                  </w:tcBorders>
                  <w:vAlign w:val="center"/>
                </w:tcPr>
                <w:p w14:paraId="4C554F74">
                  <w:pPr>
                    <w:jc w:val="center"/>
                    <w:rPr>
                      <w:color w:val="auto"/>
                      <w:szCs w:val="21"/>
                    </w:rPr>
                  </w:pPr>
                </w:p>
              </w:tc>
              <w:tc>
                <w:tcPr>
                  <w:tcW w:w="312" w:type="pct"/>
                  <w:tcBorders>
                    <w:tl2br w:val="nil"/>
                    <w:tr2bl w:val="nil"/>
                  </w:tcBorders>
                  <w:vAlign w:val="center"/>
                </w:tcPr>
                <w:p w14:paraId="1BFC4F2A">
                  <w:pPr>
                    <w:jc w:val="center"/>
                    <w:rPr>
                      <w:color w:val="auto"/>
                      <w:szCs w:val="21"/>
                    </w:rPr>
                  </w:pPr>
                  <w:r>
                    <w:rPr>
                      <w:rFonts w:hint="eastAsia"/>
                      <w:color w:val="auto"/>
                      <w:szCs w:val="21"/>
                    </w:rPr>
                    <w:t>-8</w:t>
                  </w:r>
                </w:p>
              </w:tc>
              <w:tc>
                <w:tcPr>
                  <w:tcW w:w="312" w:type="pct"/>
                  <w:tcBorders>
                    <w:tl2br w:val="nil"/>
                    <w:tr2bl w:val="nil"/>
                  </w:tcBorders>
                  <w:vAlign w:val="center"/>
                </w:tcPr>
                <w:p w14:paraId="7F85E782">
                  <w:pPr>
                    <w:jc w:val="center"/>
                    <w:rPr>
                      <w:color w:val="auto"/>
                      <w:szCs w:val="21"/>
                    </w:rPr>
                  </w:pPr>
                  <w:r>
                    <w:rPr>
                      <w:rFonts w:hint="eastAsia"/>
                      <w:color w:val="auto"/>
                      <w:szCs w:val="21"/>
                    </w:rPr>
                    <w:t>9</w:t>
                  </w:r>
                </w:p>
              </w:tc>
              <w:tc>
                <w:tcPr>
                  <w:tcW w:w="343" w:type="pct"/>
                  <w:tcBorders>
                    <w:tl2br w:val="nil"/>
                    <w:tr2bl w:val="nil"/>
                  </w:tcBorders>
                  <w:vAlign w:val="center"/>
                </w:tcPr>
                <w:p w14:paraId="7C16AB41">
                  <w:pPr>
                    <w:jc w:val="center"/>
                    <w:rPr>
                      <w:color w:val="auto"/>
                      <w:szCs w:val="21"/>
                    </w:rPr>
                  </w:pPr>
                  <w:r>
                    <w:rPr>
                      <w:rFonts w:hint="eastAsia"/>
                      <w:color w:val="auto"/>
                      <w:szCs w:val="21"/>
                    </w:rPr>
                    <w:t>164</w:t>
                  </w:r>
                </w:p>
              </w:tc>
              <w:tc>
                <w:tcPr>
                  <w:tcW w:w="839" w:type="pct"/>
                  <w:tcBorders>
                    <w:tl2br w:val="nil"/>
                    <w:tr2bl w:val="nil"/>
                  </w:tcBorders>
                  <w:vAlign w:val="center"/>
                </w:tcPr>
                <w:p w14:paraId="2D8CEE2E">
                  <w:pPr>
                    <w:jc w:val="center"/>
                    <w:rPr>
                      <w:color w:val="auto"/>
                      <w:szCs w:val="21"/>
                    </w:rPr>
                  </w:pPr>
                  <w:r>
                    <w:rPr>
                      <w:rFonts w:hint="eastAsia"/>
                      <w:color w:val="auto"/>
                      <w:szCs w:val="21"/>
                    </w:rPr>
                    <w:t>70</w:t>
                  </w:r>
                </w:p>
              </w:tc>
              <w:tc>
                <w:tcPr>
                  <w:tcW w:w="1074" w:type="pct"/>
                  <w:tcBorders>
                    <w:tl2br w:val="nil"/>
                    <w:tr2bl w:val="nil"/>
                  </w:tcBorders>
                  <w:vAlign w:val="center"/>
                </w:tcPr>
                <w:p w14:paraId="09C7238F">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5C973496">
                  <w:pPr>
                    <w:jc w:val="center"/>
                    <w:rPr>
                      <w:color w:val="auto"/>
                      <w:szCs w:val="21"/>
                    </w:rPr>
                  </w:pPr>
                </w:p>
              </w:tc>
            </w:tr>
            <w:tr w14:paraId="19A74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267495A1">
                  <w:pPr>
                    <w:jc w:val="center"/>
                    <w:rPr>
                      <w:color w:val="auto"/>
                      <w:szCs w:val="21"/>
                    </w:rPr>
                  </w:pPr>
                  <w:r>
                    <w:rPr>
                      <w:rFonts w:hint="eastAsia"/>
                      <w:color w:val="auto"/>
                      <w:szCs w:val="21"/>
                    </w:rPr>
                    <w:t>10</w:t>
                  </w:r>
                </w:p>
              </w:tc>
              <w:tc>
                <w:tcPr>
                  <w:tcW w:w="827" w:type="pct"/>
                  <w:tcBorders>
                    <w:tl2br w:val="nil"/>
                    <w:tr2bl w:val="nil"/>
                  </w:tcBorders>
                  <w:vAlign w:val="center"/>
                </w:tcPr>
                <w:p w14:paraId="19920B08">
                  <w:pPr>
                    <w:jc w:val="center"/>
                    <w:rPr>
                      <w:color w:val="auto"/>
                      <w:szCs w:val="21"/>
                    </w:rPr>
                  </w:pPr>
                  <w:r>
                    <w:rPr>
                      <w:color w:val="auto"/>
                      <w:szCs w:val="21"/>
                    </w:rPr>
                    <w:t>风机</w:t>
                  </w:r>
                </w:p>
              </w:tc>
              <w:tc>
                <w:tcPr>
                  <w:tcW w:w="273" w:type="pct"/>
                  <w:tcBorders>
                    <w:tl2br w:val="nil"/>
                    <w:tr2bl w:val="nil"/>
                  </w:tcBorders>
                  <w:vAlign w:val="center"/>
                </w:tcPr>
                <w:p w14:paraId="4D5FD97E">
                  <w:pPr>
                    <w:jc w:val="center"/>
                    <w:rPr>
                      <w:color w:val="auto"/>
                      <w:szCs w:val="21"/>
                    </w:rPr>
                  </w:pPr>
                </w:p>
              </w:tc>
              <w:tc>
                <w:tcPr>
                  <w:tcW w:w="312" w:type="pct"/>
                  <w:tcBorders>
                    <w:tl2br w:val="nil"/>
                    <w:tr2bl w:val="nil"/>
                  </w:tcBorders>
                  <w:vAlign w:val="center"/>
                </w:tcPr>
                <w:p w14:paraId="3B8E325B">
                  <w:pPr>
                    <w:jc w:val="center"/>
                    <w:rPr>
                      <w:color w:val="auto"/>
                      <w:szCs w:val="21"/>
                    </w:rPr>
                  </w:pPr>
                  <w:r>
                    <w:rPr>
                      <w:rFonts w:hint="eastAsia"/>
                      <w:color w:val="auto"/>
                      <w:szCs w:val="21"/>
                    </w:rPr>
                    <w:t>15</w:t>
                  </w:r>
                </w:p>
              </w:tc>
              <w:tc>
                <w:tcPr>
                  <w:tcW w:w="312" w:type="pct"/>
                  <w:tcBorders>
                    <w:tl2br w:val="nil"/>
                    <w:tr2bl w:val="nil"/>
                  </w:tcBorders>
                  <w:vAlign w:val="center"/>
                </w:tcPr>
                <w:p w14:paraId="5611FE85">
                  <w:pPr>
                    <w:jc w:val="center"/>
                    <w:rPr>
                      <w:color w:val="auto"/>
                      <w:szCs w:val="21"/>
                    </w:rPr>
                  </w:pPr>
                  <w:r>
                    <w:rPr>
                      <w:rFonts w:hint="eastAsia"/>
                      <w:color w:val="auto"/>
                      <w:szCs w:val="21"/>
                    </w:rPr>
                    <w:t>-30</w:t>
                  </w:r>
                </w:p>
              </w:tc>
              <w:tc>
                <w:tcPr>
                  <w:tcW w:w="343" w:type="pct"/>
                  <w:tcBorders>
                    <w:tl2br w:val="nil"/>
                    <w:tr2bl w:val="nil"/>
                  </w:tcBorders>
                  <w:vAlign w:val="center"/>
                </w:tcPr>
                <w:p w14:paraId="50230F0D">
                  <w:pPr>
                    <w:jc w:val="center"/>
                    <w:rPr>
                      <w:color w:val="auto"/>
                      <w:szCs w:val="21"/>
                    </w:rPr>
                  </w:pPr>
                  <w:r>
                    <w:rPr>
                      <w:rFonts w:hint="eastAsia"/>
                      <w:color w:val="auto"/>
                      <w:szCs w:val="21"/>
                    </w:rPr>
                    <w:t>164</w:t>
                  </w:r>
                </w:p>
              </w:tc>
              <w:tc>
                <w:tcPr>
                  <w:tcW w:w="839" w:type="pct"/>
                  <w:tcBorders>
                    <w:tl2br w:val="nil"/>
                    <w:tr2bl w:val="nil"/>
                  </w:tcBorders>
                  <w:vAlign w:val="center"/>
                </w:tcPr>
                <w:p w14:paraId="2B389A56">
                  <w:pPr>
                    <w:jc w:val="center"/>
                    <w:rPr>
                      <w:color w:val="auto"/>
                      <w:szCs w:val="21"/>
                    </w:rPr>
                  </w:pPr>
                  <w:r>
                    <w:rPr>
                      <w:rFonts w:hint="eastAsia"/>
                      <w:color w:val="auto"/>
                      <w:szCs w:val="21"/>
                    </w:rPr>
                    <w:t>80</w:t>
                  </w:r>
                </w:p>
              </w:tc>
              <w:tc>
                <w:tcPr>
                  <w:tcW w:w="1074" w:type="pct"/>
                  <w:tcBorders>
                    <w:tl2br w:val="nil"/>
                    <w:tr2bl w:val="nil"/>
                  </w:tcBorders>
                  <w:vAlign w:val="center"/>
                </w:tcPr>
                <w:p w14:paraId="7F8815EB">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68F4AEE8">
                  <w:pPr>
                    <w:jc w:val="center"/>
                    <w:rPr>
                      <w:color w:val="auto"/>
                      <w:szCs w:val="21"/>
                    </w:rPr>
                  </w:pPr>
                </w:p>
              </w:tc>
            </w:tr>
            <w:tr w14:paraId="140CC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1A07BBE2">
                  <w:pPr>
                    <w:jc w:val="center"/>
                    <w:rPr>
                      <w:color w:val="auto"/>
                      <w:szCs w:val="21"/>
                    </w:rPr>
                  </w:pPr>
                  <w:r>
                    <w:rPr>
                      <w:rFonts w:hint="eastAsia"/>
                      <w:color w:val="auto"/>
                      <w:szCs w:val="21"/>
                    </w:rPr>
                    <w:t>11</w:t>
                  </w:r>
                </w:p>
              </w:tc>
              <w:tc>
                <w:tcPr>
                  <w:tcW w:w="827" w:type="pct"/>
                  <w:tcBorders>
                    <w:tl2br w:val="nil"/>
                    <w:tr2bl w:val="nil"/>
                  </w:tcBorders>
                  <w:vAlign w:val="center"/>
                </w:tcPr>
                <w:p w14:paraId="06F04FF2">
                  <w:pPr>
                    <w:jc w:val="center"/>
                    <w:rPr>
                      <w:color w:val="auto"/>
                      <w:szCs w:val="21"/>
                    </w:rPr>
                  </w:pPr>
                  <w:r>
                    <w:rPr>
                      <w:color w:val="auto"/>
                      <w:szCs w:val="21"/>
                    </w:rPr>
                    <w:t>风机</w:t>
                  </w:r>
                </w:p>
              </w:tc>
              <w:tc>
                <w:tcPr>
                  <w:tcW w:w="273" w:type="pct"/>
                  <w:tcBorders>
                    <w:tl2br w:val="nil"/>
                    <w:tr2bl w:val="nil"/>
                  </w:tcBorders>
                  <w:vAlign w:val="center"/>
                </w:tcPr>
                <w:p w14:paraId="7E13A7DA">
                  <w:pPr>
                    <w:jc w:val="center"/>
                    <w:rPr>
                      <w:color w:val="auto"/>
                      <w:szCs w:val="21"/>
                    </w:rPr>
                  </w:pPr>
                </w:p>
              </w:tc>
              <w:tc>
                <w:tcPr>
                  <w:tcW w:w="312" w:type="pct"/>
                  <w:tcBorders>
                    <w:tl2br w:val="nil"/>
                    <w:tr2bl w:val="nil"/>
                  </w:tcBorders>
                  <w:vAlign w:val="center"/>
                </w:tcPr>
                <w:p w14:paraId="3320BDEE">
                  <w:pPr>
                    <w:jc w:val="center"/>
                    <w:rPr>
                      <w:color w:val="auto"/>
                      <w:szCs w:val="21"/>
                    </w:rPr>
                  </w:pPr>
                  <w:r>
                    <w:rPr>
                      <w:rFonts w:hint="eastAsia"/>
                      <w:color w:val="auto"/>
                      <w:szCs w:val="21"/>
                    </w:rPr>
                    <w:t>13</w:t>
                  </w:r>
                </w:p>
              </w:tc>
              <w:tc>
                <w:tcPr>
                  <w:tcW w:w="312" w:type="pct"/>
                  <w:tcBorders>
                    <w:tl2br w:val="nil"/>
                    <w:tr2bl w:val="nil"/>
                  </w:tcBorders>
                  <w:vAlign w:val="center"/>
                </w:tcPr>
                <w:p w14:paraId="5B177152">
                  <w:pPr>
                    <w:jc w:val="center"/>
                    <w:rPr>
                      <w:color w:val="auto"/>
                      <w:szCs w:val="21"/>
                    </w:rPr>
                  </w:pPr>
                  <w:r>
                    <w:rPr>
                      <w:rFonts w:hint="eastAsia"/>
                      <w:color w:val="auto"/>
                      <w:szCs w:val="21"/>
                    </w:rPr>
                    <w:t>-11</w:t>
                  </w:r>
                </w:p>
              </w:tc>
              <w:tc>
                <w:tcPr>
                  <w:tcW w:w="343" w:type="pct"/>
                  <w:tcBorders>
                    <w:tl2br w:val="nil"/>
                    <w:tr2bl w:val="nil"/>
                  </w:tcBorders>
                  <w:vAlign w:val="center"/>
                </w:tcPr>
                <w:p w14:paraId="0FA804C9">
                  <w:pPr>
                    <w:jc w:val="center"/>
                    <w:rPr>
                      <w:color w:val="auto"/>
                      <w:szCs w:val="21"/>
                    </w:rPr>
                  </w:pPr>
                  <w:r>
                    <w:rPr>
                      <w:rFonts w:hint="eastAsia"/>
                      <w:color w:val="auto"/>
                      <w:szCs w:val="21"/>
                    </w:rPr>
                    <w:t>164</w:t>
                  </w:r>
                </w:p>
              </w:tc>
              <w:tc>
                <w:tcPr>
                  <w:tcW w:w="839" w:type="pct"/>
                  <w:tcBorders>
                    <w:tl2br w:val="nil"/>
                    <w:tr2bl w:val="nil"/>
                  </w:tcBorders>
                  <w:vAlign w:val="center"/>
                </w:tcPr>
                <w:p w14:paraId="3682DBA9">
                  <w:pPr>
                    <w:jc w:val="center"/>
                    <w:rPr>
                      <w:color w:val="auto"/>
                      <w:szCs w:val="21"/>
                    </w:rPr>
                  </w:pPr>
                  <w:r>
                    <w:rPr>
                      <w:rFonts w:hint="eastAsia"/>
                      <w:color w:val="auto"/>
                      <w:szCs w:val="21"/>
                    </w:rPr>
                    <w:t>70</w:t>
                  </w:r>
                </w:p>
              </w:tc>
              <w:tc>
                <w:tcPr>
                  <w:tcW w:w="1074" w:type="pct"/>
                  <w:tcBorders>
                    <w:tl2br w:val="nil"/>
                    <w:tr2bl w:val="nil"/>
                  </w:tcBorders>
                  <w:vAlign w:val="center"/>
                </w:tcPr>
                <w:p w14:paraId="1F9E24AF">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03B35A4C">
                  <w:pPr>
                    <w:jc w:val="center"/>
                    <w:rPr>
                      <w:color w:val="auto"/>
                      <w:szCs w:val="21"/>
                    </w:rPr>
                  </w:pPr>
                </w:p>
              </w:tc>
            </w:tr>
            <w:tr w14:paraId="17360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3" w:type="pct"/>
                  <w:tcBorders>
                    <w:tl2br w:val="nil"/>
                    <w:tr2bl w:val="nil"/>
                  </w:tcBorders>
                  <w:vAlign w:val="center"/>
                </w:tcPr>
                <w:p w14:paraId="274EC703">
                  <w:pPr>
                    <w:jc w:val="center"/>
                    <w:rPr>
                      <w:color w:val="auto"/>
                      <w:szCs w:val="21"/>
                    </w:rPr>
                  </w:pPr>
                  <w:r>
                    <w:rPr>
                      <w:rFonts w:hint="eastAsia"/>
                      <w:color w:val="auto"/>
                      <w:szCs w:val="21"/>
                    </w:rPr>
                    <w:t>12</w:t>
                  </w:r>
                </w:p>
              </w:tc>
              <w:tc>
                <w:tcPr>
                  <w:tcW w:w="827" w:type="pct"/>
                  <w:tcBorders>
                    <w:tl2br w:val="nil"/>
                    <w:tr2bl w:val="nil"/>
                  </w:tcBorders>
                  <w:vAlign w:val="center"/>
                </w:tcPr>
                <w:p w14:paraId="06B162AD">
                  <w:pPr>
                    <w:jc w:val="center"/>
                    <w:rPr>
                      <w:color w:val="auto"/>
                      <w:szCs w:val="21"/>
                    </w:rPr>
                  </w:pPr>
                  <w:r>
                    <w:rPr>
                      <w:color w:val="auto"/>
                      <w:szCs w:val="21"/>
                    </w:rPr>
                    <w:t>风机</w:t>
                  </w:r>
                </w:p>
              </w:tc>
              <w:tc>
                <w:tcPr>
                  <w:tcW w:w="273" w:type="pct"/>
                  <w:tcBorders>
                    <w:tl2br w:val="nil"/>
                    <w:tr2bl w:val="nil"/>
                  </w:tcBorders>
                  <w:vAlign w:val="center"/>
                </w:tcPr>
                <w:p w14:paraId="649D2C83">
                  <w:pPr>
                    <w:jc w:val="center"/>
                    <w:rPr>
                      <w:color w:val="auto"/>
                      <w:szCs w:val="21"/>
                    </w:rPr>
                  </w:pPr>
                </w:p>
              </w:tc>
              <w:tc>
                <w:tcPr>
                  <w:tcW w:w="312" w:type="pct"/>
                  <w:tcBorders>
                    <w:tl2br w:val="nil"/>
                    <w:tr2bl w:val="nil"/>
                  </w:tcBorders>
                  <w:vAlign w:val="center"/>
                </w:tcPr>
                <w:p w14:paraId="64CFA78F">
                  <w:pPr>
                    <w:jc w:val="center"/>
                    <w:rPr>
                      <w:color w:val="auto"/>
                      <w:szCs w:val="21"/>
                    </w:rPr>
                  </w:pPr>
                  <w:r>
                    <w:rPr>
                      <w:rFonts w:hint="eastAsia"/>
                      <w:color w:val="auto"/>
                      <w:szCs w:val="21"/>
                    </w:rPr>
                    <w:t>6</w:t>
                  </w:r>
                </w:p>
              </w:tc>
              <w:tc>
                <w:tcPr>
                  <w:tcW w:w="312" w:type="pct"/>
                  <w:tcBorders>
                    <w:tl2br w:val="nil"/>
                    <w:tr2bl w:val="nil"/>
                  </w:tcBorders>
                  <w:vAlign w:val="center"/>
                </w:tcPr>
                <w:p w14:paraId="409B11EA">
                  <w:pPr>
                    <w:jc w:val="center"/>
                    <w:rPr>
                      <w:color w:val="auto"/>
                      <w:szCs w:val="21"/>
                    </w:rPr>
                  </w:pPr>
                  <w:r>
                    <w:rPr>
                      <w:rFonts w:hint="eastAsia"/>
                      <w:color w:val="auto"/>
                      <w:szCs w:val="21"/>
                    </w:rPr>
                    <w:t>-7</w:t>
                  </w:r>
                </w:p>
              </w:tc>
              <w:tc>
                <w:tcPr>
                  <w:tcW w:w="343" w:type="pct"/>
                  <w:tcBorders>
                    <w:tl2br w:val="nil"/>
                    <w:tr2bl w:val="nil"/>
                  </w:tcBorders>
                  <w:vAlign w:val="center"/>
                </w:tcPr>
                <w:p w14:paraId="283C5274">
                  <w:pPr>
                    <w:jc w:val="center"/>
                    <w:rPr>
                      <w:color w:val="auto"/>
                      <w:szCs w:val="21"/>
                    </w:rPr>
                  </w:pPr>
                  <w:r>
                    <w:rPr>
                      <w:rFonts w:hint="eastAsia"/>
                      <w:color w:val="auto"/>
                      <w:szCs w:val="21"/>
                    </w:rPr>
                    <w:t>164</w:t>
                  </w:r>
                </w:p>
              </w:tc>
              <w:tc>
                <w:tcPr>
                  <w:tcW w:w="839" w:type="pct"/>
                  <w:tcBorders>
                    <w:tl2br w:val="nil"/>
                    <w:tr2bl w:val="nil"/>
                  </w:tcBorders>
                  <w:vAlign w:val="center"/>
                </w:tcPr>
                <w:p w14:paraId="613B8CFE">
                  <w:pPr>
                    <w:jc w:val="center"/>
                    <w:rPr>
                      <w:color w:val="auto"/>
                      <w:szCs w:val="21"/>
                    </w:rPr>
                  </w:pPr>
                  <w:r>
                    <w:rPr>
                      <w:rFonts w:hint="eastAsia"/>
                      <w:color w:val="auto"/>
                      <w:szCs w:val="21"/>
                    </w:rPr>
                    <w:t>70</w:t>
                  </w:r>
                </w:p>
              </w:tc>
              <w:tc>
                <w:tcPr>
                  <w:tcW w:w="1074" w:type="pct"/>
                  <w:tcBorders>
                    <w:tl2br w:val="nil"/>
                    <w:tr2bl w:val="nil"/>
                  </w:tcBorders>
                  <w:vAlign w:val="center"/>
                </w:tcPr>
                <w:p w14:paraId="5741AA29">
                  <w:pPr>
                    <w:jc w:val="center"/>
                    <w:rPr>
                      <w:color w:val="auto"/>
                      <w:szCs w:val="21"/>
                    </w:rPr>
                  </w:pPr>
                  <w:r>
                    <w:rPr>
                      <w:rFonts w:hint="eastAsia"/>
                      <w:color w:val="auto"/>
                      <w:szCs w:val="21"/>
                    </w:rPr>
                    <w:t>减振措施</w:t>
                  </w:r>
                </w:p>
              </w:tc>
              <w:tc>
                <w:tcPr>
                  <w:tcW w:w="687" w:type="pct"/>
                  <w:vMerge w:val="continue"/>
                  <w:tcBorders>
                    <w:tl2br w:val="nil"/>
                    <w:tr2bl w:val="nil"/>
                  </w:tcBorders>
                  <w:vAlign w:val="center"/>
                </w:tcPr>
                <w:p w14:paraId="7DC369CA">
                  <w:pPr>
                    <w:jc w:val="center"/>
                    <w:rPr>
                      <w:color w:val="auto"/>
                      <w:szCs w:val="21"/>
                    </w:rPr>
                  </w:pPr>
                </w:p>
              </w:tc>
            </w:tr>
          </w:tbl>
          <w:p w14:paraId="106454EC">
            <w:pPr>
              <w:spacing w:line="360" w:lineRule="auto"/>
              <w:ind w:firstLine="482" w:firstLineChars="200"/>
              <w:contextualSpacing/>
              <w:rPr>
                <w:b/>
                <w:bCs/>
                <w:color w:val="auto"/>
                <w:sz w:val="24"/>
              </w:rPr>
            </w:pPr>
            <w:r>
              <w:rPr>
                <w:b/>
                <w:bCs/>
                <w:color w:val="auto"/>
                <w:sz w:val="24"/>
              </w:rPr>
              <w:t>2、监测计划</w:t>
            </w:r>
          </w:p>
          <w:p w14:paraId="0FCC7636">
            <w:pPr>
              <w:spacing w:line="360" w:lineRule="auto"/>
              <w:ind w:firstLine="480" w:firstLineChars="200"/>
              <w:contextualSpacing/>
              <w:rPr>
                <w:color w:val="auto"/>
                <w:sz w:val="24"/>
              </w:rPr>
            </w:pPr>
            <w:r>
              <w:rPr>
                <w:color w:val="auto"/>
                <w:sz w:val="24"/>
              </w:rPr>
              <w:t>根据</w:t>
            </w:r>
            <w:r>
              <w:rPr>
                <w:rFonts w:eastAsiaTheme="minorEastAsia"/>
                <w:color w:val="auto"/>
                <w:sz w:val="24"/>
              </w:rPr>
              <w:t>《排污单位自行监测技术指南 总则》（H819-2017）</w:t>
            </w:r>
            <w:r>
              <w:rPr>
                <w:color w:val="auto"/>
                <w:sz w:val="24"/>
              </w:rPr>
              <w:t>，制定本项目噪声监测计划如下。</w:t>
            </w:r>
          </w:p>
          <w:p w14:paraId="48077395">
            <w:pPr>
              <w:contextualSpacing/>
              <w:jc w:val="center"/>
              <w:rPr>
                <w:b/>
                <w:color w:val="auto"/>
                <w:sz w:val="24"/>
              </w:rPr>
            </w:pPr>
            <w:r>
              <w:rPr>
                <w:b/>
                <w:color w:val="auto"/>
                <w:sz w:val="24"/>
              </w:rPr>
              <w:t>表</w:t>
            </w:r>
            <w:r>
              <w:rPr>
                <w:rFonts w:hint="eastAsia"/>
                <w:b/>
                <w:color w:val="auto"/>
                <w:sz w:val="24"/>
                <w:lang w:val="en-US" w:eastAsia="zh-CN"/>
              </w:rPr>
              <w:t>4-8</w:t>
            </w:r>
            <w:r>
              <w:rPr>
                <w:b/>
                <w:color w:val="auto"/>
                <w:sz w:val="24"/>
              </w:rPr>
              <w:t>项目噪声监测计划表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701"/>
              <w:gridCol w:w="2410"/>
              <w:gridCol w:w="3078"/>
            </w:tblGrid>
            <w:tr w14:paraId="0D396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28" w:type="dxa"/>
                  <w:vAlign w:val="center"/>
                </w:tcPr>
                <w:p w14:paraId="407804B6">
                  <w:pPr>
                    <w:contextualSpacing/>
                    <w:jc w:val="center"/>
                    <w:rPr>
                      <w:color w:val="auto"/>
                      <w:kern w:val="0"/>
                      <w:szCs w:val="21"/>
                    </w:rPr>
                  </w:pPr>
                  <w:r>
                    <w:rPr>
                      <w:color w:val="auto"/>
                      <w:kern w:val="0"/>
                      <w:szCs w:val="21"/>
                    </w:rPr>
                    <w:t>类别</w:t>
                  </w:r>
                </w:p>
              </w:tc>
              <w:tc>
                <w:tcPr>
                  <w:tcW w:w="1701" w:type="dxa"/>
                  <w:vAlign w:val="center"/>
                </w:tcPr>
                <w:p w14:paraId="1B8985BE">
                  <w:pPr>
                    <w:contextualSpacing/>
                    <w:jc w:val="center"/>
                    <w:rPr>
                      <w:color w:val="auto"/>
                      <w:kern w:val="0"/>
                      <w:szCs w:val="21"/>
                    </w:rPr>
                  </w:pPr>
                  <w:r>
                    <w:rPr>
                      <w:color w:val="auto"/>
                      <w:kern w:val="0"/>
                      <w:szCs w:val="21"/>
                    </w:rPr>
                    <w:t>监测点位</w:t>
                  </w:r>
                </w:p>
              </w:tc>
              <w:tc>
                <w:tcPr>
                  <w:tcW w:w="2410" w:type="dxa"/>
                  <w:vAlign w:val="center"/>
                </w:tcPr>
                <w:p w14:paraId="7BCA272D">
                  <w:pPr>
                    <w:contextualSpacing/>
                    <w:jc w:val="center"/>
                    <w:rPr>
                      <w:color w:val="auto"/>
                      <w:kern w:val="0"/>
                      <w:szCs w:val="21"/>
                    </w:rPr>
                  </w:pPr>
                  <w:r>
                    <w:rPr>
                      <w:color w:val="auto"/>
                      <w:kern w:val="0"/>
                      <w:szCs w:val="21"/>
                    </w:rPr>
                    <w:t>监测项目</w:t>
                  </w:r>
                </w:p>
              </w:tc>
              <w:tc>
                <w:tcPr>
                  <w:tcW w:w="3078" w:type="dxa"/>
                  <w:vAlign w:val="center"/>
                </w:tcPr>
                <w:p w14:paraId="112AC8D5">
                  <w:pPr>
                    <w:contextualSpacing/>
                    <w:jc w:val="center"/>
                    <w:rPr>
                      <w:color w:val="auto"/>
                      <w:kern w:val="0"/>
                      <w:szCs w:val="21"/>
                    </w:rPr>
                  </w:pPr>
                  <w:r>
                    <w:rPr>
                      <w:color w:val="auto"/>
                      <w:kern w:val="0"/>
                      <w:szCs w:val="21"/>
                    </w:rPr>
                    <w:t>监测频次</w:t>
                  </w:r>
                </w:p>
              </w:tc>
            </w:tr>
            <w:tr w14:paraId="0CD74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14:paraId="73EA459F">
                  <w:pPr>
                    <w:contextualSpacing/>
                    <w:jc w:val="center"/>
                    <w:rPr>
                      <w:color w:val="auto"/>
                      <w:kern w:val="0"/>
                      <w:szCs w:val="21"/>
                    </w:rPr>
                  </w:pPr>
                  <w:r>
                    <w:rPr>
                      <w:color w:val="auto"/>
                      <w:kern w:val="0"/>
                      <w:szCs w:val="21"/>
                    </w:rPr>
                    <w:t>厂界噪声</w:t>
                  </w:r>
                </w:p>
              </w:tc>
              <w:tc>
                <w:tcPr>
                  <w:tcW w:w="1701" w:type="dxa"/>
                  <w:vAlign w:val="center"/>
                </w:tcPr>
                <w:p w14:paraId="29950F44">
                  <w:pPr>
                    <w:contextualSpacing/>
                    <w:jc w:val="center"/>
                    <w:rPr>
                      <w:color w:val="auto"/>
                      <w:kern w:val="0"/>
                      <w:szCs w:val="21"/>
                    </w:rPr>
                  </w:pPr>
                  <w:r>
                    <w:rPr>
                      <w:color w:val="auto"/>
                      <w:kern w:val="0"/>
                      <w:szCs w:val="21"/>
                    </w:rPr>
                    <w:t>厂界四周</w:t>
                  </w:r>
                </w:p>
              </w:tc>
              <w:tc>
                <w:tcPr>
                  <w:tcW w:w="2410" w:type="dxa"/>
                  <w:vAlign w:val="center"/>
                </w:tcPr>
                <w:p w14:paraId="40E874FA">
                  <w:pPr>
                    <w:contextualSpacing/>
                    <w:jc w:val="center"/>
                    <w:rPr>
                      <w:color w:val="auto"/>
                      <w:kern w:val="0"/>
                      <w:szCs w:val="21"/>
                    </w:rPr>
                  </w:pPr>
                  <w:r>
                    <w:rPr>
                      <w:color w:val="auto"/>
                      <w:kern w:val="0"/>
                      <w:szCs w:val="21"/>
                    </w:rPr>
                    <w:t>等效连续A声级</w:t>
                  </w:r>
                </w:p>
              </w:tc>
              <w:tc>
                <w:tcPr>
                  <w:tcW w:w="3078" w:type="dxa"/>
                  <w:vAlign w:val="center"/>
                </w:tcPr>
                <w:p w14:paraId="606C61B1">
                  <w:pPr>
                    <w:contextualSpacing/>
                    <w:jc w:val="center"/>
                    <w:rPr>
                      <w:color w:val="auto"/>
                      <w:kern w:val="0"/>
                      <w:szCs w:val="21"/>
                    </w:rPr>
                  </w:pPr>
                  <w:r>
                    <w:rPr>
                      <w:rFonts w:eastAsiaTheme="minorEastAsia"/>
                      <w:color w:val="auto"/>
                      <w:kern w:val="0"/>
                      <w:szCs w:val="21"/>
                    </w:rPr>
                    <w:t>1次/季度</w:t>
                  </w:r>
                </w:p>
              </w:tc>
            </w:tr>
          </w:tbl>
          <w:p w14:paraId="2D1016F3">
            <w:pPr>
              <w:spacing w:line="360" w:lineRule="auto"/>
              <w:ind w:firstLine="482" w:firstLineChars="200"/>
              <w:contextualSpacing/>
              <w:rPr>
                <w:b/>
                <w:bCs/>
                <w:color w:val="auto"/>
                <w:sz w:val="24"/>
              </w:rPr>
            </w:pPr>
            <w:r>
              <w:rPr>
                <w:b/>
                <w:bCs/>
                <w:color w:val="auto"/>
                <w:sz w:val="24"/>
              </w:rPr>
              <w:t>3、噪声影响分析</w:t>
            </w:r>
          </w:p>
          <w:p w14:paraId="70AFAE4B">
            <w:pPr>
              <w:spacing w:line="360" w:lineRule="auto"/>
              <w:ind w:firstLine="480" w:firstLineChars="200"/>
              <w:rPr>
                <w:color w:val="auto"/>
                <w:sz w:val="24"/>
              </w:rPr>
            </w:pPr>
            <w:r>
              <w:rPr>
                <w:color w:val="auto"/>
                <w:sz w:val="24"/>
              </w:rPr>
              <w:t>根据《环境影响评价技术导则 声环境》（HJ2.4-2021）的要求，本项目声环境影响预测模型采用导则中附录A（规范性附录）户外声传播的衰减和附录B（规范性附录）中“B.1工业噪声预测计算模型”。</w:t>
            </w:r>
          </w:p>
          <w:p w14:paraId="3EEE67F5">
            <w:pPr>
              <w:pStyle w:val="97"/>
              <w:adjustRightInd w:val="0"/>
              <w:snapToGrid w:val="0"/>
              <w:spacing w:line="360" w:lineRule="auto"/>
              <w:ind w:firstLine="480" w:firstLineChars="200"/>
              <w:textAlignment w:val="center"/>
              <w:rPr>
                <w:color w:val="auto"/>
                <w:sz w:val="24"/>
                <w:szCs w:val="24"/>
              </w:rPr>
            </w:pPr>
            <w:r>
              <w:rPr>
                <w:rFonts w:hint="eastAsia" w:asciiTheme="minorEastAsia" w:hAnsiTheme="minorEastAsia" w:eastAsiaTheme="minorEastAsia"/>
                <w:color w:val="auto"/>
                <w:sz w:val="24"/>
              </w:rPr>
              <w:t>①</w:t>
            </w:r>
            <w:r>
              <w:rPr>
                <w:color w:val="auto"/>
                <w:sz w:val="24"/>
                <w:szCs w:val="24"/>
              </w:rPr>
              <w:t>无指向性点声源几何发散衰减的基本公式是：</w:t>
            </w:r>
          </w:p>
          <w:p w14:paraId="1793250D">
            <w:pPr>
              <w:pStyle w:val="97"/>
              <w:adjustRightInd w:val="0"/>
              <w:snapToGrid w:val="0"/>
              <w:spacing w:line="360" w:lineRule="auto"/>
              <w:ind w:firstLine="198"/>
              <w:jc w:val="center"/>
              <w:textAlignment w:val="center"/>
              <w:rPr>
                <w:color w:val="auto"/>
                <w:sz w:val="24"/>
                <w:szCs w:val="24"/>
              </w:rPr>
            </w:pPr>
            <w:r>
              <w:rPr>
                <w:color w:val="auto"/>
                <w:position w:val="-30"/>
                <w:sz w:val="24"/>
                <w:szCs w:val="24"/>
              </w:rPr>
              <w:object>
                <v:shape id="_x0000_i1026" o:spt="75" type="#_x0000_t75" style="height:35.15pt;width:132.3pt;" o:ole="t" filled="f" coordsize="21600,21600">
                  <v:path/>
                  <v:fill on="f" focussize="0,0"/>
                  <v:stroke/>
                  <v:imagedata r:id="rId18" o:title=""/>
                  <o:lock v:ext="edit" aspectratio="t"/>
                  <w10:wrap type="none"/>
                  <w10:anchorlock/>
                </v:shape>
                <o:OLEObject Type="Embed" ProgID="Equation.3" ShapeID="_x0000_i1026" DrawAspect="Content" ObjectID="_1468075726" r:id="rId17">
                  <o:LockedField>false</o:LockedField>
                </o:OLEObject>
              </w:object>
            </w:r>
          </w:p>
          <w:p w14:paraId="7BF740FF">
            <w:pPr>
              <w:spacing w:line="360" w:lineRule="auto"/>
              <w:ind w:firstLine="480"/>
              <w:textAlignment w:val="center"/>
              <w:rPr>
                <w:color w:val="auto"/>
                <w:sz w:val="24"/>
              </w:rPr>
            </w:pPr>
            <w:r>
              <w:rPr>
                <w:color w:val="auto"/>
                <w:sz w:val="24"/>
              </w:rPr>
              <w:t>式中：</w:t>
            </w:r>
            <w:r>
              <w:rPr>
                <w:i/>
                <w:color w:val="auto"/>
                <w:sz w:val="24"/>
              </w:rPr>
              <w:t>L</w:t>
            </w:r>
            <w:r>
              <w:rPr>
                <w:color w:val="auto"/>
                <w:sz w:val="24"/>
                <w:vertAlign w:val="subscript"/>
              </w:rPr>
              <w:t>p</w:t>
            </w:r>
            <w:r>
              <w:rPr>
                <w:color w:val="auto"/>
                <w:sz w:val="24"/>
              </w:rPr>
              <w:t>(</w:t>
            </w:r>
            <w:r>
              <w:rPr>
                <w:i/>
                <w:color w:val="auto"/>
                <w:sz w:val="24"/>
              </w:rPr>
              <w:t>r</w:t>
            </w:r>
            <w:r>
              <w:rPr>
                <w:color w:val="auto"/>
                <w:sz w:val="24"/>
              </w:rPr>
              <w:t>)—预测点处声压级，dB；</w:t>
            </w:r>
          </w:p>
          <w:p w14:paraId="41434187">
            <w:pPr>
              <w:spacing w:line="360" w:lineRule="auto"/>
              <w:ind w:firstLine="948" w:firstLineChars="395"/>
              <w:textAlignment w:val="center"/>
              <w:rPr>
                <w:color w:val="auto"/>
                <w:sz w:val="24"/>
              </w:rPr>
            </w:pPr>
            <w:r>
              <w:rPr>
                <w:i/>
                <w:color w:val="auto"/>
                <w:sz w:val="24"/>
              </w:rPr>
              <w:t>L</w:t>
            </w:r>
            <w:r>
              <w:rPr>
                <w:color w:val="auto"/>
                <w:sz w:val="24"/>
                <w:vertAlign w:val="subscript"/>
              </w:rPr>
              <w:t>p</w:t>
            </w:r>
            <w:r>
              <w:rPr>
                <w:color w:val="auto"/>
                <w:sz w:val="24"/>
              </w:rPr>
              <w:t>(</w:t>
            </w:r>
            <w:r>
              <w:rPr>
                <w:i/>
                <w:color w:val="auto"/>
                <w:sz w:val="24"/>
              </w:rPr>
              <w:t>r</w:t>
            </w:r>
            <w:r>
              <w:rPr>
                <w:i/>
                <w:color w:val="auto"/>
                <w:sz w:val="24"/>
                <w:vertAlign w:val="subscript"/>
              </w:rPr>
              <w:t>0</w:t>
            </w:r>
            <w:r>
              <w:rPr>
                <w:color w:val="auto"/>
                <w:sz w:val="24"/>
              </w:rPr>
              <w:t>)—参考位置</w:t>
            </w:r>
            <w:r>
              <w:rPr>
                <w:i/>
                <w:color w:val="auto"/>
                <w:sz w:val="24"/>
              </w:rPr>
              <w:t>r</w:t>
            </w:r>
            <w:r>
              <w:rPr>
                <w:color w:val="auto"/>
                <w:sz w:val="24"/>
                <w:vertAlign w:val="subscript"/>
              </w:rPr>
              <w:t>0</w:t>
            </w:r>
            <w:r>
              <w:rPr>
                <w:color w:val="auto"/>
                <w:sz w:val="24"/>
              </w:rPr>
              <w:t>处的声压级，dB；</w:t>
            </w:r>
          </w:p>
          <w:p w14:paraId="5CFF4CD2">
            <w:pPr>
              <w:pStyle w:val="97"/>
              <w:spacing w:line="360" w:lineRule="auto"/>
              <w:ind w:firstLine="916" w:firstLineChars="382"/>
              <w:textAlignment w:val="center"/>
              <w:rPr>
                <w:color w:val="auto"/>
                <w:sz w:val="24"/>
                <w:szCs w:val="24"/>
              </w:rPr>
            </w:pPr>
            <w:r>
              <w:rPr>
                <w:i/>
                <w:color w:val="auto"/>
                <w:sz w:val="24"/>
                <w:szCs w:val="24"/>
              </w:rPr>
              <w:t>r</w:t>
            </w:r>
            <w:r>
              <w:rPr>
                <w:color w:val="auto"/>
                <w:sz w:val="24"/>
                <w:szCs w:val="24"/>
              </w:rPr>
              <w:t>—预测点距声源的距离；</w:t>
            </w:r>
          </w:p>
          <w:p w14:paraId="418FFA12">
            <w:pPr>
              <w:pStyle w:val="97"/>
              <w:spacing w:line="360" w:lineRule="auto"/>
              <w:ind w:firstLine="916" w:firstLineChars="382"/>
              <w:textAlignment w:val="center"/>
              <w:rPr>
                <w:color w:val="auto"/>
                <w:sz w:val="24"/>
                <w:szCs w:val="24"/>
              </w:rPr>
            </w:pPr>
            <w:r>
              <w:rPr>
                <w:i/>
                <w:color w:val="auto"/>
                <w:sz w:val="24"/>
                <w:szCs w:val="24"/>
              </w:rPr>
              <w:t>r</w:t>
            </w:r>
            <w:r>
              <w:rPr>
                <w:color w:val="auto"/>
                <w:sz w:val="24"/>
                <w:szCs w:val="24"/>
                <w:vertAlign w:val="subscript"/>
              </w:rPr>
              <w:t>0</w:t>
            </w:r>
            <w:r>
              <w:rPr>
                <w:color w:val="auto"/>
                <w:sz w:val="24"/>
                <w:szCs w:val="24"/>
              </w:rPr>
              <w:t>—参考位置距声源的距离，m。</w:t>
            </w:r>
          </w:p>
          <w:p w14:paraId="66F11B01">
            <w:pPr>
              <w:spacing w:line="360" w:lineRule="auto"/>
              <w:ind w:firstLine="480" w:firstLineChars="200"/>
              <w:rPr>
                <w:color w:val="auto"/>
                <w:sz w:val="24"/>
              </w:rPr>
            </w:pPr>
            <w:r>
              <w:rPr>
                <w:rFonts w:hint="eastAsia" w:ascii="宋体" w:hAnsi="宋体" w:cs="宋体"/>
                <w:color w:val="auto"/>
                <w:sz w:val="24"/>
              </w:rPr>
              <w:t>②</w:t>
            </w:r>
            <w:r>
              <w:rPr>
                <w:color w:val="auto"/>
                <w:sz w:val="24"/>
              </w:rPr>
              <w:t>建设项目声源在预测点产生的等效声级贡献值(L</w:t>
            </w:r>
            <w:r>
              <w:rPr>
                <w:color w:val="auto"/>
                <w:sz w:val="24"/>
                <w:vertAlign w:val="subscript"/>
              </w:rPr>
              <w:t>eqg</w:t>
            </w:r>
            <w:r>
              <w:rPr>
                <w:color w:val="auto"/>
                <w:sz w:val="24"/>
              </w:rPr>
              <w:t>)计算公式：</w:t>
            </w:r>
          </w:p>
          <w:p w14:paraId="43E01E7C">
            <w:pPr>
              <w:spacing w:line="360" w:lineRule="auto"/>
              <w:jc w:val="center"/>
              <w:rPr>
                <w:color w:val="auto"/>
                <w:sz w:val="24"/>
              </w:rPr>
            </w:pPr>
            <w:r>
              <w:rPr>
                <w:color w:val="auto"/>
                <w:sz w:val="24"/>
              </w:rPr>
              <w:drawing>
                <wp:inline distT="0" distB="0" distL="0" distR="0">
                  <wp:extent cx="1837690" cy="466090"/>
                  <wp:effectExtent l="0" t="0" r="0" b="0"/>
                  <wp:docPr id="23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1"/>
                          <pic:cNvPicPr>
                            <a:picLocks noChangeAspect="1" noChangeArrowheads="1"/>
                          </pic:cNvPicPr>
                        </pic:nvPicPr>
                        <pic:blipFill>
                          <a:blip r:embed="rId19" cstate="print"/>
                          <a:srcRect/>
                          <a:stretch>
                            <a:fillRect/>
                          </a:stretch>
                        </pic:blipFill>
                        <pic:spPr>
                          <a:xfrm>
                            <a:off x="0" y="0"/>
                            <a:ext cx="1837690" cy="466090"/>
                          </a:xfrm>
                          <a:prstGeom prst="rect">
                            <a:avLst/>
                          </a:prstGeom>
                          <a:noFill/>
                          <a:ln w="9525">
                            <a:noFill/>
                            <a:miter lim="800000"/>
                            <a:headEnd/>
                            <a:tailEnd/>
                          </a:ln>
                        </pic:spPr>
                      </pic:pic>
                    </a:graphicData>
                  </a:graphic>
                </wp:inline>
              </w:drawing>
            </w:r>
          </w:p>
          <w:p w14:paraId="02657384">
            <w:pPr>
              <w:spacing w:line="360" w:lineRule="auto"/>
              <w:ind w:firstLine="480" w:firstLineChars="200"/>
              <w:rPr>
                <w:color w:val="auto"/>
                <w:sz w:val="24"/>
              </w:rPr>
            </w:pPr>
            <w:r>
              <w:rPr>
                <w:color w:val="auto"/>
                <w:sz w:val="24"/>
              </w:rPr>
              <w:t>L</w:t>
            </w:r>
            <w:r>
              <w:rPr>
                <w:color w:val="auto"/>
                <w:sz w:val="24"/>
                <w:vertAlign w:val="subscript"/>
              </w:rPr>
              <w:t>eqg</w:t>
            </w:r>
            <w:r>
              <w:rPr>
                <w:color w:val="auto"/>
                <w:sz w:val="24"/>
              </w:rPr>
              <w:t>——建设项目声源在预测点的等效声级贡献值，dB(A)；</w:t>
            </w:r>
          </w:p>
          <w:p w14:paraId="302FE541">
            <w:pPr>
              <w:spacing w:line="360" w:lineRule="auto"/>
              <w:ind w:firstLine="480" w:firstLineChars="200"/>
              <w:rPr>
                <w:color w:val="auto"/>
                <w:sz w:val="24"/>
              </w:rPr>
            </w:pPr>
            <w:r>
              <w:rPr>
                <w:color w:val="auto"/>
                <w:sz w:val="24"/>
              </w:rPr>
              <w:t>L</w:t>
            </w:r>
            <w:r>
              <w:rPr>
                <w:color w:val="auto"/>
                <w:sz w:val="24"/>
                <w:vertAlign w:val="subscript"/>
              </w:rPr>
              <w:t>Ai</w:t>
            </w:r>
            <w:r>
              <w:rPr>
                <w:color w:val="auto"/>
                <w:sz w:val="24"/>
              </w:rPr>
              <w:t>——i声源在预测点产生的A声级，dB(A)；</w:t>
            </w:r>
          </w:p>
          <w:p w14:paraId="3EF26DD0">
            <w:pPr>
              <w:spacing w:line="360" w:lineRule="auto"/>
              <w:ind w:firstLine="480" w:firstLineChars="200"/>
              <w:rPr>
                <w:color w:val="auto"/>
                <w:sz w:val="24"/>
              </w:rPr>
            </w:pPr>
            <w:r>
              <w:rPr>
                <w:color w:val="auto"/>
                <w:sz w:val="24"/>
              </w:rPr>
              <w:t>T——预测计算的时间段，s；</w:t>
            </w:r>
          </w:p>
          <w:p w14:paraId="48B2F589">
            <w:pPr>
              <w:spacing w:line="360" w:lineRule="auto"/>
              <w:ind w:firstLine="480" w:firstLineChars="200"/>
              <w:rPr>
                <w:color w:val="auto"/>
                <w:sz w:val="24"/>
              </w:rPr>
            </w:pPr>
            <w:r>
              <w:rPr>
                <w:color w:val="auto"/>
                <w:sz w:val="24"/>
              </w:rPr>
              <w:t>t</w:t>
            </w:r>
            <w:r>
              <w:rPr>
                <w:color w:val="auto"/>
                <w:sz w:val="24"/>
                <w:vertAlign w:val="subscript"/>
              </w:rPr>
              <w:t>i</w:t>
            </w:r>
            <w:r>
              <w:rPr>
                <w:color w:val="auto"/>
                <w:sz w:val="24"/>
              </w:rPr>
              <w:t>——i声源在T时段内的运行时间，s。</w:t>
            </w:r>
          </w:p>
          <w:p w14:paraId="4D4E7701">
            <w:pPr>
              <w:spacing w:line="360" w:lineRule="auto"/>
              <w:ind w:firstLine="480" w:firstLineChars="200"/>
              <w:rPr>
                <w:color w:val="auto"/>
                <w:sz w:val="24"/>
              </w:rPr>
            </w:pPr>
            <w:r>
              <w:rPr>
                <w:rFonts w:hint="eastAsia" w:ascii="宋体" w:hAnsi="宋体" w:cs="宋体"/>
                <w:color w:val="auto"/>
                <w:sz w:val="24"/>
              </w:rPr>
              <w:t>③</w:t>
            </w:r>
            <w:r>
              <w:rPr>
                <w:color w:val="auto"/>
                <w:sz w:val="24"/>
              </w:rPr>
              <w:t>预测点的预测等效声级（L</w:t>
            </w:r>
            <w:r>
              <w:rPr>
                <w:color w:val="auto"/>
                <w:sz w:val="24"/>
                <w:vertAlign w:val="subscript"/>
              </w:rPr>
              <w:t>eq</w:t>
            </w:r>
            <w:r>
              <w:rPr>
                <w:color w:val="auto"/>
                <w:sz w:val="24"/>
              </w:rPr>
              <w:t>）计算公式：</w:t>
            </w:r>
          </w:p>
          <w:p w14:paraId="70F4AA90">
            <w:pPr>
              <w:spacing w:line="360" w:lineRule="auto"/>
              <w:ind w:firstLine="480" w:firstLineChars="200"/>
              <w:jc w:val="center"/>
              <w:rPr>
                <w:color w:val="auto"/>
                <w:sz w:val="24"/>
              </w:rPr>
            </w:pPr>
            <w:r>
              <w:rPr>
                <w:color w:val="auto"/>
                <w:sz w:val="24"/>
              </w:rPr>
              <w:drawing>
                <wp:inline distT="0" distB="0" distL="0" distR="0">
                  <wp:extent cx="2087880" cy="284480"/>
                  <wp:effectExtent l="0" t="0" r="0" b="0"/>
                  <wp:docPr id="23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2"/>
                          <pic:cNvPicPr>
                            <a:picLocks noChangeAspect="1" noChangeArrowheads="1"/>
                          </pic:cNvPicPr>
                        </pic:nvPicPr>
                        <pic:blipFill>
                          <a:blip r:embed="rId20" cstate="print"/>
                          <a:srcRect/>
                          <a:stretch>
                            <a:fillRect/>
                          </a:stretch>
                        </pic:blipFill>
                        <pic:spPr>
                          <a:xfrm>
                            <a:off x="0" y="0"/>
                            <a:ext cx="2087880" cy="284480"/>
                          </a:xfrm>
                          <a:prstGeom prst="rect">
                            <a:avLst/>
                          </a:prstGeom>
                          <a:noFill/>
                          <a:ln w="9525">
                            <a:noFill/>
                            <a:miter lim="800000"/>
                            <a:headEnd/>
                            <a:tailEnd/>
                          </a:ln>
                        </pic:spPr>
                      </pic:pic>
                    </a:graphicData>
                  </a:graphic>
                </wp:inline>
              </w:drawing>
            </w:r>
          </w:p>
          <w:p w14:paraId="6A026746">
            <w:pPr>
              <w:spacing w:line="360" w:lineRule="auto"/>
              <w:ind w:firstLine="480" w:firstLineChars="200"/>
              <w:rPr>
                <w:color w:val="auto"/>
                <w:sz w:val="24"/>
              </w:rPr>
            </w:pPr>
            <w:r>
              <w:rPr>
                <w:color w:val="auto"/>
                <w:sz w:val="24"/>
              </w:rPr>
              <w:t>式中：L</w:t>
            </w:r>
            <w:r>
              <w:rPr>
                <w:color w:val="auto"/>
                <w:sz w:val="24"/>
                <w:vertAlign w:val="subscript"/>
              </w:rPr>
              <w:t>eqg</w:t>
            </w:r>
            <w:r>
              <w:rPr>
                <w:color w:val="auto"/>
                <w:sz w:val="24"/>
              </w:rPr>
              <w:t>——建设项目声源在预测点的等效声级贡献值，dB(A)；</w:t>
            </w:r>
          </w:p>
          <w:p w14:paraId="0C96D224">
            <w:pPr>
              <w:spacing w:line="360" w:lineRule="auto"/>
              <w:ind w:firstLine="480" w:firstLineChars="200"/>
              <w:rPr>
                <w:color w:val="auto"/>
                <w:sz w:val="24"/>
              </w:rPr>
            </w:pPr>
            <w:r>
              <w:rPr>
                <w:color w:val="auto"/>
                <w:sz w:val="24"/>
              </w:rPr>
              <w:t>L</w:t>
            </w:r>
            <w:r>
              <w:rPr>
                <w:color w:val="auto"/>
                <w:sz w:val="24"/>
                <w:vertAlign w:val="subscript"/>
              </w:rPr>
              <w:t>eqb</w:t>
            </w:r>
            <w:r>
              <w:rPr>
                <w:color w:val="auto"/>
                <w:sz w:val="24"/>
              </w:rPr>
              <w:t>——预测点的背景值，dB（A）。</w:t>
            </w:r>
          </w:p>
          <w:p w14:paraId="2FF9FE16">
            <w:pPr>
              <w:spacing w:line="360" w:lineRule="auto"/>
              <w:ind w:firstLine="480" w:firstLineChars="200"/>
              <w:rPr>
                <w:color w:val="auto"/>
                <w:sz w:val="24"/>
              </w:rPr>
            </w:pPr>
            <w:r>
              <w:rPr>
                <w:rFonts w:hint="eastAsia" w:ascii="宋体" w:hAnsi="宋体"/>
                <w:color w:val="auto"/>
                <w:sz w:val="24"/>
              </w:rPr>
              <w:t>④</w:t>
            </w:r>
            <w:r>
              <w:rPr>
                <w:color w:val="auto"/>
                <w:sz w:val="24"/>
              </w:rPr>
              <w:t>户外声传播衰减计算</w:t>
            </w:r>
          </w:p>
          <w:p w14:paraId="3F864ED7">
            <w:pPr>
              <w:spacing w:line="360" w:lineRule="auto"/>
              <w:ind w:firstLine="480" w:firstLineChars="200"/>
              <w:rPr>
                <w:color w:val="auto"/>
                <w:sz w:val="24"/>
              </w:rPr>
            </w:pPr>
            <w:r>
              <w:rPr>
                <w:color w:val="auto"/>
                <w:sz w:val="24"/>
              </w:rPr>
              <w:t>户外声传播衰减包括几何发散（A</w:t>
            </w:r>
            <w:r>
              <w:rPr>
                <w:color w:val="auto"/>
                <w:sz w:val="24"/>
                <w:vertAlign w:val="subscript"/>
              </w:rPr>
              <w:t>div</w:t>
            </w:r>
            <w:r>
              <w:rPr>
                <w:color w:val="auto"/>
                <w:sz w:val="24"/>
              </w:rPr>
              <w:t>）、大气吸收（A</w:t>
            </w:r>
            <w:r>
              <w:rPr>
                <w:color w:val="auto"/>
                <w:sz w:val="24"/>
                <w:vertAlign w:val="subscript"/>
              </w:rPr>
              <w:t>atm</w:t>
            </w:r>
            <w:r>
              <w:rPr>
                <w:color w:val="auto"/>
                <w:sz w:val="24"/>
              </w:rPr>
              <w:t>）、地面效应（A</w:t>
            </w:r>
            <w:r>
              <w:rPr>
                <w:color w:val="auto"/>
                <w:sz w:val="24"/>
                <w:vertAlign w:val="subscript"/>
              </w:rPr>
              <w:t>gr</w:t>
            </w:r>
            <w:r>
              <w:rPr>
                <w:color w:val="auto"/>
                <w:sz w:val="24"/>
              </w:rPr>
              <w:t>）、屏障屏蔽（A</w:t>
            </w:r>
            <w:r>
              <w:rPr>
                <w:color w:val="auto"/>
                <w:sz w:val="24"/>
                <w:vertAlign w:val="subscript"/>
              </w:rPr>
              <w:t>bar</w:t>
            </w:r>
            <w:r>
              <w:rPr>
                <w:color w:val="auto"/>
                <w:sz w:val="24"/>
              </w:rPr>
              <w:t>）、其他多方面效应（A</w:t>
            </w:r>
            <w:r>
              <w:rPr>
                <w:color w:val="auto"/>
                <w:sz w:val="24"/>
                <w:vertAlign w:val="subscript"/>
              </w:rPr>
              <w:t>misc</w:t>
            </w:r>
            <w:r>
              <w:rPr>
                <w:color w:val="auto"/>
                <w:sz w:val="24"/>
              </w:rPr>
              <w:t>）引起的衰减。</w:t>
            </w:r>
          </w:p>
          <w:p w14:paraId="01DE5BCC">
            <w:pPr>
              <w:spacing w:line="360" w:lineRule="auto"/>
              <w:ind w:firstLine="480" w:firstLineChars="200"/>
              <w:rPr>
                <w:color w:val="auto"/>
                <w:sz w:val="24"/>
              </w:rPr>
            </w:pPr>
            <w:r>
              <w:rPr>
                <w:color w:val="auto"/>
                <w:sz w:val="24"/>
              </w:rPr>
              <w:t>距声源点r处的A声级按下式计算：</w:t>
            </w:r>
          </w:p>
          <w:p w14:paraId="6D359D9A">
            <w:pPr>
              <w:spacing w:line="360" w:lineRule="auto"/>
              <w:jc w:val="center"/>
              <w:rPr>
                <w:color w:val="auto"/>
                <w:sz w:val="24"/>
              </w:rPr>
            </w:pPr>
            <w:r>
              <w:rPr>
                <w:color w:val="auto"/>
                <w:sz w:val="24"/>
              </w:rPr>
              <w:drawing>
                <wp:inline distT="0" distB="0" distL="0" distR="0">
                  <wp:extent cx="3924935" cy="336550"/>
                  <wp:effectExtent l="19050" t="0" r="0" b="0"/>
                  <wp:docPr id="244"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144"/>
                          <pic:cNvPicPr>
                            <a:picLocks noChangeAspect="1" noChangeArrowheads="1"/>
                          </pic:cNvPicPr>
                        </pic:nvPicPr>
                        <pic:blipFill>
                          <a:blip r:embed="rId21" cstate="print"/>
                          <a:srcRect/>
                          <a:stretch>
                            <a:fillRect/>
                          </a:stretch>
                        </pic:blipFill>
                        <pic:spPr>
                          <a:xfrm>
                            <a:off x="0" y="0"/>
                            <a:ext cx="3924935" cy="336550"/>
                          </a:xfrm>
                          <a:prstGeom prst="rect">
                            <a:avLst/>
                          </a:prstGeom>
                          <a:noFill/>
                          <a:ln w="9525">
                            <a:noFill/>
                            <a:miter lim="800000"/>
                            <a:headEnd/>
                            <a:tailEnd/>
                          </a:ln>
                        </pic:spPr>
                      </pic:pic>
                    </a:graphicData>
                  </a:graphic>
                </wp:inline>
              </w:drawing>
            </w:r>
          </w:p>
          <w:p w14:paraId="28C55453">
            <w:pPr>
              <w:pStyle w:val="95"/>
              <w:rPr>
                <w:rFonts w:cs="Times New Roman"/>
                <w:color w:val="auto"/>
              </w:rPr>
            </w:pPr>
            <w:r>
              <w:rPr>
                <w:rFonts w:cs="Times New Roman"/>
                <w:color w:val="auto"/>
              </w:rPr>
              <w:t>在预测中考虑反射引起的修正、屏障引起的衰减、双绕射、室内声源等效室外声源等影响和计算方法。</w:t>
            </w:r>
          </w:p>
          <w:p w14:paraId="4190F52C">
            <w:pPr>
              <w:jc w:val="center"/>
              <w:rPr>
                <w:b/>
                <w:color w:val="auto"/>
                <w:sz w:val="24"/>
              </w:rPr>
            </w:pPr>
            <w:r>
              <w:rPr>
                <w:b/>
                <w:color w:val="auto"/>
                <w:sz w:val="24"/>
              </w:rPr>
              <w:t>表</w:t>
            </w:r>
            <w:r>
              <w:rPr>
                <w:rFonts w:hint="eastAsia"/>
                <w:b/>
                <w:color w:val="auto"/>
                <w:sz w:val="24"/>
                <w:lang w:val="en-US" w:eastAsia="zh-CN"/>
              </w:rPr>
              <w:t>4-9</w:t>
            </w:r>
            <w:r>
              <w:rPr>
                <w:b/>
                <w:color w:val="auto"/>
                <w:sz w:val="24"/>
              </w:rPr>
              <w:t xml:space="preserve">噪声预测结果  </w:t>
            </w:r>
            <w:r>
              <w:rPr>
                <w:color w:val="auto"/>
                <w:sz w:val="24"/>
              </w:rPr>
              <w:t>单位：dB（A）</w:t>
            </w:r>
          </w:p>
          <w:tbl>
            <w:tblPr>
              <w:tblStyle w:val="27"/>
              <w:tblW w:w="85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361"/>
              <w:gridCol w:w="1900"/>
              <w:gridCol w:w="4081"/>
            </w:tblGrid>
            <w:tr w14:paraId="39F3B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3" w:type="pct"/>
                  <w:vAlign w:val="center"/>
                </w:tcPr>
                <w:p w14:paraId="768C0A91">
                  <w:pPr>
                    <w:jc w:val="center"/>
                    <w:rPr>
                      <w:color w:val="auto"/>
                      <w:szCs w:val="21"/>
                    </w:rPr>
                  </w:pPr>
                  <w:r>
                    <w:rPr>
                      <w:color w:val="auto"/>
                    </w:rPr>
                    <w:t>预测点位</w:t>
                  </w:r>
                </w:p>
              </w:tc>
              <w:tc>
                <w:tcPr>
                  <w:tcW w:w="800" w:type="pct"/>
                  <w:vAlign w:val="center"/>
                </w:tcPr>
                <w:p w14:paraId="0164D7A7">
                  <w:pPr>
                    <w:jc w:val="center"/>
                    <w:rPr>
                      <w:color w:val="auto"/>
                      <w:szCs w:val="21"/>
                    </w:rPr>
                  </w:pPr>
                  <w:r>
                    <w:rPr>
                      <w:color w:val="auto"/>
                    </w:rPr>
                    <w:t>预测时段</w:t>
                  </w:r>
                </w:p>
              </w:tc>
              <w:tc>
                <w:tcPr>
                  <w:tcW w:w="1117" w:type="pct"/>
                  <w:vAlign w:val="center"/>
                </w:tcPr>
                <w:p w14:paraId="29008FC9">
                  <w:pPr>
                    <w:jc w:val="center"/>
                    <w:rPr>
                      <w:color w:val="auto"/>
                      <w:szCs w:val="21"/>
                    </w:rPr>
                  </w:pPr>
                  <w:r>
                    <w:rPr>
                      <w:color w:val="auto"/>
                    </w:rPr>
                    <w:t>贡献值</w:t>
                  </w:r>
                </w:p>
              </w:tc>
              <w:tc>
                <w:tcPr>
                  <w:tcW w:w="2399" w:type="pct"/>
                  <w:vAlign w:val="center"/>
                </w:tcPr>
                <w:p w14:paraId="6FB8877B">
                  <w:pPr>
                    <w:jc w:val="center"/>
                    <w:rPr>
                      <w:color w:val="auto"/>
                      <w:szCs w:val="21"/>
                    </w:rPr>
                  </w:pPr>
                  <w:r>
                    <w:rPr>
                      <w:color w:val="auto"/>
                    </w:rPr>
                    <w:t>标准限值</w:t>
                  </w:r>
                </w:p>
              </w:tc>
            </w:tr>
            <w:tr w14:paraId="169B9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83" w:type="pct"/>
                  <w:vMerge w:val="restart"/>
                  <w:vAlign w:val="center"/>
                </w:tcPr>
                <w:p w14:paraId="648FF463">
                  <w:pPr>
                    <w:spacing w:line="0" w:lineRule="atLeast"/>
                    <w:jc w:val="center"/>
                    <w:rPr>
                      <w:color w:val="auto"/>
                      <w:szCs w:val="21"/>
                    </w:rPr>
                  </w:pPr>
                  <w:r>
                    <w:rPr>
                      <w:color w:val="auto"/>
                    </w:rPr>
                    <w:t>东侧厂界</w:t>
                  </w:r>
                </w:p>
              </w:tc>
              <w:tc>
                <w:tcPr>
                  <w:tcW w:w="800" w:type="pct"/>
                  <w:vAlign w:val="center"/>
                </w:tcPr>
                <w:p w14:paraId="3137FEB2">
                  <w:pPr>
                    <w:spacing w:line="0" w:lineRule="atLeast"/>
                    <w:jc w:val="center"/>
                    <w:rPr>
                      <w:color w:val="auto"/>
                      <w:szCs w:val="21"/>
                    </w:rPr>
                  </w:pPr>
                  <w:r>
                    <w:rPr>
                      <w:color w:val="auto"/>
                    </w:rPr>
                    <w:t>昼</w:t>
                  </w:r>
                </w:p>
              </w:tc>
              <w:tc>
                <w:tcPr>
                  <w:tcW w:w="1117" w:type="pct"/>
                  <w:vAlign w:val="center"/>
                </w:tcPr>
                <w:p w14:paraId="636B7947">
                  <w:pPr>
                    <w:jc w:val="center"/>
                    <w:rPr>
                      <w:rFonts w:hint="eastAsia" w:eastAsia="宋体"/>
                      <w:bCs/>
                      <w:color w:val="auto"/>
                      <w:szCs w:val="21"/>
                      <w:lang w:eastAsia="zh-CN"/>
                    </w:rPr>
                  </w:pPr>
                  <w:r>
                    <w:rPr>
                      <w:rFonts w:hint="eastAsia"/>
                      <w:color w:val="auto"/>
                      <w:szCs w:val="21"/>
                    </w:rPr>
                    <w:t>22.0</w:t>
                  </w:r>
                  <w:r>
                    <w:rPr>
                      <w:rFonts w:hint="eastAsia"/>
                      <w:color w:val="auto"/>
                      <w:szCs w:val="21"/>
                      <w:lang w:val="en-US" w:eastAsia="zh-CN"/>
                    </w:rPr>
                    <w:t>5</w:t>
                  </w:r>
                </w:p>
              </w:tc>
              <w:tc>
                <w:tcPr>
                  <w:tcW w:w="2399" w:type="pct"/>
                  <w:vMerge w:val="restart"/>
                  <w:vAlign w:val="center"/>
                </w:tcPr>
                <w:p w14:paraId="358FE49A">
                  <w:pPr>
                    <w:spacing w:line="0" w:lineRule="atLeast"/>
                    <w:jc w:val="center"/>
                    <w:rPr>
                      <w:color w:val="auto"/>
                      <w:szCs w:val="21"/>
                    </w:rPr>
                  </w:pPr>
                  <w:r>
                    <w:rPr>
                      <w:bCs/>
                      <w:color w:val="auto"/>
                    </w:rPr>
                    <w:t>厂界噪声执行《工业企业厂界环境噪声排放标准》（GB12348-2008）中</w:t>
                  </w:r>
                  <w:r>
                    <w:rPr>
                      <w:rFonts w:hint="eastAsia"/>
                      <w:bCs/>
                      <w:color w:val="auto"/>
                    </w:rPr>
                    <w:t>2</w:t>
                  </w:r>
                  <w:r>
                    <w:rPr>
                      <w:bCs/>
                      <w:color w:val="auto"/>
                    </w:rPr>
                    <w:t>类标准</w:t>
                  </w:r>
                  <w:r>
                    <w:rPr>
                      <w:color w:val="auto"/>
                    </w:rPr>
                    <w:t>（昼间噪声≤</w:t>
                  </w:r>
                  <w:r>
                    <w:rPr>
                      <w:rFonts w:hint="eastAsia"/>
                      <w:color w:val="auto"/>
                    </w:rPr>
                    <w:t>60</w:t>
                  </w:r>
                  <w:r>
                    <w:rPr>
                      <w:color w:val="auto"/>
                    </w:rPr>
                    <w:t>，夜间噪声≤</w:t>
                  </w:r>
                  <w:r>
                    <w:rPr>
                      <w:rFonts w:hint="eastAsia"/>
                      <w:color w:val="auto"/>
                    </w:rPr>
                    <w:t>50</w:t>
                  </w:r>
                  <w:r>
                    <w:rPr>
                      <w:color w:val="auto"/>
                    </w:rPr>
                    <w:t>）</w:t>
                  </w:r>
                </w:p>
              </w:tc>
            </w:tr>
            <w:tr w14:paraId="52DAE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83" w:type="pct"/>
                  <w:vMerge w:val="continue"/>
                  <w:vAlign w:val="center"/>
                </w:tcPr>
                <w:p w14:paraId="7AAFAAD6">
                  <w:pPr>
                    <w:spacing w:line="0" w:lineRule="atLeast"/>
                    <w:jc w:val="center"/>
                    <w:rPr>
                      <w:color w:val="auto"/>
                    </w:rPr>
                  </w:pPr>
                </w:p>
              </w:tc>
              <w:tc>
                <w:tcPr>
                  <w:tcW w:w="800" w:type="pct"/>
                  <w:vAlign w:val="center"/>
                </w:tcPr>
                <w:p w14:paraId="6176A4CD">
                  <w:pPr>
                    <w:spacing w:line="0" w:lineRule="atLeast"/>
                    <w:jc w:val="center"/>
                    <w:rPr>
                      <w:color w:val="auto"/>
                    </w:rPr>
                  </w:pPr>
                  <w:r>
                    <w:rPr>
                      <w:color w:val="auto"/>
                    </w:rPr>
                    <w:t>夜</w:t>
                  </w:r>
                </w:p>
              </w:tc>
              <w:tc>
                <w:tcPr>
                  <w:tcW w:w="1117" w:type="pct"/>
                  <w:vAlign w:val="center"/>
                </w:tcPr>
                <w:p w14:paraId="4E0A2721">
                  <w:pPr>
                    <w:jc w:val="center"/>
                    <w:rPr>
                      <w:rFonts w:hint="eastAsia" w:eastAsia="宋体"/>
                      <w:bCs/>
                      <w:color w:val="auto"/>
                      <w:szCs w:val="21"/>
                      <w:lang w:eastAsia="zh-CN"/>
                    </w:rPr>
                  </w:pPr>
                  <w:r>
                    <w:rPr>
                      <w:rFonts w:hint="eastAsia"/>
                      <w:color w:val="auto"/>
                      <w:szCs w:val="21"/>
                    </w:rPr>
                    <w:t>22.0</w:t>
                  </w:r>
                  <w:r>
                    <w:rPr>
                      <w:rFonts w:hint="eastAsia"/>
                      <w:color w:val="auto"/>
                      <w:szCs w:val="21"/>
                      <w:lang w:val="en-US" w:eastAsia="zh-CN"/>
                    </w:rPr>
                    <w:t>5</w:t>
                  </w:r>
                </w:p>
              </w:tc>
              <w:tc>
                <w:tcPr>
                  <w:tcW w:w="2399" w:type="pct"/>
                  <w:vMerge w:val="continue"/>
                  <w:vAlign w:val="center"/>
                </w:tcPr>
                <w:p w14:paraId="73DE0B3C">
                  <w:pPr>
                    <w:spacing w:line="0" w:lineRule="atLeast"/>
                    <w:jc w:val="center"/>
                    <w:rPr>
                      <w:bCs/>
                      <w:color w:val="auto"/>
                    </w:rPr>
                  </w:pPr>
                </w:p>
              </w:tc>
            </w:tr>
            <w:tr w14:paraId="2919F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83" w:type="pct"/>
                  <w:vMerge w:val="restart"/>
                  <w:vAlign w:val="center"/>
                </w:tcPr>
                <w:p w14:paraId="6774C074">
                  <w:pPr>
                    <w:spacing w:line="0" w:lineRule="atLeast"/>
                    <w:jc w:val="center"/>
                    <w:rPr>
                      <w:color w:val="auto"/>
                      <w:szCs w:val="21"/>
                    </w:rPr>
                  </w:pPr>
                  <w:r>
                    <w:rPr>
                      <w:color w:val="auto"/>
                    </w:rPr>
                    <w:t>南侧厂界</w:t>
                  </w:r>
                </w:p>
              </w:tc>
              <w:tc>
                <w:tcPr>
                  <w:tcW w:w="800" w:type="pct"/>
                  <w:vAlign w:val="center"/>
                </w:tcPr>
                <w:p w14:paraId="44485C61">
                  <w:pPr>
                    <w:spacing w:line="0" w:lineRule="atLeast"/>
                    <w:jc w:val="center"/>
                    <w:rPr>
                      <w:color w:val="auto"/>
                      <w:szCs w:val="21"/>
                    </w:rPr>
                  </w:pPr>
                  <w:r>
                    <w:rPr>
                      <w:color w:val="auto"/>
                    </w:rPr>
                    <w:t>昼</w:t>
                  </w:r>
                </w:p>
              </w:tc>
              <w:tc>
                <w:tcPr>
                  <w:tcW w:w="1117" w:type="pct"/>
                  <w:vAlign w:val="center"/>
                </w:tcPr>
                <w:p w14:paraId="0BD679BE">
                  <w:pPr>
                    <w:jc w:val="center"/>
                    <w:rPr>
                      <w:rFonts w:hint="eastAsia" w:eastAsia="宋体"/>
                      <w:color w:val="auto"/>
                      <w:szCs w:val="21"/>
                      <w:lang w:eastAsia="zh-CN"/>
                    </w:rPr>
                  </w:pPr>
                  <w:r>
                    <w:rPr>
                      <w:rFonts w:hint="eastAsia"/>
                      <w:color w:val="auto"/>
                      <w:szCs w:val="21"/>
                    </w:rPr>
                    <w:t>42.0</w:t>
                  </w:r>
                  <w:r>
                    <w:rPr>
                      <w:rFonts w:hint="eastAsia"/>
                      <w:color w:val="auto"/>
                      <w:szCs w:val="21"/>
                      <w:lang w:val="en-US" w:eastAsia="zh-CN"/>
                    </w:rPr>
                    <w:t>1</w:t>
                  </w:r>
                </w:p>
              </w:tc>
              <w:tc>
                <w:tcPr>
                  <w:tcW w:w="2399" w:type="pct"/>
                  <w:vMerge w:val="continue"/>
                  <w:vAlign w:val="center"/>
                </w:tcPr>
                <w:p w14:paraId="428C915B">
                  <w:pPr>
                    <w:widowControl/>
                    <w:jc w:val="left"/>
                    <w:rPr>
                      <w:color w:val="auto"/>
                      <w:szCs w:val="21"/>
                    </w:rPr>
                  </w:pPr>
                </w:p>
              </w:tc>
            </w:tr>
            <w:tr w14:paraId="0CF9A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683" w:type="pct"/>
                  <w:vMerge w:val="continue"/>
                  <w:vAlign w:val="center"/>
                </w:tcPr>
                <w:p w14:paraId="09D78377">
                  <w:pPr>
                    <w:spacing w:line="0" w:lineRule="atLeast"/>
                    <w:jc w:val="center"/>
                    <w:rPr>
                      <w:color w:val="auto"/>
                    </w:rPr>
                  </w:pPr>
                </w:p>
              </w:tc>
              <w:tc>
                <w:tcPr>
                  <w:tcW w:w="800" w:type="pct"/>
                  <w:vAlign w:val="center"/>
                </w:tcPr>
                <w:p w14:paraId="447C5DB3">
                  <w:pPr>
                    <w:spacing w:line="0" w:lineRule="atLeast"/>
                    <w:jc w:val="center"/>
                    <w:rPr>
                      <w:color w:val="auto"/>
                    </w:rPr>
                  </w:pPr>
                  <w:r>
                    <w:rPr>
                      <w:color w:val="auto"/>
                    </w:rPr>
                    <w:t>夜</w:t>
                  </w:r>
                </w:p>
              </w:tc>
              <w:tc>
                <w:tcPr>
                  <w:tcW w:w="1117" w:type="pct"/>
                  <w:vAlign w:val="center"/>
                </w:tcPr>
                <w:p w14:paraId="60705ACA">
                  <w:pPr>
                    <w:jc w:val="center"/>
                    <w:rPr>
                      <w:rFonts w:hint="eastAsia" w:eastAsia="宋体"/>
                      <w:color w:val="auto"/>
                      <w:szCs w:val="21"/>
                      <w:lang w:eastAsia="zh-CN"/>
                    </w:rPr>
                  </w:pPr>
                  <w:r>
                    <w:rPr>
                      <w:rFonts w:hint="eastAsia"/>
                      <w:color w:val="auto"/>
                      <w:szCs w:val="21"/>
                    </w:rPr>
                    <w:t>42.0</w:t>
                  </w:r>
                  <w:r>
                    <w:rPr>
                      <w:rFonts w:hint="eastAsia"/>
                      <w:color w:val="auto"/>
                      <w:szCs w:val="21"/>
                      <w:lang w:val="en-US" w:eastAsia="zh-CN"/>
                    </w:rPr>
                    <w:t>1</w:t>
                  </w:r>
                </w:p>
              </w:tc>
              <w:tc>
                <w:tcPr>
                  <w:tcW w:w="2399" w:type="pct"/>
                  <w:vMerge w:val="continue"/>
                  <w:vAlign w:val="center"/>
                </w:tcPr>
                <w:p w14:paraId="0C35A7D4">
                  <w:pPr>
                    <w:widowControl/>
                    <w:jc w:val="left"/>
                    <w:rPr>
                      <w:color w:val="auto"/>
                      <w:szCs w:val="21"/>
                    </w:rPr>
                  </w:pPr>
                </w:p>
              </w:tc>
            </w:tr>
            <w:tr w14:paraId="1C725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83" w:type="pct"/>
                  <w:vMerge w:val="restart"/>
                  <w:vAlign w:val="center"/>
                </w:tcPr>
                <w:p w14:paraId="63D4F414">
                  <w:pPr>
                    <w:spacing w:line="0" w:lineRule="atLeast"/>
                    <w:jc w:val="center"/>
                    <w:rPr>
                      <w:color w:val="auto"/>
                      <w:szCs w:val="21"/>
                    </w:rPr>
                  </w:pPr>
                  <w:r>
                    <w:rPr>
                      <w:color w:val="auto"/>
                    </w:rPr>
                    <w:t>西侧厂界</w:t>
                  </w:r>
                </w:p>
              </w:tc>
              <w:tc>
                <w:tcPr>
                  <w:tcW w:w="800" w:type="pct"/>
                  <w:vAlign w:val="center"/>
                </w:tcPr>
                <w:p w14:paraId="6ACBAB7F">
                  <w:pPr>
                    <w:spacing w:line="0" w:lineRule="atLeast"/>
                    <w:jc w:val="center"/>
                    <w:rPr>
                      <w:color w:val="auto"/>
                      <w:szCs w:val="21"/>
                    </w:rPr>
                  </w:pPr>
                  <w:r>
                    <w:rPr>
                      <w:color w:val="auto"/>
                    </w:rPr>
                    <w:t>昼</w:t>
                  </w:r>
                </w:p>
              </w:tc>
              <w:tc>
                <w:tcPr>
                  <w:tcW w:w="1117" w:type="pct"/>
                  <w:vAlign w:val="center"/>
                </w:tcPr>
                <w:p w14:paraId="29822125">
                  <w:pPr>
                    <w:jc w:val="center"/>
                    <w:rPr>
                      <w:color w:val="auto"/>
                      <w:szCs w:val="21"/>
                    </w:rPr>
                  </w:pPr>
                  <w:r>
                    <w:rPr>
                      <w:rFonts w:hint="eastAsia"/>
                      <w:color w:val="auto"/>
                      <w:szCs w:val="21"/>
                    </w:rPr>
                    <w:t>4</w:t>
                  </w:r>
                  <w:r>
                    <w:rPr>
                      <w:rFonts w:hint="eastAsia"/>
                      <w:color w:val="auto"/>
                      <w:szCs w:val="21"/>
                      <w:lang w:val="en-US" w:eastAsia="zh-CN"/>
                    </w:rPr>
                    <w:t>0</w:t>
                  </w:r>
                  <w:r>
                    <w:rPr>
                      <w:rFonts w:hint="eastAsia"/>
                      <w:color w:val="auto"/>
                      <w:szCs w:val="21"/>
                    </w:rPr>
                    <w:t>.15</w:t>
                  </w:r>
                </w:p>
              </w:tc>
              <w:tc>
                <w:tcPr>
                  <w:tcW w:w="2399" w:type="pct"/>
                  <w:vMerge w:val="continue"/>
                  <w:vAlign w:val="center"/>
                </w:tcPr>
                <w:p w14:paraId="728834E3">
                  <w:pPr>
                    <w:widowControl/>
                    <w:jc w:val="left"/>
                    <w:rPr>
                      <w:color w:val="auto"/>
                      <w:szCs w:val="21"/>
                    </w:rPr>
                  </w:pPr>
                </w:p>
              </w:tc>
            </w:tr>
            <w:tr w14:paraId="18494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83" w:type="pct"/>
                  <w:vMerge w:val="continue"/>
                  <w:vAlign w:val="center"/>
                </w:tcPr>
                <w:p w14:paraId="360D1DCA">
                  <w:pPr>
                    <w:spacing w:line="0" w:lineRule="atLeast"/>
                    <w:jc w:val="center"/>
                    <w:rPr>
                      <w:color w:val="auto"/>
                    </w:rPr>
                  </w:pPr>
                </w:p>
              </w:tc>
              <w:tc>
                <w:tcPr>
                  <w:tcW w:w="800" w:type="pct"/>
                  <w:vAlign w:val="center"/>
                </w:tcPr>
                <w:p w14:paraId="383D9CB4">
                  <w:pPr>
                    <w:spacing w:line="0" w:lineRule="atLeast"/>
                    <w:jc w:val="center"/>
                    <w:rPr>
                      <w:color w:val="auto"/>
                    </w:rPr>
                  </w:pPr>
                  <w:r>
                    <w:rPr>
                      <w:color w:val="auto"/>
                    </w:rPr>
                    <w:t>夜</w:t>
                  </w:r>
                </w:p>
              </w:tc>
              <w:tc>
                <w:tcPr>
                  <w:tcW w:w="1117" w:type="pct"/>
                  <w:vAlign w:val="center"/>
                </w:tcPr>
                <w:p w14:paraId="1CD7C908">
                  <w:pPr>
                    <w:jc w:val="center"/>
                    <w:rPr>
                      <w:color w:val="auto"/>
                      <w:szCs w:val="21"/>
                    </w:rPr>
                  </w:pPr>
                  <w:r>
                    <w:rPr>
                      <w:rFonts w:hint="eastAsia"/>
                      <w:color w:val="auto"/>
                      <w:szCs w:val="21"/>
                    </w:rPr>
                    <w:t>4</w:t>
                  </w:r>
                  <w:r>
                    <w:rPr>
                      <w:rFonts w:hint="eastAsia"/>
                      <w:color w:val="auto"/>
                      <w:szCs w:val="21"/>
                      <w:lang w:val="en-US" w:eastAsia="zh-CN"/>
                    </w:rPr>
                    <w:t>0</w:t>
                  </w:r>
                  <w:r>
                    <w:rPr>
                      <w:rFonts w:hint="eastAsia"/>
                      <w:color w:val="auto"/>
                      <w:szCs w:val="21"/>
                    </w:rPr>
                    <w:t>.15</w:t>
                  </w:r>
                </w:p>
              </w:tc>
              <w:tc>
                <w:tcPr>
                  <w:tcW w:w="2399" w:type="pct"/>
                  <w:vMerge w:val="continue"/>
                  <w:vAlign w:val="center"/>
                </w:tcPr>
                <w:p w14:paraId="348FD6C5">
                  <w:pPr>
                    <w:widowControl/>
                    <w:jc w:val="left"/>
                    <w:rPr>
                      <w:color w:val="auto"/>
                      <w:szCs w:val="21"/>
                    </w:rPr>
                  </w:pPr>
                </w:p>
              </w:tc>
            </w:tr>
            <w:tr w14:paraId="302E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83" w:type="pct"/>
                  <w:vMerge w:val="restart"/>
                  <w:vAlign w:val="center"/>
                </w:tcPr>
                <w:p w14:paraId="26F539DA">
                  <w:pPr>
                    <w:spacing w:line="0" w:lineRule="atLeast"/>
                    <w:jc w:val="center"/>
                    <w:rPr>
                      <w:color w:val="auto"/>
                      <w:szCs w:val="21"/>
                    </w:rPr>
                  </w:pPr>
                  <w:r>
                    <w:rPr>
                      <w:color w:val="auto"/>
                    </w:rPr>
                    <w:t>北侧厂界</w:t>
                  </w:r>
                </w:p>
              </w:tc>
              <w:tc>
                <w:tcPr>
                  <w:tcW w:w="800" w:type="pct"/>
                  <w:vAlign w:val="center"/>
                </w:tcPr>
                <w:p w14:paraId="4D08F00C">
                  <w:pPr>
                    <w:spacing w:line="0" w:lineRule="atLeast"/>
                    <w:jc w:val="center"/>
                    <w:rPr>
                      <w:color w:val="auto"/>
                      <w:szCs w:val="21"/>
                    </w:rPr>
                  </w:pPr>
                  <w:r>
                    <w:rPr>
                      <w:color w:val="auto"/>
                    </w:rPr>
                    <w:t>昼</w:t>
                  </w:r>
                </w:p>
              </w:tc>
              <w:tc>
                <w:tcPr>
                  <w:tcW w:w="1117" w:type="pct"/>
                  <w:vAlign w:val="center"/>
                </w:tcPr>
                <w:p w14:paraId="5BEB1D02">
                  <w:pPr>
                    <w:jc w:val="center"/>
                    <w:rPr>
                      <w:rFonts w:hint="eastAsia" w:eastAsia="宋体"/>
                      <w:color w:val="auto"/>
                      <w:szCs w:val="21"/>
                      <w:lang w:eastAsia="zh-CN"/>
                    </w:rPr>
                  </w:pPr>
                  <w:r>
                    <w:rPr>
                      <w:rFonts w:hint="eastAsia"/>
                      <w:color w:val="auto"/>
                      <w:szCs w:val="21"/>
                    </w:rPr>
                    <w:t>27.7</w:t>
                  </w:r>
                  <w:r>
                    <w:rPr>
                      <w:rFonts w:hint="eastAsia"/>
                      <w:color w:val="auto"/>
                      <w:szCs w:val="21"/>
                      <w:lang w:val="en-US" w:eastAsia="zh-CN"/>
                    </w:rPr>
                    <w:t>0</w:t>
                  </w:r>
                </w:p>
              </w:tc>
              <w:tc>
                <w:tcPr>
                  <w:tcW w:w="2399" w:type="pct"/>
                  <w:vMerge w:val="continue"/>
                  <w:vAlign w:val="center"/>
                </w:tcPr>
                <w:p w14:paraId="7CAC38D2">
                  <w:pPr>
                    <w:widowControl/>
                    <w:jc w:val="left"/>
                    <w:rPr>
                      <w:color w:val="auto"/>
                      <w:szCs w:val="21"/>
                    </w:rPr>
                  </w:pPr>
                </w:p>
              </w:tc>
            </w:tr>
            <w:tr w14:paraId="16C98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83" w:type="pct"/>
                  <w:vMerge w:val="continue"/>
                  <w:vAlign w:val="center"/>
                </w:tcPr>
                <w:p w14:paraId="7E934694">
                  <w:pPr>
                    <w:spacing w:line="0" w:lineRule="atLeast"/>
                    <w:jc w:val="center"/>
                    <w:rPr>
                      <w:color w:val="auto"/>
                    </w:rPr>
                  </w:pPr>
                </w:p>
              </w:tc>
              <w:tc>
                <w:tcPr>
                  <w:tcW w:w="800" w:type="pct"/>
                  <w:vAlign w:val="center"/>
                </w:tcPr>
                <w:p w14:paraId="52A82778">
                  <w:pPr>
                    <w:spacing w:line="0" w:lineRule="atLeast"/>
                    <w:jc w:val="center"/>
                    <w:rPr>
                      <w:color w:val="auto"/>
                    </w:rPr>
                  </w:pPr>
                  <w:r>
                    <w:rPr>
                      <w:color w:val="auto"/>
                    </w:rPr>
                    <w:t>夜</w:t>
                  </w:r>
                </w:p>
              </w:tc>
              <w:tc>
                <w:tcPr>
                  <w:tcW w:w="1117" w:type="pct"/>
                  <w:vAlign w:val="center"/>
                </w:tcPr>
                <w:p w14:paraId="0DE93B6D">
                  <w:pPr>
                    <w:jc w:val="center"/>
                    <w:rPr>
                      <w:rFonts w:hint="eastAsia" w:eastAsia="宋体"/>
                      <w:color w:val="auto"/>
                      <w:szCs w:val="21"/>
                      <w:lang w:eastAsia="zh-CN"/>
                    </w:rPr>
                  </w:pPr>
                  <w:r>
                    <w:rPr>
                      <w:rFonts w:hint="eastAsia"/>
                      <w:color w:val="auto"/>
                      <w:szCs w:val="21"/>
                    </w:rPr>
                    <w:t>27.7</w:t>
                  </w:r>
                  <w:r>
                    <w:rPr>
                      <w:rFonts w:hint="eastAsia"/>
                      <w:color w:val="auto"/>
                      <w:szCs w:val="21"/>
                      <w:lang w:val="en-US" w:eastAsia="zh-CN"/>
                    </w:rPr>
                    <w:t>0</w:t>
                  </w:r>
                </w:p>
              </w:tc>
              <w:tc>
                <w:tcPr>
                  <w:tcW w:w="2399" w:type="pct"/>
                  <w:vMerge w:val="continue"/>
                  <w:vAlign w:val="center"/>
                </w:tcPr>
                <w:p w14:paraId="6334AE18">
                  <w:pPr>
                    <w:widowControl/>
                    <w:jc w:val="left"/>
                    <w:rPr>
                      <w:color w:val="auto"/>
                      <w:szCs w:val="21"/>
                    </w:rPr>
                  </w:pPr>
                </w:p>
              </w:tc>
            </w:tr>
          </w:tbl>
          <w:p w14:paraId="0DF0A1E2">
            <w:pPr>
              <w:autoSpaceDE w:val="0"/>
              <w:autoSpaceDN w:val="0"/>
              <w:spacing w:line="360" w:lineRule="auto"/>
              <w:ind w:firstLine="480" w:firstLineChars="200"/>
              <w:contextualSpacing/>
              <w:rPr>
                <w:rFonts w:eastAsiaTheme="minorEastAsia"/>
                <w:color w:val="auto"/>
                <w:sz w:val="24"/>
              </w:rPr>
            </w:pPr>
            <w:r>
              <w:rPr>
                <w:color w:val="auto"/>
                <w:sz w:val="24"/>
              </w:rPr>
              <w:t>本项目采取</w:t>
            </w:r>
            <w:r>
              <w:rPr>
                <w:bCs/>
                <w:color w:val="auto"/>
                <w:sz w:val="24"/>
              </w:rPr>
              <w:t>基础减振设施，调整平面布置，高噪声设备远离厂界，选用低噪声设备，</w:t>
            </w:r>
            <w:r>
              <w:rPr>
                <w:color w:val="auto"/>
                <w:sz w:val="24"/>
              </w:rPr>
              <w:t>限速行驶，禁止鸣笛等措施。</w:t>
            </w:r>
            <w:r>
              <w:rPr>
                <w:rFonts w:hint="eastAsia" w:eastAsiaTheme="minorEastAsia"/>
                <w:color w:val="auto"/>
                <w:sz w:val="24"/>
              </w:rPr>
              <w:t>厂界噪声满足</w:t>
            </w:r>
            <w:r>
              <w:rPr>
                <w:rFonts w:eastAsiaTheme="minorEastAsia"/>
                <w:color w:val="auto"/>
                <w:sz w:val="24"/>
              </w:rPr>
              <w:t>《工业企业厂界环境噪声排放标准》(GB12348-2008)</w:t>
            </w:r>
            <w:r>
              <w:rPr>
                <w:rFonts w:hint="eastAsia" w:eastAsiaTheme="minorEastAsia"/>
                <w:color w:val="auto"/>
                <w:sz w:val="24"/>
              </w:rPr>
              <w:t>2</w:t>
            </w:r>
            <w:r>
              <w:rPr>
                <w:rFonts w:eastAsiaTheme="minorEastAsia"/>
                <w:color w:val="auto"/>
                <w:sz w:val="24"/>
              </w:rPr>
              <w:t>类标准（昼间≤</w:t>
            </w:r>
            <w:r>
              <w:rPr>
                <w:rFonts w:hint="eastAsia" w:eastAsiaTheme="minorEastAsia"/>
                <w:color w:val="auto"/>
                <w:sz w:val="24"/>
              </w:rPr>
              <w:t>60</w:t>
            </w:r>
            <w:r>
              <w:rPr>
                <w:rFonts w:eastAsiaTheme="minorEastAsia"/>
                <w:color w:val="auto"/>
                <w:sz w:val="24"/>
              </w:rPr>
              <w:t>dB（A））。</w:t>
            </w:r>
          </w:p>
          <w:p w14:paraId="2D8F6D8A">
            <w:pPr>
              <w:spacing w:line="360" w:lineRule="auto"/>
              <w:ind w:firstLine="482" w:firstLineChars="200"/>
              <w:contextualSpacing/>
              <w:rPr>
                <w:b/>
                <w:bCs/>
                <w:color w:val="auto"/>
                <w:sz w:val="24"/>
              </w:rPr>
            </w:pPr>
            <w:r>
              <w:rPr>
                <w:b/>
                <w:bCs/>
                <w:color w:val="auto"/>
                <w:sz w:val="24"/>
              </w:rPr>
              <w:t>（四）固废</w:t>
            </w:r>
          </w:p>
          <w:p w14:paraId="3B9062DA">
            <w:pPr>
              <w:spacing w:line="360" w:lineRule="auto"/>
              <w:ind w:firstLine="482" w:firstLineChars="200"/>
              <w:contextualSpacing/>
              <w:rPr>
                <w:b/>
                <w:bCs/>
                <w:color w:val="auto"/>
                <w:sz w:val="24"/>
              </w:rPr>
            </w:pPr>
            <w:r>
              <w:rPr>
                <w:b/>
                <w:bCs/>
                <w:color w:val="auto"/>
                <w:sz w:val="24"/>
              </w:rPr>
              <w:t>1、固体废物产生情况</w:t>
            </w:r>
          </w:p>
          <w:p w14:paraId="754E0A03">
            <w:pPr>
              <w:spacing w:line="360" w:lineRule="auto"/>
              <w:ind w:firstLine="480" w:firstLineChars="200"/>
              <w:rPr>
                <w:rFonts w:eastAsiaTheme="minorEastAsia"/>
                <w:color w:val="auto"/>
                <w:sz w:val="24"/>
              </w:rPr>
            </w:pPr>
            <w:r>
              <w:rPr>
                <w:rFonts w:eastAsiaTheme="minorEastAsia"/>
                <w:color w:val="auto"/>
                <w:sz w:val="24"/>
              </w:rPr>
              <w:t>本项目产生的固体废物主要有生活垃圾、除尘器收集粉尘、废布袋、</w:t>
            </w:r>
            <w:r>
              <w:rPr>
                <w:rFonts w:hint="eastAsia"/>
                <w:color w:val="auto"/>
                <w:sz w:val="24"/>
              </w:rPr>
              <w:t>实</w:t>
            </w:r>
            <w:r>
              <w:rPr>
                <w:color w:val="auto"/>
                <w:sz w:val="24"/>
              </w:rPr>
              <w:t>验室弃块、初期雨水池油污</w:t>
            </w:r>
            <w:r>
              <w:rPr>
                <w:rFonts w:hint="eastAsia"/>
                <w:color w:val="auto"/>
                <w:sz w:val="24"/>
              </w:rPr>
              <w:t>、</w:t>
            </w:r>
            <w:r>
              <w:rPr>
                <w:rFonts w:eastAsiaTheme="minorEastAsia"/>
                <w:color w:val="auto"/>
                <w:sz w:val="24"/>
              </w:rPr>
              <w:t>废</w:t>
            </w:r>
            <w:r>
              <w:rPr>
                <w:rFonts w:hint="eastAsia"/>
                <w:color w:val="auto"/>
                <w:sz w:val="24"/>
              </w:rPr>
              <w:t>活性</w:t>
            </w:r>
            <w:r>
              <w:rPr>
                <w:rFonts w:eastAsiaTheme="minorEastAsia"/>
                <w:color w:val="auto"/>
                <w:sz w:val="24"/>
              </w:rPr>
              <w:t>炭</w:t>
            </w:r>
            <w:r>
              <w:rPr>
                <w:rFonts w:eastAsiaTheme="minorEastAsia"/>
                <w:bCs/>
                <w:color w:val="auto"/>
                <w:sz w:val="24"/>
              </w:rPr>
              <w:t>、废油桶、废</w:t>
            </w:r>
            <w:r>
              <w:rPr>
                <w:rFonts w:hint="eastAsia" w:eastAsiaTheme="minorEastAsia"/>
                <w:bCs/>
                <w:color w:val="auto"/>
                <w:sz w:val="24"/>
              </w:rPr>
              <w:t>导热油</w:t>
            </w:r>
            <w:r>
              <w:rPr>
                <w:rFonts w:eastAsiaTheme="minorEastAsia"/>
                <w:color w:val="auto"/>
                <w:sz w:val="24"/>
              </w:rPr>
              <w:t>。</w:t>
            </w:r>
          </w:p>
          <w:p w14:paraId="436F21A8">
            <w:pPr>
              <w:spacing w:line="360" w:lineRule="auto"/>
              <w:ind w:firstLine="480" w:firstLineChars="200"/>
              <w:rPr>
                <w:rFonts w:hint="eastAsia"/>
                <w:bCs/>
                <w:color w:val="auto"/>
                <w:sz w:val="24"/>
                <w:lang w:val="en-US" w:eastAsia="zh-CN"/>
              </w:rPr>
            </w:pPr>
            <w:r>
              <w:rPr>
                <w:bCs/>
                <w:color w:val="auto"/>
                <w:sz w:val="24"/>
              </w:rPr>
              <w:t>本项目生活垃圾</w:t>
            </w:r>
            <w:r>
              <w:rPr>
                <w:rFonts w:hint="eastAsia"/>
                <w:color w:val="auto"/>
                <w:sz w:val="24"/>
              </w:rPr>
              <w:t>（SW64代码900-099-S64）</w:t>
            </w:r>
            <w:r>
              <w:rPr>
                <w:bCs/>
                <w:color w:val="auto"/>
                <w:sz w:val="24"/>
              </w:rPr>
              <w:t>按每人0.4kg/d计，生活垃圾产生量</w:t>
            </w:r>
            <w:r>
              <w:rPr>
                <w:rFonts w:hint="eastAsia"/>
                <w:bCs/>
                <w:color w:val="auto"/>
                <w:sz w:val="24"/>
              </w:rPr>
              <w:t>1.62</w:t>
            </w:r>
            <w:r>
              <w:rPr>
                <w:bCs/>
                <w:color w:val="auto"/>
                <w:sz w:val="24"/>
              </w:rPr>
              <w:t>t/a</w:t>
            </w:r>
            <w:r>
              <w:rPr>
                <w:rFonts w:hint="eastAsia"/>
                <w:bCs/>
                <w:color w:val="auto"/>
                <w:sz w:val="24"/>
                <w:lang w:val="en-US" w:eastAsia="zh-CN"/>
              </w:rPr>
              <w:t>.</w:t>
            </w:r>
          </w:p>
          <w:p w14:paraId="055AC378">
            <w:pPr>
              <w:spacing w:line="360" w:lineRule="auto"/>
              <w:ind w:firstLine="480" w:firstLineChars="200"/>
              <w:rPr>
                <w:rFonts w:hint="eastAsia" w:eastAsiaTheme="minorEastAsia"/>
                <w:color w:val="auto"/>
                <w:sz w:val="24"/>
                <w:lang w:eastAsia="zh-CN"/>
              </w:rPr>
            </w:pPr>
            <w:r>
              <w:rPr>
                <w:rFonts w:eastAsiaTheme="minorEastAsia"/>
                <w:color w:val="auto"/>
                <w:sz w:val="24"/>
              </w:rPr>
              <w:t>除尘器收集粉尘</w:t>
            </w:r>
            <w:r>
              <w:rPr>
                <w:rFonts w:hint="eastAsia"/>
                <w:color w:val="auto"/>
                <w:sz w:val="24"/>
              </w:rPr>
              <w:t>（SW59代码900-099-S59）</w:t>
            </w:r>
            <w:r>
              <w:rPr>
                <w:rFonts w:eastAsiaTheme="minorEastAsia"/>
                <w:color w:val="auto"/>
                <w:sz w:val="24"/>
              </w:rPr>
              <w:t>产生量为</w:t>
            </w:r>
            <w:r>
              <w:rPr>
                <w:rFonts w:hint="eastAsia" w:eastAsiaTheme="minorEastAsia"/>
                <w:color w:val="auto"/>
                <w:sz w:val="24"/>
                <w:lang w:val="en-US" w:eastAsia="zh-CN"/>
              </w:rPr>
              <w:t>400.2</w:t>
            </w:r>
            <w:r>
              <w:rPr>
                <w:rFonts w:eastAsiaTheme="minorEastAsia"/>
                <w:color w:val="auto"/>
                <w:sz w:val="24"/>
              </w:rPr>
              <w:t>t</w:t>
            </w:r>
            <w:r>
              <w:rPr>
                <w:rFonts w:eastAsiaTheme="minorEastAsia"/>
                <w:color w:val="auto"/>
                <w:sz w:val="24"/>
              </w:rPr>
              <w:t>/a，集中收集后</w:t>
            </w:r>
            <w:r>
              <w:rPr>
                <w:rFonts w:hint="eastAsia" w:hAnsiTheme="minorEastAsia" w:eastAsiaTheme="minorEastAsia"/>
                <w:color w:val="auto"/>
                <w:sz w:val="24"/>
              </w:rPr>
              <w:t>回用于</w:t>
            </w:r>
            <w:r>
              <w:rPr>
                <w:rFonts w:hAnsiTheme="minorEastAsia" w:eastAsiaTheme="minorEastAsia"/>
                <w:color w:val="auto"/>
                <w:sz w:val="24"/>
              </w:rPr>
              <w:t>生产</w:t>
            </w:r>
            <w:r>
              <w:rPr>
                <w:rFonts w:hint="eastAsia" w:eastAsiaTheme="minorEastAsia"/>
                <w:color w:val="auto"/>
                <w:sz w:val="24"/>
                <w:lang w:val="en-US" w:eastAsia="zh-CN"/>
              </w:rPr>
              <w:t>.</w:t>
            </w:r>
          </w:p>
          <w:p w14:paraId="484437A3">
            <w:pPr>
              <w:spacing w:line="360" w:lineRule="auto"/>
              <w:ind w:firstLine="480" w:firstLineChars="200"/>
              <w:rPr>
                <w:rFonts w:hint="eastAsia" w:eastAsiaTheme="minorEastAsia"/>
                <w:color w:val="auto"/>
                <w:sz w:val="24"/>
                <w:lang w:eastAsia="zh-CN"/>
              </w:rPr>
            </w:pPr>
            <w:r>
              <w:rPr>
                <w:rFonts w:hint="eastAsia" w:eastAsiaTheme="minorEastAsia"/>
                <w:color w:val="auto"/>
                <w:sz w:val="24"/>
              </w:rPr>
              <w:t>除尘</w:t>
            </w:r>
            <w:r>
              <w:rPr>
                <w:rFonts w:eastAsiaTheme="minorEastAsia"/>
                <w:color w:val="auto"/>
                <w:sz w:val="24"/>
              </w:rPr>
              <w:t>系统定期检修会产生废布袋</w:t>
            </w:r>
            <w:r>
              <w:rPr>
                <w:rFonts w:hint="eastAsia"/>
                <w:color w:val="auto"/>
                <w:sz w:val="24"/>
              </w:rPr>
              <w:t>（SW59代码900-009-S59）</w:t>
            </w:r>
            <w:r>
              <w:rPr>
                <w:rFonts w:eastAsiaTheme="minorEastAsia"/>
                <w:color w:val="auto"/>
                <w:sz w:val="24"/>
              </w:rPr>
              <w:t>，产生量为0.2t/3a，由市政环卫部门处理</w:t>
            </w:r>
            <w:r>
              <w:rPr>
                <w:rFonts w:hint="eastAsia" w:eastAsiaTheme="minorEastAsia"/>
                <w:color w:val="auto"/>
                <w:sz w:val="24"/>
                <w:lang w:val="en-US" w:eastAsia="zh-CN"/>
              </w:rPr>
              <w:t>.</w:t>
            </w:r>
          </w:p>
          <w:p w14:paraId="5FE163DE">
            <w:pPr>
              <w:spacing w:line="360" w:lineRule="auto"/>
              <w:ind w:firstLine="480" w:firstLineChars="200"/>
              <w:rPr>
                <w:rFonts w:eastAsiaTheme="minorEastAsia"/>
                <w:color w:val="auto"/>
                <w:sz w:val="24"/>
              </w:rPr>
            </w:pPr>
            <w:r>
              <w:rPr>
                <w:rFonts w:hint="eastAsia"/>
                <w:color w:val="auto"/>
                <w:sz w:val="24"/>
              </w:rPr>
              <w:t>实</w:t>
            </w:r>
            <w:r>
              <w:rPr>
                <w:color w:val="auto"/>
                <w:sz w:val="24"/>
              </w:rPr>
              <w:t>验室弃块</w:t>
            </w:r>
            <w:r>
              <w:rPr>
                <w:rFonts w:hint="eastAsia" w:hAnsi="宋体"/>
                <w:bCs/>
                <w:color w:val="auto"/>
                <w:sz w:val="24"/>
              </w:rPr>
              <w:t>（SW92代码900-001-S92）</w:t>
            </w:r>
            <w:r>
              <w:rPr>
                <w:rFonts w:eastAsiaTheme="minorEastAsia"/>
                <w:color w:val="auto"/>
                <w:sz w:val="24"/>
              </w:rPr>
              <w:t>产生量为</w:t>
            </w:r>
            <w:r>
              <w:rPr>
                <w:rFonts w:hint="eastAsia" w:eastAsiaTheme="minorEastAsia"/>
                <w:color w:val="auto"/>
                <w:sz w:val="24"/>
              </w:rPr>
              <w:t>0.1</w:t>
            </w:r>
            <w:r>
              <w:rPr>
                <w:rFonts w:eastAsiaTheme="minorEastAsia"/>
                <w:color w:val="auto"/>
                <w:sz w:val="24"/>
              </w:rPr>
              <w:t>t/a，</w:t>
            </w:r>
            <w:r>
              <w:rPr>
                <w:rFonts w:hint="eastAsia" w:eastAsiaTheme="minorEastAsia"/>
                <w:color w:val="auto"/>
                <w:sz w:val="24"/>
              </w:rPr>
              <w:t>外运</w:t>
            </w:r>
            <w:r>
              <w:rPr>
                <w:rFonts w:eastAsiaTheme="minorEastAsia"/>
                <w:color w:val="auto"/>
                <w:sz w:val="24"/>
              </w:rPr>
              <w:t>作为铺路材料。</w:t>
            </w:r>
          </w:p>
          <w:p w14:paraId="3EEE6C0E">
            <w:pPr>
              <w:spacing w:line="360" w:lineRule="auto"/>
              <w:ind w:firstLine="480" w:firstLineChars="200"/>
              <w:rPr>
                <w:rFonts w:eastAsiaTheme="minorEastAsia"/>
                <w:color w:val="auto"/>
                <w:sz w:val="24"/>
              </w:rPr>
            </w:pPr>
            <w:r>
              <w:rPr>
                <w:rFonts w:eastAsiaTheme="minorEastAsia"/>
                <w:color w:val="auto"/>
                <w:sz w:val="24"/>
              </w:rPr>
              <w:t>废</w:t>
            </w:r>
            <w:r>
              <w:rPr>
                <w:rFonts w:hint="eastAsia" w:eastAsiaTheme="minorEastAsia"/>
                <w:color w:val="auto"/>
                <w:sz w:val="24"/>
              </w:rPr>
              <w:t>导热油</w:t>
            </w:r>
            <w:r>
              <w:rPr>
                <w:rFonts w:eastAsiaTheme="minorEastAsia"/>
                <w:color w:val="auto"/>
                <w:sz w:val="24"/>
              </w:rPr>
              <w:t>（类别</w:t>
            </w:r>
            <w:r>
              <w:rPr>
                <w:rFonts w:eastAsiaTheme="minorEastAsia"/>
                <w:bCs/>
                <w:color w:val="auto"/>
                <w:sz w:val="24"/>
              </w:rPr>
              <w:t>HW08，代码：900-249-08</w:t>
            </w:r>
            <w:r>
              <w:rPr>
                <w:rFonts w:eastAsiaTheme="minorEastAsia"/>
                <w:color w:val="auto"/>
                <w:sz w:val="24"/>
              </w:rPr>
              <w:t>），产生量约为</w:t>
            </w:r>
            <w:r>
              <w:rPr>
                <w:rFonts w:hint="eastAsia" w:eastAsiaTheme="minorEastAsia"/>
                <w:color w:val="auto"/>
                <w:sz w:val="24"/>
              </w:rPr>
              <w:t>3t/3a</w:t>
            </w:r>
            <w:r>
              <w:rPr>
                <w:rFonts w:eastAsiaTheme="minorEastAsia"/>
                <w:color w:val="auto"/>
                <w:sz w:val="24"/>
              </w:rPr>
              <w:t>。</w:t>
            </w:r>
          </w:p>
          <w:p w14:paraId="0007B718">
            <w:pPr>
              <w:spacing w:line="360" w:lineRule="auto"/>
              <w:ind w:firstLine="480" w:firstLineChars="200"/>
              <w:rPr>
                <w:rFonts w:eastAsiaTheme="minorEastAsia"/>
                <w:color w:val="auto"/>
                <w:sz w:val="24"/>
              </w:rPr>
            </w:pPr>
            <w:r>
              <w:rPr>
                <w:rFonts w:eastAsiaTheme="minorEastAsia"/>
                <w:color w:val="auto"/>
                <w:sz w:val="24"/>
              </w:rPr>
              <w:t>废</w:t>
            </w:r>
            <w:r>
              <w:rPr>
                <w:rFonts w:hint="eastAsia" w:eastAsiaTheme="minorEastAsia"/>
                <w:color w:val="auto"/>
                <w:sz w:val="24"/>
              </w:rPr>
              <w:t>油桶</w:t>
            </w:r>
            <w:r>
              <w:rPr>
                <w:rFonts w:eastAsiaTheme="minorEastAsia"/>
                <w:color w:val="auto"/>
                <w:sz w:val="24"/>
              </w:rPr>
              <w:t>（类别HW</w:t>
            </w:r>
            <w:r>
              <w:rPr>
                <w:rFonts w:hint="eastAsia" w:eastAsiaTheme="minorEastAsia"/>
                <w:color w:val="auto"/>
                <w:sz w:val="24"/>
              </w:rPr>
              <w:t>08</w:t>
            </w:r>
            <w:r>
              <w:rPr>
                <w:rFonts w:eastAsiaTheme="minorEastAsia"/>
                <w:color w:val="auto"/>
                <w:sz w:val="24"/>
              </w:rPr>
              <w:t>；代码：900-</w:t>
            </w:r>
            <w:r>
              <w:rPr>
                <w:rFonts w:eastAsiaTheme="minorEastAsia"/>
                <w:bCs/>
                <w:color w:val="auto"/>
                <w:sz w:val="24"/>
              </w:rPr>
              <w:t>249-08</w:t>
            </w:r>
            <w:r>
              <w:rPr>
                <w:rFonts w:eastAsiaTheme="minorEastAsia"/>
                <w:color w:val="auto"/>
                <w:sz w:val="24"/>
              </w:rPr>
              <w:t>），产生量约为</w:t>
            </w:r>
            <w:r>
              <w:rPr>
                <w:rFonts w:hint="eastAsia" w:eastAsiaTheme="minorEastAsia"/>
                <w:color w:val="auto"/>
                <w:sz w:val="24"/>
              </w:rPr>
              <w:t>0.01</w:t>
            </w:r>
            <w:r>
              <w:rPr>
                <w:rFonts w:eastAsiaTheme="minorEastAsia"/>
                <w:color w:val="auto"/>
                <w:sz w:val="24"/>
              </w:rPr>
              <w:t>t/</w:t>
            </w:r>
            <w:r>
              <w:rPr>
                <w:rFonts w:hint="eastAsia" w:eastAsiaTheme="minorEastAsia"/>
                <w:color w:val="auto"/>
                <w:sz w:val="24"/>
              </w:rPr>
              <w:t>3</w:t>
            </w:r>
            <w:r>
              <w:rPr>
                <w:rFonts w:eastAsiaTheme="minorEastAsia"/>
                <w:color w:val="auto"/>
                <w:sz w:val="24"/>
              </w:rPr>
              <w:t>a</w:t>
            </w:r>
            <w:r>
              <w:rPr>
                <w:rFonts w:hint="eastAsia" w:eastAsiaTheme="minorEastAsia"/>
                <w:color w:val="auto"/>
                <w:sz w:val="24"/>
              </w:rPr>
              <w:t>。</w:t>
            </w:r>
            <w:r>
              <w:rPr>
                <w:color w:val="auto"/>
                <w:sz w:val="24"/>
              </w:rPr>
              <w:t>初期雨水池油污（类别</w:t>
            </w:r>
            <w:r>
              <w:rPr>
                <w:bCs/>
                <w:color w:val="auto"/>
                <w:sz w:val="24"/>
              </w:rPr>
              <w:t>HW08，代码：900-2</w:t>
            </w:r>
            <w:r>
              <w:rPr>
                <w:rFonts w:hint="eastAsia"/>
                <w:bCs/>
                <w:color w:val="auto"/>
                <w:sz w:val="24"/>
              </w:rPr>
              <w:t>10</w:t>
            </w:r>
            <w:r>
              <w:rPr>
                <w:bCs/>
                <w:color w:val="auto"/>
                <w:sz w:val="24"/>
              </w:rPr>
              <w:t>-08</w:t>
            </w:r>
            <w:r>
              <w:rPr>
                <w:color w:val="auto"/>
                <w:sz w:val="24"/>
              </w:rPr>
              <w:t>）</w:t>
            </w:r>
            <w:r>
              <w:rPr>
                <w:rFonts w:hint="eastAsia"/>
                <w:color w:val="auto"/>
                <w:sz w:val="24"/>
              </w:rPr>
              <w:t>，</w:t>
            </w:r>
            <w:r>
              <w:rPr>
                <w:rFonts w:eastAsiaTheme="minorEastAsia"/>
                <w:color w:val="auto"/>
                <w:sz w:val="24"/>
              </w:rPr>
              <w:t>产生量约为</w:t>
            </w:r>
            <w:r>
              <w:rPr>
                <w:rFonts w:hint="eastAsia" w:eastAsiaTheme="minorEastAsia"/>
                <w:color w:val="auto"/>
                <w:sz w:val="24"/>
              </w:rPr>
              <w:t>0.001t/a</w:t>
            </w:r>
            <w:r>
              <w:rPr>
                <w:rFonts w:eastAsiaTheme="minorEastAsia"/>
                <w:color w:val="auto"/>
                <w:sz w:val="24"/>
              </w:rPr>
              <w:t>。</w:t>
            </w:r>
          </w:p>
          <w:p w14:paraId="3C0942EE">
            <w:pPr>
              <w:spacing w:line="360" w:lineRule="auto"/>
              <w:ind w:firstLine="480" w:firstLineChars="200"/>
              <w:rPr>
                <w:rFonts w:eastAsiaTheme="minorEastAsia"/>
                <w:color w:val="auto"/>
                <w:sz w:val="24"/>
              </w:rPr>
            </w:pPr>
            <w:r>
              <w:rPr>
                <w:rFonts w:eastAsiaTheme="minorEastAsia"/>
                <w:color w:val="auto"/>
                <w:sz w:val="24"/>
              </w:rPr>
              <w:t>废</w:t>
            </w:r>
            <w:r>
              <w:rPr>
                <w:rFonts w:hint="eastAsia"/>
                <w:color w:val="auto"/>
                <w:sz w:val="24"/>
              </w:rPr>
              <w:t>活性</w:t>
            </w:r>
            <w:r>
              <w:rPr>
                <w:rFonts w:eastAsiaTheme="minorEastAsia"/>
                <w:color w:val="auto"/>
                <w:sz w:val="24"/>
              </w:rPr>
              <w:t>炭（类别HW49；代码：900-041-49），考虑到</w:t>
            </w:r>
            <w:r>
              <w:rPr>
                <w:rFonts w:hint="eastAsia" w:eastAsiaTheme="minorEastAsia"/>
                <w:color w:val="auto"/>
                <w:sz w:val="24"/>
              </w:rPr>
              <w:t>高</w:t>
            </w:r>
            <w:r>
              <w:rPr>
                <w:rFonts w:eastAsiaTheme="minorEastAsia"/>
                <w:color w:val="auto"/>
                <w:sz w:val="24"/>
              </w:rPr>
              <w:t>碘值炭吸附能力到一定程度后，不能有效处理废气，建议建设单位每个月更换一次活性炭，保持活性炭的吸附能力，产生量约为</w:t>
            </w:r>
            <w:r>
              <w:rPr>
                <w:rFonts w:hint="eastAsia" w:eastAsiaTheme="minorEastAsia"/>
                <w:color w:val="auto"/>
                <w:sz w:val="24"/>
              </w:rPr>
              <w:t>3.6</w:t>
            </w:r>
            <w:r>
              <w:rPr>
                <w:rFonts w:eastAsiaTheme="minorEastAsia"/>
                <w:color w:val="auto"/>
                <w:sz w:val="24"/>
              </w:rPr>
              <w:t>t/a。根据《国家危险废物名录》（2021版本），废导热油（类别</w:t>
            </w:r>
            <w:r>
              <w:rPr>
                <w:rFonts w:eastAsiaTheme="minorEastAsia"/>
                <w:bCs/>
                <w:color w:val="auto"/>
                <w:sz w:val="24"/>
              </w:rPr>
              <w:t>HW08，代码：900-249-08</w:t>
            </w:r>
            <w:r>
              <w:rPr>
                <w:rFonts w:eastAsiaTheme="minorEastAsia"/>
                <w:color w:val="auto"/>
                <w:sz w:val="24"/>
              </w:rPr>
              <w:t>）、废活性炭（类别HW49；代码：900-0</w:t>
            </w:r>
            <w:r>
              <w:rPr>
                <w:rFonts w:hint="eastAsia" w:eastAsiaTheme="minorEastAsia"/>
                <w:color w:val="auto"/>
                <w:sz w:val="24"/>
              </w:rPr>
              <w:t>39</w:t>
            </w:r>
            <w:r>
              <w:rPr>
                <w:rFonts w:eastAsiaTheme="minorEastAsia"/>
                <w:color w:val="auto"/>
                <w:sz w:val="24"/>
              </w:rPr>
              <w:t>-49）、废油桶（类别</w:t>
            </w:r>
            <w:r>
              <w:rPr>
                <w:rFonts w:eastAsiaTheme="minorEastAsia"/>
                <w:bCs/>
                <w:color w:val="auto"/>
                <w:sz w:val="24"/>
              </w:rPr>
              <w:t>HW08，代码：900-249-08</w:t>
            </w:r>
            <w:r>
              <w:rPr>
                <w:rFonts w:eastAsiaTheme="minorEastAsia"/>
                <w:color w:val="auto"/>
                <w:sz w:val="24"/>
              </w:rPr>
              <w:t>）为危险废物，</w:t>
            </w:r>
            <w:r>
              <w:rPr>
                <w:rFonts w:hint="eastAsia" w:eastAsiaTheme="minorEastAsia"/>
                <w:color w:val="auto"/>
                <w:sz w:val="24"/>
              </w:rPr>
              <w:t>集中</w:t>
            </w:r>
            <w:r>
              <w:rPr>
                <w:rFonts w:eastAsiaTheme="minorEastAsia"/>
                <w:color w:val="auto"/>
                <w:sz w:val="24"/>
              </w:rPr>
              <w:t>收集后暂存于危险废物暂存间，</w:t>
            </w:r>
            <w:r>
              <w:rPr>
                <w:rFonts w:eastAsiaTheme="minorEastAsia"/>
                <w:bCs/>
                <w:color w:val="auto"/>
                <w:sz w:val="24"/>
              </w:rPr>
              <w:t>委托有资质单位处置</w:t>
            </w:r>
            <w:r>
              <w:rPr>
                <w:rFonts w:eastAsiaTheme="minorEastAsia"/>
                <w:color w:val="auto"/>
                <w:sz w:val="24"/>
              </w:rPr>
              <w:t>。</w:t>
            </w:r>
          </w:p>
          <w:p w14:paraId="321B2B4B">
            <w:pPr>
              <w:jc w:val="center"/>
              <w:rPr>
                <w:rFonts w:eastAsiaTheme="minorEastAsia"/>
                <w:b/>
                <w:color w:val="auto"/>
                <w:sz w:val="24"/>
              </w:rPr>
            </w:pPr>
            <w:r>
              <w:rPr>
                <w:rFonts w:eastAsiaTheme="minorEastAsia"/>
                <w:b/>
                <w:color w:val="auto"/>
                <w:sz w:val="24"/>
              </w:rPr>
              <w:t>表</w:t>
            </w:r>
            <w:r>
              <w:rPr>
                <w:rFonts w:hint="eastAsia" w:eastAsiaTheme="minorEastAsia"/>
                <w:b/>
                <w:color w:val="auto"/>
                <w:sz w:val="24"/>
                <w:lang w:val="en-US" w:eastAsia="zh-CN"/>
              </w:rPr>
              <w:t>4-10</w:t>
            </w:r>
            <w:r>
              <w:rPr>
                <w:rFonts w:eastAsiaTheme="minorEastAsia"/>
                <w:b/>
                <w:color w:val="auto"/>
                <w:sz w:val="24"/>
              </w:rPr>
              <w:t>项目固体废物汇总表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2"/>
              <w:gridCol w:w="790"/>
              <w:gridCol w:w="4"/>
              <w:gridCol w:w="1499"/>
              <w:gridCol w:w="4"/>
              <w:gridCol w:w="850"/>
              <w:gridCol w:w="4"/>
              <w:gridCol w:w="415"/>
              <w:gridCol w:w="4"/>
              <w:gridCol w:w="670"/>
              <w:gridCol w:w="4"/>
              <w:gridCol w:w="884"/>
              <w:gridCol w:w="4"/>
              <w:gridCol w:w="558"/>
              <w:gridCol w:w="4"/>
              <w:gridCol w:w="1192"/>
              <w:gridCol w:w="4"/>
              <w:gridCol w:w="885"/>
            </w:tblGrid>
            <w:tr w14:paraId="5F588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65" w:type="pct"/>
                  <w:gridSpan w:val="2"/>
                  <w:vAlign w:val="center"/>
                </w:tcPr>
                <w:p w14:paraId="77CB1F38">
                  <w:pPr>
                    <w:spacing w:line="0" w:lineRule="atLeast"/>
                    <w:jc w:val="center"/>
                    <w:rPr>
                      <w:rFonts w:eastAsiaTheme="minorEastAsia"/>
                      <w:color w:val="auto"/>
                      <w:szCs w:val="21"/>
                    </w:rPr>
                  </w:pPr>
                  <w:r>
                    <w:rPr>
                      <w:rFonts w:hint="eastAsia" w:hAnsiTheme="minorEastAsia" w:eastAsiaTheme="minorEastAsia"/>
                      <w:color w:val="auto"/>
                      <w:szCs w:val="21"/>
                    </w:rPr>
                    <w:t>产污环节</w:t>
                  </w:r>
                </w:p>
              </w:tc>
              <w:tc>
                <w:tcPr>
                  <w:tcW w:w="473" w:type="pct"/>
                  <w:gridSpan w:val="2"/>
                  <w:vAlign w:val="center"/>
                </w:tcPr>
                <w:p w14:paraId="1E24183A">
                  <w:pPr>
                    <w:spacing w:line="0" w:lineRule="atLeast"/>
                    <w:jc w:val="center"/>
                    <w:rPr>
                      <w:rFonts w:eastAsiaTheme="minorEastAsia"/>
                      <w:color w:val="auto"/>
                      <w:szCs w:val="21"/>
                    </w:rPr>
                  </w:pPr>
                  <w:r>
                    <w:rPr>
                      <w:rFonts w:hAnsiTheme="minorEastAsia" w:eastAsiaTheme="minorEastAsia"/>
                      <w:color w:val="auto"/>
                      <w:szCs w:val="21"/>
                    </w:rPr>
                    <w:t>固体废物名称</w:t>
                  </w:r>
                </w:p>
              </w:tc>
              <w:tc>
                <w:tcPr>
                  <w:tcW w:w="895" w:type="pct"/>
                  <w:gridSpan w:val="2"/>
                  <w:vAlign w:val="center"/>
                </w:tcPr>
                <w:p w14:paraId="318F6883">
                  <w:pPr>
                    <w:spacing w:line="0" w:lineRule="atLeast"/>
                    <w:jc w:val="center"/>
                    <w:rPr>
                      <w:rFonts w:eastAsiaTheme="minorEastAsia"/>
                      <w:color w:val="auto"/>
                      <w:szCs w:val="21"/>
                    </w:rPr>
                  </w:pPr>
                  <w:r>
                    <w:rPr>
                      <w:rFonts w:hAnsiTheme="minorEastAsia" w:eastAsiaTheme="minorEastAsia"/>
                      <w:color w:val="auto"/>
                      <w:szCs w:val="21"/>
                    </w:rPr>
                    <w:t>固体废物属性及编码</w:t>
                  </w:r>
                </w:p>
              </w:tc>
              <w:tc>
                <w:tcPr>
                  <w:tcW w:w="508" w:type="pct"/>
                  <w:gridSpan w:val="2"/>
                  <w:vAlign w:val="center"/>
                </w:tcPr>
                <w:p w14:paraId="3221B8D5">
                  <w:pPr>
                    <w:spacing w:line="0" w:lineRule="atLeast"/>
                    <w:jc w:val="center"/>
                    <w:rPr>
                      <w:rFonts w:eastAsiaTheme="minorEastAsia"/>
                      <w:color w:val="auto"/>
                      <w:szCs w:val="21"/>
                    </w:rPr>
                  </w:pPr>
                  <w:r>
                    <w:rPr>
                      <w:rFonts w:hint="eastAsia" w:eastAsiaTheme="minorEastAsia"/>
                      <w:color w:val="auto"/>
                      <w:szCs w:val="21"/>
                    </w:rPr>
                    <w:t>主要有毒有害物质名称</w:t>
                  </w:r>
                </w:p>
              </w:tc>
              <w:tc>
                <w:tcPr>
                  <w:tcW w:w="249" w:type="pct"/>
                  <w:gridSpan w:val="2"/>
                  <w:vAlign w:val="center"/>
                </w:tcPr>
                <w:p w14:paraId="7979DFE1">
                  <w:pPr>
                    <w:spacing w:line="0" w:lineRule="atLeast"/>
                    <w:jc w:val="center"/>
                    <w:rPr>
                      <w:rFonts w:eastAsiaTheme="minorEastAsia"/>
                      <w:color w:val="auto"/>
                      <w:szCs w:val="21"/>
                    </w:rPr>
                  </w:pPr>
                  <w:r>
                    <w:rPr>
                      <w:rFonts w:hint="eastAsia" w:eastAsiaTheme="minorEastAsia"/>
                      <w:color w:val="auto"/>
                      <w:szCs w:val="21"/>
                    </w:rPr>
                    <w:t>物理性状</w:t>
                  </w:r>
                </w:p>
              </w:tc>
              <w:tc>
                <w:tcPr>
                  <w:tcW w:w="401" w:type="pct"/>
                  <w:gridSpan w:val="2"/>
                  <w:vAlign w:val="center"/>
                </w:tcPr>
                <w:p w14:paraId="175233F1">
                  <w:pPr>
                    <w:spacing w:line="0" w:lineRule="atLeast"/>
                    <w:jc w:val="center"/>
                    <w:rPr>
                      <w:rFonts w:eastAsiaTheme="minorEastAsia"/>
                      <w:color w:val="auto"/>
                      <w:szCs w:val="21"/>
                    </w:rPr>
                  </w:pPr>
                  <w:r>
                    <w:rPr>
                      <w:rFonts w:hint="eastAsia" w:eastAsiaTheme="minorEastAsia"/>
                      <w:color w:val="auto"/>
                      <w:szCs w:val="21"/>
                    </w:rPr>
                    <w:t>环境危险特性</w:t>
                  </w:r>
                </w:p>
              </w:tc>
              <w:tc>
                <w:tcPr>
                  <w:tcW w:w="529" w:type="pct"/>
                  <w:gridSpan w:val="2"/>
                  <w:vAlign w:val="center"/>
                </w:tcPr>
                <w:p w14:paraId="2C92E81C">
                  <w:pPr>
                    <w:spacing w:line="0" w:lineRule="atLeast"/>
                    <w:jc w:val="center"/>
                    <w:rPr>
                      <w:rFonts w:eastAsiaTheme="minorEastAsia"/>
                      <w:color w:val="auto"/>
                      <w:szCs w:val="21"/>
                    </w:rPr>
                  </w:pPr>
                  <w:r>
                    <w:rPr>
                      <w:rFonts w:hAnsiTheme="minorEastAsia" w:eastAsiaTheme="minorEastAsia"/>
                      <w:color w:val="auto"/>
                      <w:szCs w:val="21"/>
                    </w:rPr>
                    <w:t>年度产生量</w:t>
                  </w:r>
                </w:p>
              </w:tc>
              <w:tc>
                <w:tcPr>
                  <w:tcW w:w="334" w:type="pct"/>
                  <w:gridSpan w:val="2"/>
                  <w:vAlign w:val="center"/>
                </w:tcPr>
                <w:p w14:paraId="419526C8">
                  <w:pPr>
                    <w:spacing w:line="0" w:lineRule="atLeast"/>
                    <w:jc w:val="center"/>
                    <w:rPr>
                      <w:rFonts w:eastAsiaTheme="minorEastAsia"/>
                      <w:color w:val="auto"/>
                      <w:szCs w:val="21"/>
                    </w:rPr>
                  </w:pPr>
                  <w:r>
                    <w:rPr>
                      <w:rFonts w:hint="eastAsia" w:eastAsiaTheme="minorEastAsia"/>
                      <w:color w:val="auto"/>
                      <w:szCs w:val="21"/>
                    </w:rPr>
                    <w:t>贮存</w:t>
                  </w:r>
                </w:p>
                <w:p w14:paraId="00EC6FFF">
                  <w:pPr>
                    <w:spacing w:line="0" w:lineRule="atLeast"/>
                    <w:jc w:val="center"/>
                    <w:rPr>
                      <w:rFonts w:eastAsiaTheme="minorEastAsia"/>
                      <w:color w:val="auto"/>
                      <w:szCs w:val="21"/>
                    </w:rPr>
                  </w:pPr>
                  <w:r>
                    <w:rPr>
                      <w:rFonts w:hint="eastAsia" w:eastAsiaTheme="minorEastAsia"/>
                      <w:color w:val="auto"/>
                      <w:szCs w:val="21"/>
                    </w:rPr>
                    <w:t>方式</w:t>
                  </w:r>
                </w:p>
              </w:tc>
              <w:tc>
                <w:tcPr>
                  <w:tcW w:w="712" w:type="pct"/>
                  <w:gridSpan w:val="2"/>
                  <w:vAlign w:val="center"/>
                </w:tcPr>
                <w:p w14:paraId="45AD29F5">
                  <w:pPr>
                    <w:spacing w:line="0" w:lineRule="atLeast"/>
                    <w:jc w:val="center"/>
                    <w:rPr>
                      <w:rFonts w:eastAsiaTheme="minorEastAsia"/>
                      <w:color w:val="auto"/>
                      <w:szCs w:val="21"/>
                    </w:rPr>
                  </w:pPr>
                  <w:r>
                    <w:rPr>
                      <w:rFonts w:hint="eastAsia" w:hAnsiTheme="minorEastAsia" w:eastAsiaTheme="minorEastAsia"/>
                      <w:color w:val="auto"/>
                      <w:szCs w:val="21"/>
                    </w:rPr>
                    <w:t>利用处置方式或</w:t>
                  </w:r>
                  <w:r>
                    <w:rPr>
                      <w:rFonts w:hAnsiTheme="minorEastAsia" w:eastAsiaTheme="minorEastAsia"/>
                      <w:color w:val="auto"/>
                      <w:szCs w:val="21"/>
                    </w:rPr>
                    <w:t>去向</w:t>
                  </w:r>
                </w:p>
              </w:tc>
              <w:tc>
                <w:tcPr>
                  <w:tcW w:w="527" w:type="pct"/>
                  <w:vAlign w:val="center"/>
                </w:tcPr>
                <w:p w14:paraId="4328F1C2">
                  <w:pPr>
                    <w:spacing w:line="0" w:lineRule="atLeast"/>
                    <w:jc w:val="center"/>
                    <w:rPr>
                      <w:rFonts w:eastAsiaTheme="minorEastAsia"/>
                      <w:color w:val="auto"/>
                      <w:szCs w:val="21"/>
                    </w:rPr>
                  </w:pPr>
                  <w:r>
                    <w:rPr>
                      <w:rFonts w:eastAsiaTheme="minorEastAsia"/>
                      <w:color w:val="auto"/>
                      <w:szCs w:val="21"/>
                    </w:rPr>
                    <w:t>利用或处置量</w:t>
                  </w:r>
                </w:p>
              </w:tc>
            </w:tr>
            <w:tr w14:paraId="34F4E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5" w:type="pct"/>
                  <w:gridSpan w:val="2"/>
                  <w:shd w:val="clear" w:color="auto" w:fill="auto"/>
                  <w:vAlign w:val="center"/>
                </w:tcPr>
                <w:p w14:paraId="369D7A65">
                  <w:pPr>
                    <w:spacing w:line="0" w:lineRule="atLeast"/>
                    <w:jc w:val="center"/>
                    <w:rPr>
                      <w:rFonts w:eastAsiaTheme="minorEastAsia"/>
                      <w:color w:val="auto"/>
                      <w:szCs w:val="21"/>
                    </w:rPr>
                  </w:pPr>
                  <w:r>
                    <w:rPr>
                      <w:rFonts w:hint="eastAsia" w:hAnsiTheme="minorEastAsia" w:eastAsiaTheme="minorEastAsia"/>
                      <w:color w:val="auto"/>
                      <w:szCs w:val="21"/>
                    </w:rPr>
                    <w:t>生活</w:t>
                  </w:r>
                </w:p>
              </w:tc>
              <w:tc>
                <w:tcPr>
                  <w:tcW w:w="473" w:type="pct"/>
                  <w:gridSpan w:val="2"/>
                  <w:shd w:val="clear" w:color="auto" w:fill="auto"/>
                  <w:vAlign w:val="center"/>
                </w:tcPr>
                <w:p w14:paraId="35228BB5">
                  <w:pPr>
                    <w:spacing w:line="0" w:lineRule="atLeast"/>
                    <w:jc w:val="center"/>
                    <w:rPr>
                      <w:rFonts w:eastAsiaTheme="minorEastAsia"/>
                      <w:color w:val="auto"/>
                      <w:szCs w:val="21"/>
                    </w:rPr>
                  </w:pPr>
                  <w:r>
                    <w:rPr>
                      <w:rFonts w:hint="eastAsia" w:hAnsiTheme="minorEastAsia" w:eastAsiaTheme="minorEastAsia"/>
                      <w:bCs/>
                      <w:color w:val="auto"/>
                      <w:szCs w:val="21"/>
                    </w:rPr>
                    <w:t>生活垃圾</w:t>
                  </w:r>
                </w:p>
              </w:tc>
              <w:tc>
                <w:tcPr>
                  <w:tcW w:w="895" w:type="pct"/>
                  <w:gridSpan w:val="2"/>
                  <w:shd w:val="clear" w:color="auto" w:fill="auto"/>
                  <w:vAlign w:val="center"/>
                </w:tcPr>
                <w:p w14:paraId="203486CA">
                  <w:pPr>
                    <w:widowControl/>
                    <w:jc w:val="center"/>
                    <w:rPr>
                      <w:rFonts w:eastAsiaTheme="minorEastAsia"/>
                      <w:color w:val="auto"/>
                      <w:szCs w:val="21"/>
                    </w:rPr>
                  </w:pPr>
                  <w:r>
                    <w:rPr>
                      <w:rFonts w:hint="eastAsia" w:hAnsiTheme="minorEastAsia" w:eastAsiaTheme="minorEastAsia"/>
                      <w:bCs/>
                      <w:color w:val="auto"/>
                      <w:szCs w:val="21"/>
                    </w:rPr>
                    <w:t>生活垃圾</w:t>
                  </w:r>
                  <w:r>
                    <w:rPr>
                      <w:rFonts w:hint="eastAsia" w:eastAsiaTheme="minorEastAsia"/>
                      <w:color w:val="auto"/>
                      <w:szCs w:val="21"/>
                    </w:rPr>
                    <w:t>（SW64代码900-099-S64）</w:t>
                  </w:r>
                </w:p>
              </w:tc>
              <w:tc>
                <w:tcPr>
                  <w:tcW w:w="508" w:type="pct"/>
                  <w:gridSpan w:val="2"/>
                  <w:vAlign w:val="center"/>
                </w:tcPr>
                <w:p w14:paraId="05B77708">
                  <w:pPr>
                    <w:widowControl/>
                    <w:jc w:val="center"/>
                    <w:rPr>
                      <w:rFonts w:eastAsiaTheme="minorEastAsia"/>
                      <w:color w:val="auto"/>
                      <w:szCs w:val="21"/>
                    </w:rPr>
                  </w:pPr>
                  <w:r>
                    <w:rPr>
                      <w:rFonts w:hint="eastAsia" w:eastAsiaTheme="minorEastAsia"/>
                      <w:color w:val="auto"/>
                      <w:szCs w:val="21"/>
                    </w:rPr>
                    <w:t>/</w:t>
                  </w:r>
                </w:p>
              </w:tc>
              <w:tc>
                <w:tcPr>
                  <w:tcW w:w="249" w:type="pct"/>
                  <w:gridSpan w:val="2"/>
                  <w:shd w:val="clear" w:color="auto" w:fill="auto"/>
                  <w:vAlign w:val="center"/>
                </w:tcPr>
                <w:p w14:paraId="6E9494F9">
                  <w:pPr>
                    <w:widowControl/>
                    <w:jc w:val="center"/>
                    <w:rPr>
                      <w:rFonts w:eastAsiaTheme="minorEastAsia"/>
                      <w:color w:val="auto"/>
                      <w:szCs w:val="21"/>
                    </w:rPr>
                  </w:pPr>
                  <w:r>
                    <w:rPr>
                      <w:rFonts w:hint="eastAsia" w:eastAsiaTheme="minorEastAsia"/>
                      <w:color w:val="auto"/>
                      <w:szCs w:val="21"/>
                    </w:rPr>
                    <w:t>固态</w:t>
                  </w:r>
                </w:p>
              </w:tc>
              <w:tc>
                <w:tcPr>
                  <w:tcW w:w="401" w:type="pct"/>
                  <w:gridSpan w:val="2"/>
                  <w:shd w:val="clear" w:color="auto" w:fill="auto"/>
                  <w:vAlign w:val="center"/>
                </w:tcPr>
                <w:p w14:paraId="2CAA5A26">
                  <w:pPr>
                    <w:widowControl/>
                    <w:jc w:val="center"/>
                    <w:rPr>
                      <w:rFonts w:eastAsiaTheme="minorEastAsia"/>
                      <w:color w:val="auto"/>
                      <w:szCs w:val="21"/>
                    </w:rPr>
                  </w:pPr>
                  <w:r>
                    <w:rPr>
                      <w:rFonts w:hint="eastAsia" w:eastAsiaTheme="minorEastAsia"/>
                      <w:color w:val="auto"/>
                      <w:szCs w:val="21"/>
                    </w:rPr>
                    <w:t>/</w:t>
                  </w:r>
                </w:p>
              </w:tc>
              <w:tc>
                <w:tcPr>
                  <w:tcW w:w="529" w:type="pct"/>
                  <w:gridSpan w:val="2"/>
                  <w:tcBorders>
                    <w:top w:val="single" w:color="auto" w:sz="4" w:space="0"/>
                  </w:tcBorders>
                  <w:shd w:val="clear" w:color="auto" w:fill="FFFFFF"/>
                  <w:vAlign w:val="center"/>
                </w:tcPr>
                <w:p w14:paraId="6243F3FC">
                  <w:pPr>
                    <w:spacing w:line="0" w:lineRule="atLeast"/>
                    <w:jc w:val="center"/>
                    <w:rPr>
                      <w:color w:val="auto"/>
                      <w:szCs w:val="21"/>
                    </w:rPr>
                  </w:pPr>
                  <w:r>
                    <w:rPr>
                      <w:rFonts w:hint="eastAsia"/>
                      <w:color w:val="auto"/>
                      <w:szCs w:val="21"/>
                    </w:rPr>
                    <w:t>1.62</w:t>
                  </w:r>
                  <w:r>
                    <w:rPr>
                      <w:color w:val="auto"/>
                      <w:szCs w:val="21"/>
                    </w:rPr>
                    <w:t>t/a</w:t>
                  </w:r>
                </w:p>
              </w:tc>
              <w:tc>
                <w:tcPr>
                  <w:tcW w:w="334" w:type="pct"/>
                  <w:gridSpan w:val="2"/>
                  <w:tcBorders>
                    <w:top w:val="single" w:color="auto" w:sz="4" w:space="0"/>
                  </w:tcBorders>
                  <w:shd w:val="clear" w:color="auto" w:fill="auto"/>
                  <w:vAlign w:val="center"/>
                </w:tcPr>
                <w:p w14:paraId="4BEBACE7">
                  <w:pPr>
                    <w:spacing w:line="0" w:lineRule="atLeast"/>
                    <w:jc w:val="center"/>
                    <w:rPr>
                      <w:rFonts w:eastAsiaTheme="minorEastAsia"/>
                      <w:color w:val="auto"/>
                      <w:szCs w:val="21"/>
                    </w:rPr>
                  </w:pPr>
                  <w:r>
                    <w:rPr>
                      <w:rFonts w:hint="eastAsia" w:hAnsiTheme="minorEastAsia" w:eastAsiaTheme="minorEastAsia"/>
                      <w:color w:val="auto"/>
                      <w:szCs w:val="21"/>
                    </w:rPr>
                    <w:t>垃圾桶</w:t>
                  </w:r>
                </w:p>
              </w:tc>
              <w:tc>
                <w:tcPr>
                  <w:tcW w:w="712" w:type="pct"/>
                  <w:gridSpan w:val="2"/>
                  <w:tcBorders>
                    <w:top w:val="single" w:color="auto" w:sz="4" w:space="0"/>
                  </w:tcBorders>
                  <w:shd w:val="clear" w:color="auto" w:fill="auto"/>
                  <w:vAlign w:val="center"/>
                </w:tcPr>
                <w:p w14:paraId="397B1517">
                  <w:pPr>
                    <w:spacing w:line="0" w:lineRule="atLeast"/>
                    <w:jc w:val="center"/>
                    <w:rPr>
                      <w:rFonts w:eastAsiaTheme="minorEastAsia"/>
                      <w:color w:val="auto"/>
                      <w:szCs w:val="21"/>
                    </w:rPr>
                  </w:pPr>
                  <w:r>
                    <w:rPr>
                      <w:rFonts w:eastAsiaTheme="minorEastAsia"/>
                      <w:bCs/>
                      <w:color w:val="auto"/>
                      <w:szCs w:val="21"/>
                    </w:rPr>
                    <w:t>市政</w:t>
                  </w:r>
                  <w:r>
                    <w:rPr>
                      <w:rFonts w:hint="eastAsia" w:eastAsiaTheme="minorEastAsia"/>
                      <w:bCs/>
                      <w:color w:val="auto"/>
                      <w:szCs w:val="21"/>
                    </w:rPr>
                    <w:t>环卫</w:t>
                  </w:r>
                  <w:r>
                    <w:rPr>
                      <w:rFonts w:eastAsiaTheme="minorEastAsia"/>
                      <w:bCs/>
                      <w:color w:val="auto"/>
                      <w:szCs w:val="21"/>
                    </w:rPr>
                    <w:t>部门统一处理</w:t>
                  </w:r>
                </w:p>
              </w:tc>
              <w:tc>
                <w:tcPr>
                  <w:tcW w:w="527" w:type="pct"/>
                  <w:shd w:val="clear" w:color="auto" w:fill="auto"/>
                  <w:vAlign w:val="center"/>
                </w:tcPr>
                <w:p w14:paraId="16F9915A">
                  <w:pPr>
                    <w:spacing w:line="0" w:lineRule="atLeast"/>
                    <w:jc w:val="center"/>
                    <w:rPr>
                      <w:color w:val="auto"/>
                      <w:szCs w:val="21"/>
                    </w:rPr>
                  </w:pPr>
                  <w:r>
                    <w:rPr>
                      <w:rFonts w:hint="eastAsia"/>
                      <w:color w:val="auto"/>
                      <w:szCs w:val="21"/>
                    </w:rPr>
                    <w:t>1.62</w:t>
                  </w:r>
                  <w:r>
                    <w:rPr>
                      <w:color w:val="auto"/>
                      <w:szCs w:val="21"/>
                    </w:rPr>
                    <w:t>t/a</w:t>
                  </w:r>
                </w:p>
              </w:tc>
            </w:tr>
            <w:tr w14:paraId="3BC9F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5" w:type="pct"/>
                  <w:gridSpan w:val="2"/>
                  <w:vMerge w:val="restart"/>
                  <w:shd w:val="clear" w:color="auto" w:fill="auto"/>
                  <w:vAlign w:val="center"/>
                </w:tcPr>
                <w:p w14:paraId="5E69C9A1">
                  <w:pPr>
                    <w:spacing w:line="0" w:lineRule="atLeast"/>
                    <w:jc w:val="center"/>
                    <w:rPr>
                      <w:rFonts w:hAnsiTheme="minorEastAsia" w:eastAsiaTheme="minorEastAsia"/>
                      <w:color w:val="auto"/>
                      <w:szCs w:val="21"/>
                    </w:rPr>
                  </w:pPr>
                  <w:r>
                    <w:rPr>
                      <w:rFonts w:hint="eastAsia" w:hAnsiTheme="minorEastAsia" w:eastAsiaTheme="minorEastAsia"/>
                      <w:color w:val="auto"/>
                      <w:szCs w:val="21"/>
                    </w:rPr>
                    <w:t>含尘废气处理</w:t>
                  </w:r>
                </w:p>
              </w:tc>
              <w:tc>
                <w:tcPr>
                  <w:tcW w:w="473" w:type="pct"/>
                  <w:gridSpan w:val="2"/>
                  <w:shd w:val="clear" w:color="auto" w:fill="auto"/>
                  <w:vAlign w:val="center"/>
                </w:tcPr>
                <w:p w14:paraId="5EA56014">
                  <w:pPr>
                    <w:spacing w:line="0" w:lineRule="atLeast"/>
                    <w:jc w:val="center"/>
                    <w:rPr>
                      <w:rFonts w:hAnsiTheme="minorEastAsia" w:eastAsiaTheme="minorEastAsia"/>
                      <w:bCs/>
                      <w:color w:val="auto"/>
                      <w:szCs w:val="21"/>
                    </w:rPr>
                  </w:pPr>
                  <w:r>
                    <w:rPr>
                      <w:rFonts w:hint="eastAsia" w:hAnsiTheme="minorEastAsia" w:eastAsiaTheme="minorEastAsia"/>
                      <w:bCs/>
                      <w:color w:val="auto"/>
                      <w:szCs w:val="21"/>
                    </w:rPr>
                    <w:t>除尘器收集的粉尘</w:t>
                  </w:r>
                </w:p>
              </w:tc>
              <w:tc>
                <w:tcPr>
                  <w:tcW w:w="895" w:type="pct"/>
                  <w:gridSpan w:val="2"/>
                  <w:shd w:val="clear" w:color="auto" w:fill="auto"/>
                  <w:vAlign w:val="center"/>
                </w:tcPr>
                <w:p w14:paraId="0E4761BC">
                  <w:pPr>
                    <w:widowControl/>
                    <w:jc w:val="center"/>
                    <w:rPr>
                      <w:rFonts w:hAnsiTheme="minorEastAsia" w:eastAsiaTheme="minorEastAsia"/>
                      <w:color w:val="auto"/>
                      <w:szCs w:val="21"/>
                    </w:rPr>
                  </w:pPr>
                  <w:r>
                    <w:rPr>
                      <w:rFonts w:hAnsiTheme="minorEastAsia" w:eastAsiaTheme="minorEastAsia"/>
                      <w:color w:val="auto"/>
                      <w:szCs w:val="21"/>
                    </w:rPr>
                    <w:t>一般工业固</w:t>
                  </w:r>
                  <w:r>
                    <w:rPr>
                      <w:rFonts w:hint="eastAsia" w:eastAsiaTheme="minorEastAsia"/>
                      <w:color w:val="auto"/>
                      <w:szCs w:val="21"/>
                    </w:rPr>
                    <w:t>体</w:t>
                  </w:r>
                  <w:r>
                    <w:rPr>
                      <w:rFonts w:hAnsiTheme="minorEastAsia" w:eastAsiaTheme="minorEastAsia"/>
                      <w:color w:val="auto"/>
                      <w:szCs w:val="21"/>
                    </w:rPr>
                    <w:t>废物</w:t>
                  </w:r>
                  <w:r>
                    <w:rPr>
                      <w:rFonts w:eastAsiaTheme="minorEastAsia"/>
                      <w:color w:val="auto"/>
                      <w:szCs w:val="21"/>
                    </w:rPr>
                    <w:t>（</w:t>
                  </w:r>
                  <w:r>
                    <w:rPr>
                      <w:rFonts w:hint="eastAsia" w:eastAsiaTheme="minorEastAsia"/>
                      <w:color w:val="auto"/>
                      <w:szCs w:val="21"/>
                    </w:rPr>
                    <w:t>SW59代码900-099-S59</w:t>
                  </w:r>
                  <w:r>
                    <w:rPr>
                      <w:rFonts w:eastAsiaTheme="minorEastAsia"/>
                      <w:color w:val="auto"/>
                      <w:szCs w:val="21"/>
                    </w:rPr>
                    <w:t>）</w:t>
                  </w:r>
                </w:p>
              </w:tc>
              <w:tc>
                <w:tcPr>
                  <w:tcW w:w="508" w:type="pct"/>
                  <w:gridSpan w:val="2"/>
                  <w:vAlign w:val="center"/>
                </w:tcPr>
                <w:p w14:paraId="309AD7F1">
                  <w:pPr>
                    <w:widowControl/>
                    <w:jc w:val="center"/>
                    <w:rPr>
                      <w:rFonts w:eastAsiaTheme="minorEastAsia"/>
                      <w:color w:val="auto"/>
                      <w:szCs w:val="21"/>
                    </w:rPr>
                  </w:pPr>
                  <w:r>
                    <w:rPr>
                      <w:rFonts w:hint="eastAsia" w:eastAsiaTheme="minorEastAsia"/>
                      <w:color w:val="auto"/>
                      <w:szCs w:val="21"/>
                    </w:rPr>
                    <w:t>/</w:t>
                  </w:r>
                </w:p>
              </w:tc>
              <w:tc>
                <w:tcPr>
                  <w:tcW w:w="249" w:type="pct"/>
                  <w:gridSpan w:val="2"/>
                  <w:shd w:val="clear" w:color="auto" w:fill="auto"/>
                  <w:vAlign w:val="center"/>
                </w:tcPr>
                <w:p w14:paraId="597AC92D">
                  <w:pPr>
                    <w:widowControl/>
                    <w:jc w:val="center"/>
                    <w:rPr>
                      <w:rFonts w:eastAsiaTheme="minorEastAsia"/>
                      <w:color w:val="auto"/>
                      <w:szCs w:val="21"/>
                    </w:rPr>
                  </w:pPr>
                  <w:r>
                    <w:rPr>
                      <w:rFonts w:hint="eastAsia" w:eastAsiaTheme="minorEastAsia"/>
                      <w:color w:val="auto"/>
                      <w:szCs w:val="21"/>
                    </w:rPr>
                    <w:t>固态</w:t>
                  </w:r>
                </w:p>
              </w:tc>
              <w:tc>
                <w:tcPr>
                  <w:tcW w:w="401" w:type="pct"/>
                  <w:gridSpan w:val="2"/>
                  <w:shd w:val="clear" w:color="auto" w:fill="auto"/>
                  <w:vAlign w:val="center"/>
                </w:tcPr>
                <w:p w14:paraId="607FC6F6">
                  <w:pPr>
                    <w:widowControl/>
                    <w:jc w:val="center"/>
                    <w:rPr>
                      <w:rFonts w:eastAsiaTheme="minorEastAsia"/>
                      <w:color w:val="auto"/>
                      <w:szCs w:val="21"/>
                    </w:rPr>
                  </w:pPr>
                  <w:r>
                    <w:rPr>
                      <w:rFonts w:hint="eastAsia" w:eastAsiaTheme="minorEastAsia"/>
                      <w:color w:val="auto"/>
                      <w:szCs w:val="21"/>
                    </w:rPr>
                    <w:t>/</w:t>
                  </w:r>
                </w:p>
              </w:tc>
              <w:tc>
                <w:tcPr>
                  <w:tcW w:w="529" w:type="pct"/>
                  <w:gridSpan w:val="2"/>
                  <w:tcBorders>
                    <w:top w:val="single" w:color="auto" w:sz="4" w:space="0"/>
                  </w:tcBorders>
                  <w:shd w:val="clear" w:color="auto" w:fill="FFFFFF"/>
                  <w:vAlign w:val="center"/>
                </w:tcPr>
                <w:p w14:paraId="2A9D361C">
                  <w:pPr>
                    <w:spacing w:line="0" w:lineRule="atLeast"/>
                    <w:jc w:val="center"/>
                    <w:rPr>
                      <w:color w:val="auto"/>
                      <w:szCs w:val="21"/>
                    </w:rPr>
                  </w:pPr>
                  <w:r>
                    <w:rPr>
                      <w:rFonts w:hint="eastAsia"/>
                      <w:color w:val="auto"/>
                      <w:sz w:val="21"/>
                      <w:szCs w:val="21"/>
                      <w:lang w:val="en-US" w:eastAsia="zh-CN"/>
                    </w:rPr>
                    <w:t>400.2</w:t>
                  </w:r>
                  <w:r>
                    <w:rPr>
                      <w:color w:val="auto"/>
                      <w:szCs w:val="21"/>
                    </w:rPr>
                    <w:t>t/a</w:t>
                  </w:r>
                </w:p>
              </w:tc>
              <w:tc>
                <w:tcPr>
                  <w:tcW w:w="334" w:type="pct"/>
                  <w:gridSpan w:val="2"/>
                  <w:tcBorders>
                    <w:top w:val="single" w:color="auto" w:sz="4" w:space="0"/>
                  </w:tcBorders>
                  <w:shd w:val="clear" w:color="auto" w:fill="auto"/>
                  <w:vAlign w:val="center"/>
                </w:tcPr>
                <w:p w14:paraId="2C25B0A8">
                  <w:pPr>
                    <w:spacing w:line="0" w:lineRule="atLeast"/>
                    <w:jc w:val="center"/>
                    <w:rPr>
                      <w:rFonts w:hAnsiTheme="minorEastAsia" w:eastAsiaTheme="minorEastAsia"/>
                      <w:color w:val="auto"/>
                      <w:szCs w:val="21"/>
                    </w:rPr>
                  </w:pPr>
                  <w:r>
                    <w:rPr>
                      <w:rFonts w:hint="eastAsia" w:hAnsiTheme="minorEastAsia" w:eastAsiaTheme="minorEastAsia"/>
                      <w:color w:val="auto"/>
                      <w:szCs w:val="21"/>
                    </w:rPr>
                    <w:t>矿粉筒仓</w:t>
                  </w:r>
                </w:p>
              </w:tc>
              <w:tc>
                <w:tcPr>
                  <w:tcW w:w="712" w:type="pct"/>
                  <w:gridSpan w:val="2"/>
                  <w:tcBorders>
                    <w:top w:val="single" w:color="auto" w:sz="4" w:space="0"/>
                  </w:tcBorders>
                  <w:shd w:val="clear" w:color="auto" w:fill="auto"/>
                  <w:vAlign w:val="center"/>
                </w:tcPr>
                <w:p w14:paraId="2B8024EC">
                  <w:pPr>
                    <w:spacing w:line="0" w:lineRule="atLeast"/>
                    <w:jc w:val="center"/>
                    <w:rPr>
                      <w:rFonts w:eastAsiaTheme="minorEastAsia"/>
                      <w:bCs/>
                      <w:color w:val="auto"/>
                      <w:szCs w:val="21"/>
                    </w:rPr>
                  </w:pPr>
                  <w:r>
                    <w:rPr>
                      <w:rFonts w:hint="eastAsia" w:eastAsiaTheme="minorEastAsia"/>
                      <w:bCs/>
                      <w:color w:val="auto"/>
                      <w:szCs w:val="21"/>
                    </w:rPr>
                    <w:t>集中收集，回用于生产</w:t>
                  </w:r>
                </w:p>
              </w:tc>
              <w:tc>
                <w:tcPr>
                  <w:tcW w:w="527" w:type="pct"/>
                  <w:shd w:val="clear" w:color="auto" w:fill="auto"/>
                  <w:vAlign w:val="center"/>
                </w:tcPr>
                <w:p w14:paraId="2DA65D6C">
                  <w:pPr>
                    <w:spacing w:line="0" w:lineRule="atLeast"/>
                    <w:jc w:val="center"/>
                    <w:rPr>
                      <w:color w:val="auto"/>
                      <w:szCs w:val="21"/>
                    </w:rPr>
                  </w:pPr>
                  <w:r>
                    <w:rPr>
                      <w:rFonts w:hint="eastAsia"/>
                      <w:color w:val="auto"/>
                      <w:sz w:val="21"/>
                      <w:szCs w:val="21"/>
                      <w:lang w:val="en-US" w:eastAsia="zh-CN"/>
                    </w:rPr>
                    <w:t>400.2</w:t>
                  </w:r>
                  <w:r>
                    <w:rPr>
                      <w:color w:val="auto"/>
                      <w:szCs w:val="21"/>
                    </w:rPr>
                    <w:t>t/a</w:t>
                  </w:r>
                </w:p>
              </w:tc>
            </w:tr>
            <w:tr w14:paraId="2020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5" w:type="pct"/>
                  <w:gridSpan w:val="2"/>
                  <w:vMerge w:val="continue"/>
                  <w:shd w:val="clear" w:color="auto" w:fill="auto"/>
                  <w:vAlign w:val="center"/>
                </w:tcPr>
                <w:p w14:paraId="522EE9AC">
                  <w:pPr>
                    <w:spacing w:line="0" w:lineRule="atLeast"/>
                    <w:jc w:val="center"/>
                    <w:rPr>
                      <w:rFonts w:hAnsiTheme="minorEastAsia" w:eastAsiaTheme="minorEastAsia"/>
                      <w:color w:val="auto"/>
                      <w:szCs w:val="21"/>
                    </w:rPr>
                  </w:pPr>
                </w:p>
              </w:tc>
              <w:tc>
                <w:tcPr>
                  <w:tcW w:w="473" w:type="pct"/>
                  <w:gridSpan w:val="2"/>
                  <w:shd w:val="clear" w:color="auto" w:fill="auto"/>
                  <w:vAlign w:val="center"/>
                </w:tcPr>
                <w:p w14:paraId="3473DAA6">
                  <w:pPr>
                    <w:spacing w:line="0" w:lineRule="atLeast"/>
                    <w:jc w:val="center"/>
                    <w:rPr>
                      <w:rFonts w:hAnsiTheme="minorEastAsia" w:eastAsiaTheme="minorEastAsia"/>
                      <w:bCs/>
                      <w:color w:val="auto"/>
                      <w:szCs w:val="21"/>
                    </w:rPr>
                  </w:pPr>
                  <w:r>
                    <w:rPr>
                      <w:rFonts w:hint="eastAsia" w:hAnsiTheme="minorEastAsia" w:eastAsiaTheme="minorEastAsia"/>
                      <w:bCs/>
                      <w:color w:val="auto"/>
                      <w:szCs w:val="21"/>
                    </w:rPr>
                    <w:t>废布袋</w:t>
                  </w:r>
                </w:p>
              </w:tc>
              <w:tc>
                <w:tcPr>
                  <w:tcW w:w="895" w:type="pct"/>
                  <w:gridSpan w:val="2"/>
                  <w:shd w:val="clear" w:color="auto" w:fill="auto"/>
                  <w:vAlign w:val="center"/>
                </w:tcPr>
                <w:p w14:paraId="706909BE">
                  <w:pPr>
                    <w:widowControl/>
                    <w:jc w:val="center"/>
                    <w:rPr>
                      <w:rFonts w:hAnsiTheme="minorEastAsia" w:eastAsiaTheme="minorEastAsia"/>
                      <w:color w:val="auto"/>
                      <w:szCs w:val="21"/>
                    </w:rPr>
                  </w:pPr>
                  <w:r>
                    <w:rPr>
                      <w:rFonts w:hAnsiTheme="minorEastAsia" w:eastAsiaTheme="minorEastAsia"/>
                      <w:color w:val="auto"/>
                      <w:szCs w:val="21"/>
                    </w:rPr>
                    <w:t>一般工业固</w:t>
                  </w:r>
                  <w:r>
                    <w:rPr>
                      <w:rFonts w:hint="eastAsia" w:eastAsiaTheme="minorEastAsia"/>
                      <w:color w:val="auto"/>
                      <w:szCs w:val="21"/>
                    </w:rPr>
                    <w:t>体</w:t>
                  </w:r>
                  <w:r>
                    <w:rPr>
                      <w:rFonts w:hAnsiTheme="minorEastAsia" w:eastAsiaTheme="minorEastAsia"/>
                      <w:color w:val="auto"/>
                      <w:szCs w:val="21"/>
                    </w:rPr>
                    <w:t>废物</w:t>
                  </w:r>
                  <w:r>
                    <w:rPr>
                      <w:rFonts w:hint="eastAsia" w:eastAsiaTheme="minorEastAsia"/>
                      <w:color w:val="auto"/>
                      <w:szCs w:val="21"/>
                    </w:rPr>
                    <w:t>（SW59代码900-009-S59）</w:t>
                  </w:r>
                </w:p>
              </w:tc>
              <w:tc>
                <w:tcPr>
                  <w:tcW w:w="508" w:type="pct"/>
                  <w:gridSpan w:val="2"/>
                  <w:vAlign w:val="center"/>
                </w:tcPr>
                <w:p w14:paraId="3A0DB26A">
                  <w:pPr>
                    <w:widowControl/>
                    <w:jc w:val="center"/>
                    <w:rPr>
                      <w:rFonts w:eastAsiaTheme="minorEastAsia"/>
                      <w:color w:val="auto"/>
                      <w:szCs w:val="21"/>
                    </w:rPr>
                  </w:pPr>
                  <w:r>
                    <w:rPr>
                      <w:rFonts w:hint="eastAsia" w:eastAsiaTheme="minorEastAsia"/>
                      <w:color w:val="auto"/>
                      <w:szCs w:val="21"/>
                    </w:rPr>
                    <w:t>/</w:t>
                  </w:r>
                </w:p>
              </w:tc>
              <w:tc>
                <w:tcPr>
                  <w:tcW w:w="249" w:type="pct"/>
                  <w:gridSpan w:val="2"/>
                  <w:shd w:val="clear" w:color="auto" w:fill="auto"/>
                  <w:vAlign w:val="center"/>
                </w:tcPr>
                <w:p w14:paraId="6CD5275E">
                  <w:pPr>
                    <w:widowControl/>
                    <w:jc w:val="center"/>
                    <w:rPr>
                      <w:rFonts w:eastAsiaTheme="minorEastAsia"/>
                      <w:color w:val="auto"/>
                      <w:szCs w:val="21"/>
                    </w:rPr>
                  </w:pPr>
                  <w:r>
                    <w:rPr>
                      <w:rFonts w:hint="eastAsia" w:eastAsiaTheme="minorEastAsia"/>
                      <w:color w:val="auto"/>
                      <w:szCs w:val="21"/>
                    </w:rPr>
                    <w:t>固态</w:t>
                  </w:r>
                </w:p>
              </w:tc>
              <w:tc>
                <w:tcPr>
                  <w:tcW w:w="401" w:type="pct"/>
                  <w:gridSpan w:val="2"/>
                  <w:shd w:val="clear" w:color="auto" w:fill="auto"/>
                  <w:vAlign w:val="center"/>
                </w:tcPr>
                <w:p w14:paraId="7566E039">
                  <w:pPr>
                    <w:widowControl/>
                    <w:jc w:val="center"/>
                    <w:rPr>
                      <w:rFonts w:eastAsiaTheme="minorEastAsia"/>
                      <w:color w:val="auto"/>
                      <w:szCs w:val="21"/>
                    </w:rPr>
                  </w:pPr>
                  <w:r>
                    <w:rPr>
                      <w:rFonts w:hint="eastAsia" w:eastAsiaTheme="minorEastAsia"/>
                      <w:color w:val="auto"/>
                      <w:szCs w:val="21"/>
                    </w:rPr>
                    <w:t>/</w:t>
                  </w:r>
                </w:p>
              </w:tc>
              <w:tc>
                <w:tcPr>
                  <w:tcW w:w="529" w:type="pct"/>
                  <w:gridSpan w:val="2"/>
                  <w:tcBorders>
                    <w:top w:val="single" w:color="auto" w:sz="4" w:space="0"/>
                  </w:tcBorders>
                  <w:shd w:val="clear" w:color="auto" w:fill="FFFFFF"/>
                  <w:vAlign w:val="center"/>
                </w:tcPr>
                <w:p w14:paraId="2FFCE32F">
                  <w:pPr>
                    <w:spacing w:line="0" w:lineRule="atLeast"/>
                    <w:jc w:val="center"/>
                    <w:rPr>
                      <w:color w:val="auto"/>
                      <w:szCs w:val="21"/>
                    </w:rPr>
                  </w:pPr>
                  <w:r>
                    <w:rPr>
                      <w:rFonts w:hint="eastAsia"/>
                      <w:color w:val="auto"/>
                      <w:szCs w:val="21"/>
                    </w:rPr>
                    <w:t>0.2t/3a</w:t>
                  </w:r>
                </w:p>
              </w:tc>
              <w:tc>
                <w:tcPr>
                  <w:tcW w:w="334" w:type="pct"/>
                  <w:gridSpan w:val="2"/>
                  <w:tcBorders>
                    <w:top w:val="single" w:color="auto" w:sz="4" w:space="0"/>
                  </w:tcBorders>
                  <w:shd w:val="clear" w:color="auto" w:fill="auto"/>
                  <w:vAlign w:val="center"/>
                </w:tcPr>
                <w:p w14:paraId="29FCCFB4">
                  <w:pPr>
                    <w:spacing w:line="0" w:lineRule="atLeast"/>
                    <w:jc w:val="center"/>
                    <w:rPr>
                      <w:rFonts w:hAnsiTheme="minorEastAsia" w:eastAsiaTheme="minorEastAsia"/>
                      <w:color w:val="auto"/>
                      <w:szCs w:val="21"/>
                    </w:rPr>
                  </w:pPr>
                  <w:r>
                    <w:rPr>
                      <w:rFonts w:hint="eastAsia" w:hAnsiTheme="minorEastAsia" w:eastAsiaTheme="minorEastAsia"/>
                      <w:color w:val="auto"/>
                      <w:szCs w:val="21"/>
                    </w:rPr>
                    <w:t>袋装</w:t>
                  </w:r>
                </w:p>
              </w:tc>
              <w:tc>
                <w:tcPr>
                  <w:tcW w:w="712" w:type="pct"/>
                  <w:gridSpan w:val="2"/>
                  <w:tcBorders>
                    <w:top w:val="single" w:color="auto" w:sz="4" w:space="0"/>
                  </w:tcBorders>
                  <w:shd w:val="clear" w:color="auto" w:fill="auto"/>
                  <w:vAlign w:val="center"/>
                </w:tcPr>
                <w:p w14:paraId="058F43E1">
                  <w:pPr>
                    <w:spacing w:line="0" w:lineRule="atLeast"/>
                    <w:jc w:val="center"/>
                    <w:rPr>
                      <w:rFonts w:eastAsiaTheme="minorEastAsia"/>
                      <w:bCs/>
                      <w:color w:val="auto"/>
                      <w:szCs w:val="21"/>
                    </w:rPr>
                  </w:pPr>
                  <w:r>
                    <w:rPr>
                      <w:rFonts w:eastAsiaTheme="minorEastAsia"/>
                      <w:bCs/>
                      <w:color w:val="auto"/>
                      <w:szCs w:val="21"/>
                    </w:rPr>
                    <w:t>市政</w:t>
                  </w:r>
                  <w:r>
                    <w:rPr>
                      <w:rFonts w:hint="eastAsia" w:eastAsiaTheme="minorEastAsia"/>
                      <w:bCs/>
                      <w:color w:val="auto"/>
                      <w:szCs w:val="21"/>
                    </w:rPr>
                    <w:t>环卫</w:t>
                  </w:r>
                  <w:r>
                    <w:rPr>
                      <w:rFonts w:eastAsiaTheme="minorEastAsia"/>
                      <w:bCs/>
                      <w:color w:val="auto"/>
                      <w:szCs w:val="21"/>
                    </w:rPr>
                    <w:t>部门处理</w:t>
                  </w:r>
                </w:p>
              </w:tc>
              <w:tc>
                <w:tcPr>
                  <w:tcW w:w="527" w:type="pct"/>
                  <w:shd w:val="clear" w:color="auto" w:fill="auto"/>
                  <w:vAlign w:val="center"/>
                </w:tcPr>
                <w:p w14:paraId="27D683F7">
                  <w:pPr>
                    <w:spacing w:line="0" w:lineRule="atLeast"/>
                    <w:jc w:val="center"/>
                    <w:rPr>
                      <w:color w:val="auto"/>
                      <w:szCs w:val="21"/>
                    </w:rPr>
                  </w:pPr>
                  <w:r>
                    <w:rPr>
                      <w:rFonts w:hint="eastAsia"/>
                      <w:color w:val="auto"/>
                      <w:szCs w:val="21"/>
                    </w:rPr>
                    <w:t>0.2t/3a</w:t>
                  </w:r>
                </w:p>
              </w:tc>
            </w:tr>
            <w:tr w14:paraId="5C7FE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5" w:type="pct"/>
                  <w:gridSpan w:val="2"/>
                  <w:shd w:val="clear" w:color="auto" w:fill="auto"/>
                  <w:vAlign w:val="center"/>
                </w:tcPr>
                <w:p w14:paraId="558B47C5">
                  <w:pPr>
                    <w:spacing w:line="0" w:lineRule="atLeast"/>
                    <w:jc w:val="center"/>
                    <w:rPr>
                      <w:rFonts w:hAnsiTheme="minorEastAsia" w:eastAsiaTheme="minorEastAsia"/>
                      <w:color w:val="auto"/>
                      <w:szCs w:val="21"/>
                    </w:rPr>
                  </w:pPr>
                  <w:r>
                    <w:rPr>
                      <w:rFonts w:hAnsiTheme="minorEastAsia" w:eastAsiaTheme="minorEastAsia"/>
                      <w:color w:val="auto"/>
                      <w:szCs w:val="21"/>
                    </w:rPr>
                    <w:t>实验室</w:t>
                  </w:r>
                </w:p>
              </w:tc>
              <w:tc>
                <w:tcPr>
                  <w:tcW w:w="473" w:type="pct"/>
                  <w:gridSpan w:val="2"/>
                  <w:shd w:val="clear" w:color="auto" w:fill="auto"/>
                  <w:vAlign w:val="center"/>
                </w:tcPr>
                <w:p w14:paraId="63BCC437">
                  <w:pPr>
                    <w:spacing w:line="0" w:lineRule="atLeast"/>
                    <w:jc w:val="center"/>
                    <w:rPr>
                      <w:rFonts w:hAnsiTheme="minorEastAsia" w:eastAsiaTheme="minorEastAsia"/>
                      <w:bCs/>
                      <w:color w:val="auto"/>
                      <w:szCs w:val="21"/>
                    </w:rPr>
                  </w:pPr>
                  <w:r>
                    <w:rPr>
                      <w:rFonts w:hAnsiTheme="minorEastAsia" w:eastAsiaTheme="minorEastAsia"/>
                      <w:color w:val="auto"/>
                      <w:szCs w:val="21"/>
                    </w:rPr>
                    <w:t>实验室弃块</w:t>
                  </w:r>
                </w:p>
              </w:tc>
              <w:tc>
                <w:tcPr>
                  <w:tcW w:w="895" w:type="pct"/>
                  <w:gridSpan w:val="2"/>
                  <w:shd w:val="clear" w:color="auto" w:fill="auto"/>
                  <w:vAlign w:val="center"/>
                </w:tcPr>
                <w:p w14:paraId="66AA9247">
                  <w:pPr>
                    <w:widowControl/>
                    <w:jc w:val="center"/>
                    <w:rPr>
                      <w:rFonts w:hAnsiTheme="minorEastAsia" w:eastAsiaTheme="minorEastAsia"/>
                      <w:color w:val="auto"/>
                      <w:szCs w:val="21"/>
                    </w:rPr>
                  </w:pPr>
                  <w:r>
                    <w:rPr>
                      <w:rFonts w:hAnsiTheme="minorEastAsia" w:eastAsiaTheme="minorEastAsia"/>
                      <w:color w:val="auto"/>
                      <w:szCs w:val="21"/>
                    </w:rPr>
                    <w:t>一般工业固</w:t>
                  </w:r>
                  <w:r>
                    <w:rPr>
                      <w:rFonts w:hint="eastAsia" w:eastAsiaTheme="minorEastAsia"/>
                      <w:color w:val="auto"/>
                      <w:szCs w:val="21"/>
                    </w:rPr>
                    <w:t>体</w:t>
                  </w:r>
                  <w:r>
                    <w:rPr>
                      <w:rFonts w:hAnsiTheme="minorEastAsia" w:eastAsiaTheme="minorEastAsia"/>
                      <w:color w:val="auto"/>
                      <w:szCs w:val="21"/>
                    </w:rPr>
                    <w:t>废物</w:t>
                  </w:r>
                  <w:r>
                    <w:rPr>
                      <w:rFonts w:hint="eastAsia" w:eastAsiaTheme="minorEastAsia"/>
                      <w:color w:val="auto"/>
                      <w:szCs w:val="21"/>
                    </w:rPr>
                    <w:t>（SW92代码900-001-S92）</w:t>
                  </w:r>
                </w:p>
              </w:tc>
              <w:tc>
                <w:tcPr>
                  <w:tcW w:w="508" w:type="pct"/>
                  <w:gridSpan w:val="2"/>
                  <w:vAlign w:val="center"/>
                </w:tcPr>
                <w:p w14:paraId="4039F2C3">
                  <w:pPr>
                    <w:widowControl/>
                    <w:jc w:val="center"/>
                    <w:rPr>
                      <w:rFonts w:eastAsiaTheme="minorEastAsia"/>
                      <w:color w:val="auto"/>
                      <w:szCs w:val="21"/>
                    </w:rPr>
                  </w:pPr>
                  <w:r>
                    <w:rPr>
                      <w:rFonts w:hint="eastAsia" w:eastAsiaTheme="minorEastAsia"/>
                      <w:color w:val="auto"/>
                      <w:szCs w:val="21"/>
                    </w:rPr>
                    <w:t>/</w:t>
                  </w:r>
                </w:p>
              </w:tc>
              <w:tc>
                <w:tcPr>
                  <w:tcW w:w="249" w:type="pct"/>
                  <w:gridSpan w:val="2"/>
                  <w:shd w:val="clear" w:color="auto" w:fill="auto"/>
                  <w:vAlign w:val="center"/>
                </w:tcPr>
                <w:p w14:paraId="3BC97086">
                  <w:pPr>
                    <w:widowControl/>
                    <w:jc w:val="center"/>
                    <w:rPr>
                      <w:rFonts w:eastAsiaTheme="minorEastAsia"/>
                      <w:color w:val="auto"/>
                      <w:szCs w:val="21"/>
                    </w:rPr>
                  </w:pPr>
                  <w:r>
                    <w:rPr>
                      <w:rFonts w:hint="eastAsia" w:eastAsiaTheme="minorEastAsia"/>
                      <w:color w:val="auto"/>
                      <w:szCs w:val="21"/>
                    </w:rPr>
                    <w:t>固态</w:t>
                  </w:r>
                </w:p>
              </w:tc>
              <w:tc>
                <w:tcPr>
                  <w:tcW w:w="401" w:type="pct"/>
                  <w:gridSpan w:val="2"/>
                  <w:shd w:val="clear" w:color="auto" w:fill="auto"/>
                  <w:vAlign w:val="center"/>
                </w:tcPr>
                <w:p w14:paraId="701915DF">
                  <w:pPr>
                    <w:widowControl/>
                    <w:jc w:val="center"/>
                    <w:rPr>
                      <w:rFonts w:eastAsiaTheme="minorEastAsia"/>
                      <w:color w:val="auto"/>
                      <w:szCs w:val="21"/>
                    </w:rPr>
                  </w:pPr>
                  <w:r>
                    <w:rPr>
                      <w:rFonts w:hint="eastAsia" w:eastAsiaTheme="minorEastAsia"/>
                      <w:color w:val="auto"/>
                      <w:szCs w:val="21"/>
                    </w:rPr>
                    <w:t>/</w:t>
                  </w:r>
                </w:p>
              </w:tc>
              <w:tc>
                <w:tcPr>
                  <w:tcW w:w="529" w:type="pct"/>
                  <w:gridSpan w:val="2"/>
                  <w:tcBorders>
                    <w:top w:val="single" w:color="auto" w:sz="4" w:space="0"/>
                  </w:tcBorders>
                  <w:shd w:val="clear" w:color="auto" w:fill="FFFFFF"/>
                  <w:vAlign w:val="center"/>
                </w:tcPr>
                <w:p w14:paraId="0AEE3DFE">
                  <w:pPr>
                    <w:spacing w:line="0" w:lineRule="atLeast"/>
                    <w:jc w:val="center"/>
                    <w:rPr>
                      <w:color w:val="auto"/>
                      <w:szCs w:val="21"/>
                    </w:rPr>
                  </w:pPr>
                  <w:r>
                    <w:rPr>
                      <w:rFonts w:hint="eastAsia"/>
                      <w:color w:val="auto"/>
                      <w:szCs w:val="21"/>
                    </w:rPr>
                    <w:t>0.1t/a</w:t>
                  </w:r>
                </w:p>
              </w:tc>
              <w:tc>
                <w:tcPr>
                  <w:tcW w:w="334" w:type="pct"/>
                  <w:gridSpan w:val="2"/>
                  <w:tcBorders>
                    <w:top w:val="single" w:color="auto" w:sz="4" w:space="0"/>
                  </w:tcBorders>
                  <w:shd w:val="clear" w:color="auto" w:fill="auto"/>
                  <w:vAlign w:val="center"/>
                </w:tcPr>
                <w:p w14:paraId="1F20FF2D">
                  <w:pPr>
                    <w:spacing w:line="0" w:lineRule="atLeast"/>
                    <w:jc w:val="center"/>
                    <w:rPr>
                      <w:rFonts w:hAnsiTheme="minorEastAsia" w:eastAsiaTheme="minorEastAsia"/>
                      <w:color w:val="auto"/>
                      <w:szCs w:val="21"/>
                    </w:rPr>
                  </w:pPr>
                  <w:r>
                    <w:rPr>
                      <w:rFonts w:hint="eastAsia" w:hAnsiTheme="minorEastAsia" w:eastAsiaTheme="minorEastAsia"/>
                      <w:color w:val="auto"/>
                      <w:szCs w:val="21"/>
                    </w:rPr>
                    <w:t>袋装</w:t>
                  </w:r>
                </w:p>
              </w:tc>
              <w:tc>
                <w:tcPr>
                  <w:tcW w:w="712" w:type="pct"/>
                  <w:gridSpan w:val="2"/>
                  <w:tcBorders>
                    <w:top w:val="single" w:color="auto" w:sz="4" w:space="0"/>
                  </w:tcBorders>
                  <w:shd w:val="clear" w:color="auto" w:fill="auto"/>
                  <w:vAlign w:val="center"/>
                </w:tcPr>
                <w:p w14:paraId="6F3B154F">
                  <w:pPr>
                    <w:spacing w:line="0" w:lineRule="atLeast"/>
                    <w:jc w:val="center"/>
                    <w:rPr>
                      <w:rFonts w:eastAsiaTheme="minorEastAsia"/>
                      <w:bCs/>
                      <w:color w:val="auto"/>
                      <w:szCs w:val="21"/>
                    </w:rPr>
                  </w:pPr>
                  <w:r>
                    <w:rPr>
                      <w:rFonts w:hint="eastAsia" w:eastAsiaTheme="minorEastAsia"/>
                      <w:color w:val="auto"/>
                      <w:szCs w:val="21"/>
                    </w:rPr>
                    <w:t>外运</w:t>
                  </w:r>
                  <w:r>
                    <w:rPr>
                      <w:rFonts w:eastAsiaTheme="minorEastAsia"/>
                      <w:color w:val="auto"/>
                      <w:szCs w:val="21"/>
                    </w:rPr>
                    <w:t>作为铺路材料</w:t>
                  </w:r>
                </w:p>
              </w:tc>
              <w:tc>
                <w:tcPr>
                  <w:tcW w:w="527" w:type="pct"/>
                  <w:shd w:val="clear" w:color="auto" w:fill="auto"/>
                  <w:vAlign w:val="center"/>
                </w:tcPr>
                <w:p w14:paraId="6CBDE25E">
                  <w:pPr>
                    <w:spacing w:line="0" w:lineRule="atLeast"/>
                    <w:jc w:val="center"/>
                    <w:rPr>
                      <w:color w:val="auto"/>
                      <w:szCs w:val="21"/>
                    </w:rPr>
                  </w:pPr>
                  <w:r>
                    <w:rPr>
                      <w:rFonts w:hint="eastAsia"/>
                      <w:color w:val="auto"/>
                      <w:szCs w:val="21"/>
                    </w:rPr>
                    <w:t>0.1t/a</w:t>
                  </w:r>
                </w:p>
              </w:tc>
            </w:tr>
            <w:tr w14:paraId="09AFF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5" w:type="pct"/>
                  <w:gridSpan w:val="2"/>
                  <w:shd w:val="clear" w:color="auto" w:fill="auto"/>
                  <w:vAlign w:val="center"/>
                </w:tcPr>
                <w:p w14:paraId="5823A7C5">
                  <w:pPr>
                    <w:spacing w:line="0" w:lineRule="atLeast"/>
                    <w:jc w:val="center"/>
                    <w:rPr>
                      <w:rFonts w:hAnsiTheme="minorEastAsia" w:eastAsiaTheme="minorEastAsia"/>
                      <w:color w:val="auto"/>
                      <w:szCs w:val="21"/>
                    </w:rPr>
                  </w:pPr>
                  <w:r>
                    <w:rPr>
                      <w:rFonts w:hint="eastAsia" w:hAnsiTheme="minorEastAsia" w:eastAsiaTheme="minorEastAsia"/>
                      <w:color w:val="auto"/>
                      <w:szCs w:val="21"/>
                    </w:rPr>
                    <w:t>废气净化系统</w:t>
                  </w:r>
                </w:p>
              </w:tc>
              <w:tc>
                <w:tcPr>
                  <w:tcW w:w="473" w:type="pct"/>
                  <w:gridSpan w:val="2"/>
                  <w:shd w:val="clear" w:color="auto" w:fill="auto"/>
                  <w:vAlign w:val="center"/>
                </w:tcPr>
                <w:p w14:paraId="1A4AEB75">
                  <w:pPr>
                    <w:spacing w:line="0" w:lineRule="atLeast"/>
                    <w:jc w:val="center"/>
                    <w:rPr>
                      <w:rFonts w:hAnsiTheme="minorEastAsia" w:eastAsiaTheme="minorEastAsia"/>
                      <w:bCs/>
                      <w:color w:val="auto"/>
                      <w:szCs w:val="21"/>
                    </w:rPr>
                  </w:pPr>
                  <w:r>
                    <w:rPr>
                      <w:rFonts w:hint="eastAsia" w:hAnsiTheme="minorEastAsia" w:eastAsiaTheme="minorEastAsia"/>
                      <w:color w:val="auto"/>
                      <w:szCs w:val="21"/>
                    </w:rPr>
                    <w:t>废活性炭</w:t>
                  </w:r>
                </w:p>
              </w:tc>
              <w:tc>
                <w:tcPr>
                  <w:tcW w:w="895" w:type="pct"/>
                  <w:gridSpan w:val="2"/>
                  <w:shd w:val="clear" w:color="auto" w:fill="auto"/>
                  <w:vAlign w:val="center"/>
                </w:tcPr>
                <w:p w14:paraId="3B7391BC">
                  <w:pPr>
                    <w:widowControl/>
                    <w:jc w:val="center"/>
                    <w:rPr>
                      <w:rFonts w:hAnsiTheme="minorEastAsia" w:eastAsiaTheme="minorEastAsia"/>
                      <w:color w:val="auto"/>
                      <w:szCs w:val="21"/>
                    </w:rPr>
                  </w:pPr>
                  <w:r>
                    <w:rPr>
                      <w:rFonts w:hint="eastAsia" w:hAnsiTheme="minorEastAsia" w:eastAsiaTheme="minorEastAsia"/>
                      <w:color w:val="auto"/>
                      <w:szCs w:val="21"/>
                    </w:rPr>
                    <w:t>危险废物</w:t>
                  </w:r>
                  <w:r>
                    <w:rPr>
                      <w:rFonts w:eastAsiaTheme="minorEastAsia"/>
                      <w:bCs/>
                      <w:color w:val="auto"/>
                      <w:szCs w:val="21"/>
                    </w:rPr>
                    <w:t>（类别：HW49，代码：900-0</w:t>
                  </w:r>
                  <w:r>
                    <w:rPr>
                      <w:rFonts w:hint="eastAsia" w:eastAsiaTheme="minorEastAsia"/>
                      <w:bCs/>
                      <w:color w:val="auto"/>
                      <w:szCs w:val="21"/>
                    </w:rPr>
                    <w:t>39</w:t>
                  </w:r>
                  <w:r>
                    <w:rPr>
                      <w:rFonts w:eastAsiaTheme="minorEastAsia"/>
                      <w:bCs/>
                      <w:color w:val="auto"/>
                      <w:szCs w:val="21"/>
                    </w:rPr>
                    <w:t>-49）</w:t>
                  </w:r>
                </w:p>
              </w:tc>
              <w:tc>
                <w:tcPr>
                  <w:tcW w:w="508" w:type="pct"/>
                  <w:gridSpan w:val="2"/>
                  <w:vAlign w:val="center"/>
                </w:tcPr>
                <w:p w14:paraId="3FCEE6B3">
                  <w:pPr>
                    <w:widowControl/>
                    <w:jc w:val="center"/>
                    <w:rPr>
                      <w:rFonts w:eastAsiaTheme="minorEastAsia"/>
                      <w:color w:val="auto"/>
                      <w:szCs w:val="21"/>
                    </w:rPr>
                  </w:pPr>
                  <w:r>
                    <w:rPr>
                      <w:color w:val="auto"/>
                    </w:rPr>
                    <w:t>苯并[a]芘</w:t>
                  </w:r>
                </w:p>
              </w:tc>
              <w:tc>
                <w:tcPr>
                  <w:tcW w:w="249" w:type="pct"/>
                  <w:gridSpan w:val="2"/>
                  <w:shd w:val="clear" w:color="auto" w:fill="auto"/>
                  <w:vAlign w:val="center"/>
                </w:tcPr>
                <w:p w14:paraId="04F60DC6">
                  <w:pPr>
                    <w:widowControl/>
                    <w:jc w:val="center"/>
                    <w:rPr>
                      <w:rFonts w:eastAsiaTheme="minorEastAsia"/>
                      <w:color w:val="auto"/>
                      <w:szCs w:val="21"/>
                    </w:rPr>
                  </w:pPr>
                  <w:r>
                    <w:rPr>
                      <w:rFonts w:hint="eastAsia" w:eastAsiaTheme="minorEastAsia"/>
                      <w:color w:val="auto"/>
                      <w:szCs w:val="21"/>
                    </w:rPr>
                    <w:t>固态</w:t>
                  </w:r>
                </w:p>
              </w:tc>
              <w:tc>
                <w:tcPr>
                  <w:tcW w:w="401" w:type="pct"/>
                  <w:gridSpan w:val="2"/>
                  <w:vMerge w:val="restart"/>
                  <w:shd w:val="clear" w:color="auto" w:fill="auto"/>
                  <w:vAlign w:val="center"/>
                </w:tcPr>
                <w:p w14:paraId="376643AF">
                  <w:pPr>
                    <w:widowControl/>
                    <w:jc w:val="center"/>
                    <w:rPr>
                      <w:rFonts w:eastAsiaTheme="minorEastAsia"/>
                      <w:color w:val="auto"/>
                      <w:szCs w:val="21"/>
                    </w:rPr>
                  </w:pPr>
                  <w:r>
                    <w:rPr>
                      <w:rFonts w:hint="eastAsia" w:eastAsiaTheme="minorEastAsia"/>
                      <w:bCs/>
                      <w:color w:val="auto"/>
                      <w:szCs w:val="21"/>
                    </w:rPr>
                    <w:t>毒性和易燃性</w:t>
                  </w:r>
                </w:p>
              </w:tc>
              <w:tc>
                <w:tcPr>
                  <w:tcW w:w="529" w:type="pct"/>
                  <w:gridSpan w:val="2"/>
                  <w:tcBorders>
                    <w:top w:val="single" w:color="auto" w:sz="4" w:space="0"/>
                    <w:bottom w:val="single" w:color="auto" w:sz="4" w:space="0"/>
                  </w:tcBorders>
                  <w:shd w:val="clear" w:color="auto" w:fill="FFFFFF"/>
                  <w:vAlign w:val="center"/>
                </w:tcPr>
                <w:p w14:paraId="4B7E2B14">
                  <w:pPr>
                    <w:spacing w:line="0" w:lineRule="atLeast"/>
                    <w:jc w:val="center"/>
                    <w:rPr>
                      <w:color w:val="auto"/>
                      <w:szCs w:val="21"/>
                    </w:rPr>
                  </w:pPr>
                  <w:r>
                    <w:rPr>
                      <w:rFonts w:hint="eastAsia"/>
                      <w:color w:val="auto"/>
                      <w:szCs w:val="21"/>
                    </w:rPr>
                    <w:t>3.6t/a</w:t>
                  </w:r>
                </w:p>
              </w:tc>
              <w:tc>
                <w:tcPr>
                  <w:tcW w:w="334" w:type="pct"/>
                  <w:gridSpan w:val="2"/>
                  <w:vMerge w:val="restart"/>
                  <w:tcBorders>
                    <w:top w:val="single" w:color="auto" w:sz="4" w:space="0"/>
                  </w:tcBorders>
                  <w:shd w:val="clear" w:color="auto" w:fill="auto"/>
                  <w:vAlign w:val="center"/>
                </w:tcPr>
                <w:p w14:paraId="4EB4CB91">
                  <w:pPr>
                    <w:spacing w:line="0" w:lineRule="atLeast"/>
                    <w:jc w:val="center"/>
                    <w:rPr>
                      <w:rFonts w:hint="eastAsia" w:hAnsiTheme="minorEastAsia" w:eastAsiaTheme="minorEastAsia"/>
                      <w:color w:val="auto"/>
                      <w:szCs w:val="21"/>
                      <w:lang w:val="en-US" w:eastAsia="zh-CN"/>
                    </w:rPr>
                  </w:pPr>
                  <w:r>
                    <w:rPr>
                      <w:rFonts w:hint="eastAsia" w:hAnsiTheme="minorEastAsia" w:eastAsiaTheme="minorEastAsia"/>
                      <w:color w:val="auto"/>
                      <w:szCs w:val="21"/>
                    </w:rPr>
                    <w:t>危废贮存</w:t>
                  </w:r>
                  <w:r>
                    <w:rPr>
                      <w:rFonts w:hint="eastAsia" w:hAnsiTheme="minorEastAsia" w:eastAsiaTheme="minorEastAsia"/>
                      <w:color w:val="auto"/>
                      <w:szCs w:val="21"/>
                      <w:lang w:val="en-US" w:eastAsia="zh-CN"/>
                    </w:rPr>
                    <w:t>点</w:t>
                  </w:r>
                </w:p>
              </w:tc>
              <w:tc>
                <w:tcPr>
                  <w:tcW w:w="712" w:type="pct"/>
                  <w:gridSpan w:val="2"/>
                  <w:vMerge w:val="restart"/>
                  <w:tcBorders>
                    <w:top w:val="single" w:color="auto" w:sz="4" w:space="0"/>
                  </w:tcBorders>
                  <w:shd w:val="clear" w:color="auto" w:fill="auto"/>
                  <w:vAlign w:val="center"/>
                </w:tcPr>
                <w:p w14:paraId="1F6F5862">
                  <w:pPr>
                    <w:spacing w:line="0" w:lineRule="atLeast"/>
                    <w:jc w:val="center"/>
                    <w:rPr>
                      <w:rFonts w:eastAsiaTheme="minorEastAsia"/>
                      <w:color w:val="auto"/>
                      <w:szCs w:val="21"/>
                    </w:rPr>
                  </w:pPr>
                  <w:r>
                    <w:rPr>
                      <w:rFonts w:eastAsiaTheme="minorEastAsia"/>
                      <w:color w:val="auto"/>
                      <w:szCs w:val="21"/>
                    </w:rPr>
                    <w:t>暂存于危废</w:t>
                  </w:r>
                  <w:r>
                    <w:rPr>
                      <w:rFonts w:hint="eastAsia" w:eastAsiaTheme="minorEastAsia"/>
                      <w:color w:val="auto"/>
                      <w:szCs w:val="21"/>
                    </w:rPr>
                    <w:t>贮存</w:t>
                  </w:r>
                  <w:r>
                    <w:rPr>
                      <w:rFonts w:hint="eastAsia" w:hAnsiTheme="minorEastAsia" w:eastAsiaTheme="minorEastAsia"/>
                      <w:color w:val="auto"/>
                      <w:szCs w:val="21"/>
                      <w:lang w:val="en-US" w:eastAsia="zh-CN"/>
                    </w:rPr>
                    <w:t>点</w:t>
                  </w:r>
                  <w:r>
                    <w:rPr>
                      <w:rFonts w:eastAsiaTheme="minorEastAsia"/>
                      <w:color w:val="auto"/>
                      <w:szCs w:val="21"/>
                    </w:rPr>
                    <w:t>，交有资质单位处置</w:t>
                  </w:r>
                </w:p>
              </w:tc>
              <w:tc>
                <w:tcPr>
                  <w:tcW w:w="527" w:type="pct"/>
                  <w:shd w:val="clear" w:color="auto" w:fill="auto"/>
                  <w:vAlign w:val="center"/>
                </w:tcPr>
                <w:p w14:paraId="617F4F47">
                  <w:pPr>
                    <w:spacing w:line="0" w:lineRule="atLeast"/>
                    <w:jc w:val="center"/>
                    <w:rPr>
                      <w:color w:val="auto"/>
                      <w:szCs w:val="21"/>
                    </w:rPr>
                  </w:pPr>
                  <w:r>
                    <w:rPr>
                      <w:rFonts w:hint="eastAsia"/>
                      <w:color w:val="auto"/>
                      <w:szCs w:val="21"/>
                    </w:rPr>
                    <w:t>3.6t/a</w:t>
                  </w:r>
                </w:p>
              </w:tc>
            </w:tr>
            <w:tr w14:paraId="3DDC8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5" w:type="pct"/>
                  <w:gridSpan w:val="2"/>
                  <w:shd w:val="clear" w:color="auto" w:fill="auto"/>
                  <w:vAlign w:val="center"/>
                </w:tcPr>
                <w:p w14:paraId="0287CDC9">
                  <w:pPr>
                    <w:spacing w:line="0" w:lineRule="atLeast"/>
                    <w:jc w:val="center"/>
                    <w:rPr>
                      <w:rFonts w:hAnsiTheme="minorEastAsia" w:eastAsiaTheme="minorEastAsia"/>
                      <w:color w:val="auto"/>
                      <w:szCs w:val="21"/>
                    </w:rPr>
                  </w:pPr>
                  <w:r>
                    <w:rPr>
                      <w:rFonts w:hint="eastAsia" w:hAnsiTheme="minorEastAsia" w:eastAsiaTheme="minorEastAsia"/>
                      <w:color w:val="auto"/>
                      <w:szCs w:val="21"/>
                    </w:rPr>
                    <w:t>导热油炉</w:t>
                  </w:r>
                </w:p>
              </w:tc>
              <w:tc>
                <w:tcPr>
                  <w:tcW w:w="473" w:type="pct"/>
                  <w:gridSpan w:val="2"/>
                  <w:shd w:val="clear" w:color="auto" w:fill="auto"/>
                  <w:vAlign w:val="center"/>
                </w:tcPr>
                <w:p w14:paraId="4DA7CC14">
                  <w:pPr>
                    <w:spacing w:line="0" w:lineRule="atLeast"/>
                    <w:jc w:val="center"/>
                    <w:rPr>
                      <w:rFonts w:hAnsiTheme="minorEastAsia" w:eastAsiaTheme="minorEastAsia"/>
                      <w:color w:val="auto"/>
                      <w:szCs w:val="21"/>
                    </w:rPr>
                  </w:pPr>
                  <w:r>
                    <w:rPr>
                      <w:rFonts w:hint="eastAsia" w:hAnsiTheme="minorEastAsia" w:eastAsiaTheme="minorEastAsia"/>
                      <w:color w:val="auto"/>
                      <w:szCs w:val="21"/>
                    </w:rPr>
                    <w:t>废导热油</w:t>
                  </w:r>
                </w:p>
              </w:tc>
              <w:tc>
                <w:tcPr>
                  <w:tcW w:w="895" w:type="pct"/>
                  <w:gridSpan w:val="2"/>
                  <w:shd w:val="clear" w:color="auto" w:fill="auto"/>
                  <w:vAlign w:val="center"/>
                </w:tcPr>
                <w:p w14:paraId="5F16469E">
                  <w:pPr>
                    <w:widowControl/>
                    <w:jc w:val="center"/>
                    <w:rPr>
                      <w:rFonts w:hAnsiTheme="minorEastAsia" w:eastAsiaTheme="minorEastAsia"/>
                      <w:color w:val="auto"/>
                      <w:szCs w:val="21"/>
                    </w:rPr>
                  </w:pPr>
                  <w:r>
                    <w:rPr>
                      <w:rFonts w:hint="eastAsia" w:hAnsiTheme="minorEastAsia" w:eastAsiaTheme="minorEastAsia"/>
                      <w:color w:val="auto"/>
                      <w:szCs w:val="21"/>
                    </w:rPr>
                    <w:t>危险废物</w:t>
                  </w:r>
                  <w:r>
                    <w:rPr>
                      <w:rFonts w:eastAsiaTheme="minorEastAsia"/>
                      <w:color w:val="auto"/>
                      <w:szCs w:val="21"/>
                    </w:rPr>
                    <w:t>（类别</w:t>
                  </w:r>
                  <w:r>
                    <w:rPr>
                      <w:rFonts w:eastAsiaTheme="minorEastAsia"/>
                      <w:bCs/>
                      <w:color w:val="auto"/>
                      <w:szCs w:val="21"/>
                    </w:rPr>
                    <w:t>HW08，代码：900-249-08</w:t>
                  </w:r>
                  <w:r>
                    <w:rPr>
                      <w:rFonts w:eastAsiaTheme="minorEastAsia"/>
                      <w:color w:val="auto"/>
                      <w:szCs w:val="21"/>
                    </w:rPr>
                    <w:t>）</w:t>
                  </w:r>
                </w:p>
              </w:tc>
              <w:tc>
                <w:tcPr>
                  <w:tcW w:w="508" w:type="pct"/>
                  <w:gridSpan w:val="2"/>
                  <w:vAlign w:val="center"/>
                </w:tcPr>
                <w:p w14:paraId="0BCECCEB">
                  <w:pPr>
                    <w:widowControl/>
                    <w:jc w:val="center"/>
                    <w:rPr>
                      <w:rFonts w:eastAsiaTheme="minorEastAsia"/>
                      <w:color w:val="auto"/>
                      <w:szCs w:val="21"/>
                    </w:rPr>
                  </w:pPr>
                  <w:r>
                    <w:rPr>
                      <w:rFonts w:hint="eastAsia" w:eastAsiaTheme="minorEastAsia"/>
                      <w:color w:val="auto"/>
                      <w:szCs w:val="21"/>
                    </w:rPr>
                    <w:t>油类物质</w:t>
                  </w:r>
                </w:p>
              </w:tc>
              <w:tc>
                <w:tcPr>
                  <w:tcW w:w="249" w:type="pct"/>
                  <w:gridSpan w:val="2"/>
                  <w:shd w:val="clear" w:color="auto" w:fill="auto"/>
                  <w:vAlign w:val="center"/>
                </w:tcPr>
                <w:p w14:paraId="7AF18824">
                  <w:pPr>
                    <w:widowControl/>
                    <w:jc w:val="center"/>
                    <w:rPr>
                      <w:rFonts w:eastAsiaTheme="minorEastAsia"/>
                      <w:color w:val="auto"/>
                      <w:szCs w:val="21"/>
                    </w:rPr>
                  </w:pPr>
                  <w:r>
                    <w:rPr>
                      <w:rFonts w:hint="eastAsia" w:eastAsiaTheme="minorEastAsia"/>
                      <w:color w:val="auto"/>
                      <w:szCs w:val="21"/>
                    </w:rPr>
                    <w:t>液态</w:t>
                  </w:r>
                </w:p>
              </w:tc>
              <w:tc>
                <w:tcPr>
                  <w:tcW w:w="401" w:type="pct"/>
                  <w:gridSpan w:val="2"/>
                  <w:vMerge w:val="continue"/>
                  <w:shd w:val="clear" w:color="auto" w:fill="auto"/>
                  <w:vAlign w:val="center"/>
                </w:tcPr>
                <w:p w14:paraId="6610B315">
                  <w:pPr>
                    <w:widowControl/>
                    <w:jc w:val="center"/>
                    <w:rPr>
                      <w:rFonts w:eastAsiaTheme="minorEastAsia"/>
                      <w:color w:val="auto"/>
                      <w:szCs w:val="21"/>
                    </w:rPr>
                  </w:pPr>
                </w:p>
              </w:tc>
              <w:tc>
                <w:tcPr>
                  <w:tcW w:w="529" w:type="pct"/>
                  <w:gridSpan w:val="2"/>
                  <w:tcBorders>
                    <w:top w:val="single" w:color="auto" w:sz="4" w:space="0"/>
                    <w:bottom w:val="single" w:color="auto" w:sz="4" w:space="0"/>
                  </w:tcBorders>
                  <w:shd w:val="clear" w:color="auto" w:fill="FFFFFF"/>
                  <w:vAlign w:val="center"/>
                </w:tcPr>
                <w:p w14:paraId="639D6B2D">
                  <w:pPr>
                    <w:spacing w:line="0" w:lineRule="atLeast"/>
                    <w:jc w:val="center"/>
                    <w:rPr>
                      <w:color w:val="auto"/>
                      <w:szCs w:val="21"/>
                    </w:rPr>
                  </w:pPr>
                  <w:r>
                    <w:rPr>
                      <w:rFonts w:hint="eastAsia"/>
                      <w:color w:val="auto"/>
                      <w:szCs w:val="21"/>
                    </w:rPr>
                    <w:t>3t/3a</w:t>
                  </w:r>
                  <w:r>
                    <w:rPr>
                      <w:color w:val="auto"/>
                      <w:szCs w:val="21"/>
                    </w:rPr>
                    <w:t xml:space="preserve"> </w:t>
                  </w:r>
                </w:p>
              </w:tc>
              <w:tc>
                <w:tcPr>
                  <w:tcW w:w="334" w:type="pct"/>
                  <w:gridSpan w:val="2"/>
                  <w:vMerge w:val="continue"/>
                  <w:shd w:val="clear" w:color="auto" w:fill="auto"/>
                  <w:vAlign w:val="center"/>
                </w:tcPr>
                <w:p w14:paraId="053A54CF">
                  <w:pPr>
                    <w:spacing w:line="0" w:lineRule="atLeast"/>
                    <w:jc w:val="center"/>
                    <w:rPr>
                      <w:rFonts w:hAnsiTheme="minorEastAsia" w:eastAsiaTheme="minorEastAsia"/>
                      <w:color w:val="auto"/>
                      <w:szCs w:val="21"/>
                    </w:rPr>
                  </w:pPr>
                </w:p>
              </w:tc>
              <w:tc>
                <w:tcPr>
                  <w:tcW w:w="712" w:type="pct"/>
                  <w:gridSpan w:val="2"/>
                  <w:vMerge w:val="continue"/>
                  <w:shd w:val="clear" w:color="auto" w:fill="auto"/>
                  <w:vAlign w:val="center"/>
                </w:tcPr>
                <w:p w14:paraId="7F5DB383">
                  <w:pPr>
                    <w:spacing w:line="0" w:lineRule="atLeast"/>
                    <w:jc w:val="center"/>
                    <w:rPr>
                      <w:rFonts w:eastAsiaTheme="minorEastAsia"/>
                      <w:color w:val="auto"/>
                      <w:szCs w:val="21"/>
                    </w:rPr>
                  </w:pPr>
                </w:p>
              </w:tc>
              <w:tc>
                <w:tcPr>
                  <w:tcW w:w="527" w:type="pct"/>
                  <w:shd w:val="clear" w:color="auto" w:fill="auto"/>
                  <w:vAlign w:val="center"/>
                </w:tcPr>
                <w:p w14:paraId="1A72C325">
                  <w:pPr>
                    <w:spacing w:line="0" w:lineRule="atLeast"/>
                    <w:jc w:val="center"/>
                    <w:rPr>
                      <w:color w:val="auto"/>
                      <w:szCs w:val="21"/>
                    </w:rPr>
                  </w:pPr>
                  <w:r>
                    <w:rPr>
                      <w:rFonts w:hint="eastAsia"/>
                      <w:color w:val="auto"/>
                      <w:szCs w:val="21"/>
                    </w:rPr>
                    <w:t>3t/3a</w:t>
                  </w:r>
                  <w:r>
                    <w:rPr>
                      <w:color w:val="auto"/>
                      <w:szCs w:val="21"/>
                    </w:rPr>
                    <w:t xml:space="preserve"> </w:t>
                  </w:r>
                </w:p>
              </w:tc>
            </w:tr>
            <w:tr w14:paraId="0DDF2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4" w:type="pct"/>
                  <w:shd w:val="clear" w:color="auto" w:fill="auto"/>
                  <w:vAlign w:val="center"/>
                </w:tcPr>
                <w:p w14:paraId="5C371C0C">
                  <w:pPr>
                    <w:spacing w:line="0" w:lineRule="atLeast"/>
                    <w:jc w:val="center"/>
                    <w:rPr>
                      <w:rFonts w:hAnsiTheme="minorEastAsia" w:eastAsiaTheme="minorEastAsia"/>
                      <w:color w:val="auto"/>
                      <w:szCs w:val="21"/>
                    </w:rPr>
                  </w:pPr>
                  <w:r>
                    <w:rPr>
                      <w:rFonts w:hint="eastAsia" w:hAnsiTheme="minorEastAsia" w:eastAsiaTheme="minorEastAsia"/>
                      <w:color w:val="auto"/>
                      <w:szCs w:val="21"/>
                    </w:rPr>
                    <w:t>油品储存</w:t>
                  </w:r>
                </w:p>
              </w:tc>
              <w:tc>
                <w:tcPr>
                  <w:tcW w:w="472" w:type="pct"/>
                  <w:gridSpan w:val="2"/>
                  <w:shd w:val="clear" w:color="auto" w:fill="auto"/>
                  <w:vAlign w:val="center"/>
                </w:tcPr>
                <w:p w14:paraId="1108EB86">
                  <w:pPr>
                    <w:spacing w:line="0" w:lineRule="atLeast"/>
                    <w:jc w:val="center"/>
                    <w:rPr>
                      <w:rFonts w:hAnsiTheme="minorEastAsia" w:eastAsiaTheme="minorEastAsia"/>
                      <w:color w:val="auto"/>
                      <w:szCs w:val="21"/>
                    </w:rPr>
                  </w:pPr>
                  <w:r>
                    <w:rPr>
                      <w:rFonts w:hint="eastAsia" w:hAnsiTheme="minorEastAsia" w:eastAsiaTheme="minorEastAsia"/>
                      <w:color w:val="auto"/>
                      <w:szCs w:val="21"/>
                    </w:rPr>
                    <w:t>废油桶</w:t>
                  </w:r>
                </w:p>
              </w:tc>
              <w:tc>
                <w:tcPr>
                  <w:tcW w:w="895" w:type="pct"/>
                  <w:gridSpan w:val="2"/>
                  <w:shd w:val="clear" w:color="auto" w:fill="auto"/>
                  <w:vAlign w:val="center"/>
                </w:tcPr>
                <w:p w14:paraId="1BF34EF3">
                  <w:pPr>
                    <w:widowControl/>
                    <w:jc w:val="center"/>
                    <w:rPr>
                      <w:rFonts w:hAnsiTheme="minorEastAsia" w:eastAsiaTheme="minorEastAsia"/>
                      <w:color w:val="auto"/>
                      <w:szCs w:val="21"/>
                    </w:rPr>
                  </w:pPr>
                  <w:r>
                    <w:rPr>
                      <w:rFonts w:hint="eastAsia" w:hAnsiTheme="minorEastAsia" w:eastAsiaTheme="minorEastAsia"/>
                      <w:color w:val="auto"/>
                      <w:szCs w:val="21"/>
                    </w:rPr>
                    <w:t>危险废物</w:t>
                  </w:r>
                  <w:r>
                    <w:rPr>
                      <w:rFonts w:eastAsiaTheme="minorEastAsia"/>
                      <w:color w:val="auto"/>
                      <w:szCs w:val="21"/>
                    </w:rPr>
                    <w:t>（类别</w:t>
                  </w:r>
                  <w:r>
                    <w:rPr>
                      <w:rFonts w:eastAsiaTheme="minorEastAsia"/>
                      <w:bCs/>
                      <w:color w:val="auto"/>
                      <w:szCs w:val="21"/>
                    </w:rPr>
                    <w:t>HW08，代码：900-249-08</w:t>
                  </w:r>
                  <w:r>
                    <w:rPr>
                      <w:rFonts w:eastAsiaTheme="minorEastAsia"/>
                      <w:color w:val="auto"/>
                      <w:szCs w:val="21"/>
                    </w:rPr>
                    <w:t>）</w:t>
                  </w:r>
                </w:p>
              </w:tc>
              <w:tc>
                <w:tcPr>
                  <w:tcW w:w="508" w:type="pct"/>
                  <w:gridSpan w:val="2"/>
                  <w:vAlign w:val="center"/>
                </w:tcPr>
                <w:p w14:paraId="657D21E8">
                  <w:pPr>
                    <w:widowControl/>
                    <w:jc w:val="center"/>
                    <w:rPr>
                      <w:rFonts w:eastAsiaTheme="minorEastAsia"/>
                      <w:color w:val="auto"/>
                      <w:szCs w:val="21"/>
                    </w:rPr>
                  </w:pPr>
                  <w:r>
                    <w:rPr>
                      <w:rFonts w:hint="eastAsia" w:eastAsiaTheme="minorEastAsia"/>
                      <w:color w:val="auto"/>
                      <w:szCs w:val="21"/>
                    </w:rPr>
                    <w:t>油类物质</w:t>
                  </w:r>
                </w:p>
              </w:tc>
              <w:tc>
                <w:tcPr>
                  <w:tcW w:w="249" w:type="pct"/>
                  <w:gridSpan w:val="2"/>
                  <w:shd w:val="clear" w:color="auto" w:fill="auto"/>
                  <w:vAlign w:val="center"/>
                </w:tcPr>
                <w:p w14:paraId="229E06E5">
                  <w:pPr>
                    <w:widowControl/>
                    <w:jc w:val="center"/>
                    <w:rPr>
                      <w:rFonts w:eastAsiaTheme="minorEastAsia"/>
                      <w:color w:val="auto"/>
                      <w:szCs w:val="21"/>
                    </w:rPr>
                  </w:pPr>
                  <w:r>
                    <w:rPr>
                      <w:rFonts w:hint="eastAsia" w:eastAsiaTheme="minorEastAsia"/>
                      <w:color w:val="auto"/>
                      <w:szCs w:val="21"/>
                    </w:rPr>
                    <w:t>固态</w:t>
                  </w:r>
                </w:p>
              </w:tc>
              <w:tc>
                <w:tcPr>
                  <w:tcW w:w="401" w:type="pct"/>
                  <w:gridSpan w:val="2"/>
                  <w:vMerge w:val="restart"/>
                  <w:shd w:val="clear" w:color="auto" w:fill="auto"/>
                  <w:vAlign w:val="center"/>
                </w:tcPr>
                <w:p w14:paraId="11165CD6">
                  <w:pPr>
                    <w:widowControl/>
                    <w:jc w:val="center"/>
                    <w:rPr>
                      <w:rFonts w:eastAsiaTheme="minorEastAsia"/>
                      <w:bCs/>
                      <w:color w:val="auto"/>
                      <w:szCs w:val="21"/>
                    </w:rPr>
                  </w:pPr>
                  <w:r>
                    <w:rPr>
                      <w:rFonts w:hint="eastAsia" w:eastAsiaTheme="minorEastAsia"/>
                      <w:bCs/>
                      <w:color w:val="auto"/>
                      <w:szCs w:val="21"/>
                    </w:rPr>
                    <w:t>毒性和易燃性</w:t>
                  </w:r>
                </w:p>
              </w:tc>
              <w:tc>
                <w:tcPr>
                  <w:tcW w:w="529" w:type="pct"/>
                  <w:gridSpan w:val="2"/>
                  <w:tcBorders>
                    <w:top w:val="single" w:color="auto" w:sz="4" w:space="0"/>
                    <w:bottom w:val="single" w:color="auto" w:sz="4" w:space="0"/>
                  </w:tcBorders>
                  <w:shd w:val="clear" w:color="auto" w:fill="FFFFFF"/>
                  <w:vAlign w:val="center"/>
                </w:tcPr>
                <w:p w14:paraId="1971D0A4">
                  <w:pPr>
                    <w:spacing w:line="0" w:lineRule="atLeast"/>
                    <w:jc w:val="center"/>
                    <w:rPr>
                      <w:color w:val="auto"/>
                      <w:szCs w:val="21"/>
                    </w:rPr>
                  </w:pPr>
                  <w:r>
                    <w:rPr>
                      <w:color w:val="auto"/>
                      <w:szCs w:val="21"/>
                    </w:rPr>
                    <w:t>0.</w:t>
                  </w:r>
                  <w:r>
                    <w:rPr>
                      <w:rFonts w:hint="eastAsia"/>
                      <w:color w:val="auto"/>
                      <w:szCs w:val="21"/>
                    </w:rPr>
                    <w:t>01</w:t>
                  </w:r>
                  <w:r>
                    <w:rPr>
                      <w:color w:val="auto"/>
                      <w:szCs w:val="21"/>
                    </w:rPr>
                    <w:t>t/</w:t>
                  </w:r>
                  <w:r>
                    <w:rPr>
                      <w:rFonts w:hint="eastAsia"/>
                      <w:color w:val="auto"/>
                      <w:szCs w:val="21"/>
                    </w:rPr>
                    <w:t>3</w:t>
                  </w:r>
                  <w:r>
                    <w:rPr>
                      <w:color w:val="auto"/>
                      <w:szCs w:val="21"/>
                    </w:rPr>
                    <w:t>a</w:t>
                  </w:r>
                </w:p>
              </w:tc>
              <w:tc>
                <w:tcPr>
                  <w:tcW w:w="334" w:type="pct"/>
                  <w:gridSpan w:val="2"/>
                  <w:vMerge w:val="restart"/>
                  <w:shd w:val="clear" w:color="auto" w:fill="auto"/>
                  <w:vAlign w:val="center"/>
                </w:tcPr>
                <w:p w14:paraId="3F852E6A">
                  <w:pPr>
                    <w:spacing w:line="0" w:lineRule="atLeast"/>
                    <w:jc w:val="center"/>
                    <w:rPr>
                      <w:rFonts w:hint="eastAsia" w:hAnsiTheme="minorEastAsia" w:eastAsiaTheme="minorEastAsia"/>
                      <w:color w:val="auto"/>
                      <w:szCs w:val="21"/>
                      <w:lang w:val="en-US" w:eastAsia="zh-CN"/>
                    </w:rPr>
                  </w:pPr>
                  <w:r>
                    <w:rPr>
                      <w:rFonts w:hint="eastAsia" w:hAnsiTheme="minorEastAsia" w:eastAsiaTheme="minorEastAsia"/>
                      <w:color w:val="auto"/>
                      <w:szCs w:val="21"/>
                    </w:rPr>
                    <w:t>危废贮存</w:t>
                  </w:r>
                  <w:r>
                    <w:rPr>
                      <w:rFonts w:hint="eastAsia" w:hAnsiTheme="minorEastAsia" w:eastAsiaTheme="minorEastAsia"/>
                      <w:color w:val="auto"/>
                      <w:szCs w:val="21"/>
                      <w:lang w:val="en-US" w:eastAsia="zh-CN"/>
                    </w:rPr>
                    <w:t>点</w:t>
                  </w:r>
                </w:p>
              </w:tc>
              <w:tc>
                <w:tcPr>
                  <w:tcW w:w="712" w:type="pct"/>
                  <w:gridSpan w:val="2"/>
                  <w:vMerge w:val="restart"/>
                  <w:shd w:val="clear" w:color="auto" w:fill="auto"/>
                  <w:vAlign w:val="center"/>
                </w:tcPr>
                <w:p w14:paraId="1A26E420">
                  <w:pPr>
                    <w:spacing w:line="0" w:lineRule="atLeast"/>
                    <w:jc w:val="center"/>
                    <w:rPr>
                      <w:rFonts w:eastAsiaTheme="minorEastAsia"/>
                      <w:color w:val="auto"/>
                      <w:szCs w:val="21"/>
                    </w:rPr>
                  </w:pPr>
                  <w:r>
                    <w:rPr>
                      <w:rFonts w:eastAsiaTheme="minorEastAsia"/>
                      <w:color w:val="auto"/>
                      <w:szCs w:val="21"/>
                    </w:rPr>
                    <w:t>暂存于危废</w:t>
                  </w:r>
                  <w:r>
                    <w:rPr>
                      <w:rFonts w:hint="eastAsia" w:eastAsiaTheme="minorEastAsia"/>
                      <w:color w:val="auto"/>
                      <w:szCs w:val="21"/>
                    </w:rPr>
                    <w:t>贮存</w:t>
                  </w:r>
                  <w:r>
                    <w:rPr>
                      <w:rFonts w:hint="eastAsia" w:hAnsiTheme="minorEastAsia" w:eastAsiaTheme="minorEastAsia"/>
                      <w:color w:val="auto"/>
                      <w:szCs w:val="21"/>
                      <w:lang w:val="en-US" w:eastAsia="zh-CN"/>
                    </w:rPr>
                    <w:t>点</w:t>
                  </w:r>
                  <w:r>
                    <w:rPr>
                      <w:rFonts w:eastAsiaTheme="minorEastAsia"/>
                      <w:color w:val="auto"/>
                      <w:szCs w:val="21"/>
                    </w:rPr>
                    <w:t>，交有资质单位处置</w:t>
                  </w:r>
                </w:p>
              </w:tc>
              <w:tc>
                <w:tcPr>
                  <w:tcW w:w="529" w:type="pct"/>
                  <w:gridSpan w:val="2"/>
                  <w:shd w:val="clear" w:color="auto" w:fill="auto"/>
                  <w:vAlign w:val="center"/>
                </w:tcPr>
                <w:p w14:paraId="59EBEE91">
                  <w:pPr>
                    <w:spacing w:line="0" w:lineRule="atLeast"/>
                    <w:jc w:val="center"/>
                    <w:rPr>
                      <w:color w:val="auto"/>
                      <w:szCs w:val="21"/>
                    </w:rPr>
                  </w:pPr>
                  <w:r>
                    <w:rPr>
                      <w:color w:val="auto"/>
                      <w:szCs w:val="21"/>
                    </w:rPr>
                    <w:t>0.</w:t>
                  </w:r>
                  <w:r>
                    <w:rPr>
                      <w:rFonts w:hint="eastAsia"/>
                      <w:color w:val="auto"/>
                      <w:szCs w:val="21"/>
                    </w:rPr>
                    <w:t>01</w:t>
                  </w:r>
                  <w:r>
                    <w:rPr>
                      <w:color w:val="auto"/>
                      <w:szCs w:val="21"/>
                    </w:rPr>
                    <w:t>t/</w:t>
                  </w:r>
                  <w:r>
                    <w:rPr>
                      <w:rFonts w:hint="eastAsia"/>
                      <w:color w:val="auto"/>
                      <w:szCs w:val="21"/>
                    </w:rPr>
                    <w:t>3</w:t>
                  </w:r>
                  <w:r>
                    <w:rPr>
                      <w:color w:val="auto"/>
                      <w:szCs w:val="21"/>
                    </w:rPr>
                    <w:t>a</w:t>
                  </w:r>
                </w:p>
              </w:tc>
            </w:tr>
            <w:tr w14:paraId="7182F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64" w:type="pct"/>
                  <w:shd w:val="clear" w:color="auto" w:fill="auto"/>
                  <w:vAlign w:val="center"/>
                </w:tcPr>
                <w:p w14:paraId="6D43317A">
                  <w:pPr>
                    <w:spacing w:line="0" w:lineRule="atLeast"/>
                    <w:jc w:val="center"/>
                    <w:rPr>
                      <w:rFonts w:hAnsiTheme="minorEastAsia" w:eastAsiaTheme="minorEastAsia"/>
                      <w:color w:val="auto"/>
                      <w:szCs w:val="21"/>
                    </w:rPr>
                  </w:pPr>
                  <w:r>
                    <w:rPr>
                      <w:rFonts w:hint="eastAsia" w:hAnsiTheme="minorEastAsia" w:eastAsiaTheme="minorEastAsia"/>
                      <w:color w:val="auto"/>
                      <w:szCs w:val="21"/>
                    </w:rPr>
                    <w:t>初期雨水池</w:t>
                  </w:r>
                </w:p>
              </w:tc>
              <w:tc>
                <w:tcPr>
                  <w:tcW w:w="472" w:type="pct"/>
                  <w:gridSpan w:val="2"/>
                  <w:shd w:val="clear" w:color="auto" w:fill="auto"/>
                  <w:vAlign w:val="center"/>
                </w:tcPr>
                <w:p w14:paraId="749C603E">
                  <w:pPr>
                    <w:spacing w:line="0" w:lineRule="atLeast"/>
                    <w:jc w:val="center"/>
                    <w:rPr>
                      <w:rFonts w:hAnsiTheme="minorEastAsia" w:eastAsiaTheme="minorEastAsia"/>
                      <w:color w:val="auto"/>
                      <w:szCs w:val="21"/>
                    </w:rPr>
                  </w:pPr>
                  <w:r>
                    <w:rPr>
                      <w:rFonts w:hint="eastAsia" w:hAnsiTheme="minorEastAsia" w:eastAsiaTheme="minorEastAsia"/>
                      <w:color w:val="auto"/>
                      <w:szCs w:val="21"/>
                    </w:rPr>
                    <w:t>初期雨水池油污</w:t>
                  </w:r>
                </w:p>
              </w:tc>
              <w:tc>
                <w:tcPr>
                  <w:tcW w:w="895" w:type="pct"/>
                  <w:gridSpan w:val="2"/>
                  <w:shd w:val="clear" w:color="auto" w:fill="auto"/>
                  <w:vAlign w:val="center"/>
                </w:tcPr>
                <w:p w14:paraId="152B62F2">
                  <w:pPr>
                    <w:widowControl/>
                    <w:jc w:val="center"/>
                    <w:rPr>
                      <w:rFonts w:hAnsiTheme="minorEastAsia" w:eastAsiaTheme="minorEastAsia"/>
                      <w:color w:val="auto"/>
                      <w:szCs w:val="21"/>
                    </w:rPr>
                  </w:pPr>
                  <w:r>
                    <w:rPr>
                      <w:rFonts w:hint="eastAsia" w:hAnsiTheme="minorEastAsia" w:eastAsiaTheme="minorEastAsia"/>
                      <w:color w:val="auto"/>
                      <w:szCs w:val="21"/>
                    </w:rPr>
                    <w:t>危险废物</w:t>
                  </w:r>
                  <w:r>
                    <w:rPr>
                      <w:rFonts w:eastAsiaTheme="minorEastAsia"/>
                      <w:color w:val="auto"/>
                      <w:szCs w:val="21"/>
                    </w:rPr>
                    <w:t>（类别</w:t>
                  </w:r>
                  <w:r>
                    <w:rPr>
                      <w:rFonts w:eastAsiaTheme="minorEastAsia"/>
                      <w:bCs/>
                      <w:color w:val="auto"/>
                      <w:szCs w:val="21"/>
                    </w:rPr>
                    <w:t>HW08，代码：900-2</w:t>
                  </w:r>
                  <w:r>
                    <w:rPr>
                      <w:rFonts w:hint="eastAsia" w:eastAsiaTheme="minorEastAsia"/>
                      <w:bCs/>
                      <w:color w:val="auto"/>
                      <w:szCs w:val="21"/>
                    </w:rPr>
                    <w:t>10</w:t>
                  </w:r>
                  <w:r>
                    <w:rPr>
                      <w:rFonts w:eastAsiaTheme="minorEastAsia"/>
                      <w:bCs/>
                      <w:color w:val="auto"/>
                      <w:szCs w:val="21"/>
                    </w:rPr>
                    <w:t>-08</w:t>
                  </w:r>
                  <w:r>
                    <w:rPr>
                      <w:rFonts w:eastAsiaTheme="minorEastAsia"/>
                      <w:color w:val="auto"/>
                      <w:szCs w:val="21"/>
                    </w:rPr>
                    <w:t>）</w:t>
                  </w:r>
                </w:p>
              </w:tc>
              <w:tc>
                <w:tcPr>
                  <w:tcW w:w="508" w:type="pct"/>
                  <w:gridSpan w:val="2"/>
                  <w:vAlign w:val="center"/>
                </w:tcPr>
                <w:p w14:paraId="7FA8F9A5">
                  <w:pPr>
                    <w:widowControl/>
                    <w:jc w:val="center"/>
                    <w:rPr>
                      <w:rFonts w:eastAsiaTheme="minorEastAsia"/>
                      <w:color w:val="auto"/>
                      <w:szCs w:val="21"/>
                    </w:rPr>
                  </w:pPr>
                  <w:r>
                    <w:rPr>
                      <w:rFonts w:hint="eastAsia" w:eastAsiaTheme="minorEastAsia"/>
                      <w:color w:val="auto"/>
                      <w:szCs w:val="21"/>
                    </w:rPr>
                    <w:t>油类物质</w:t>
                  </w:r>
                </w:p>
              </w:tc>
              <w:tc>
                <w:tcPr>
                  <w:tcW w:w="249" w:type="pct"/>
                  <w:gridSpan w:val="2"/>
                  <w:shd w:val="clear" w:color="auto" w:fill="auto"/>
                  <w:vAlign w:val="center"/>
                </w:tcPr>
                <w:p w14:paraId="461FD66E">
                  <w:pPr>
                    <w:widowControl/>
                    <w:jc w:val="center"/>
                    <w:rPr>
                      <w:rFonts w:eastAsiaTheme="minorEastAsia"/>
                      <w:color w:val="auto"/>
                      <w:szCs w:val="21"/>
                    </w:rPr>
                  </w:pPr>
                  <w:r>
                    <w:rPr>
                      <w:rFonts w:hint="eastAsia" w:eastAsiaTheme="minorEastAsia"/>
                      <w:color w:val="auto"/>
                      <w:szCs w:val="21"/>
                    </w:rPr>
                    <w:t>液态</w:t>
                  </w:r>
                </w:p>
              </w:tc>
              <w:tc>
                <w:tcPr>
                  <w:tcW w:w="401" w:type="pct"/>
                  <w:gridSpan w:val="2"/>
                  <w:vMerge w:val="continue"/>
                  <w:shd w:val="clear" w:color="auto" w:fill="auto"/>
                  <w:vAlign w:val="center"/>
                </w:tcPr>
                <w:p w14:paraId="139CA183">
                  <w:pPr>
                    <w:widowControl/>
                    <w:jc w:val="center"/>
                    <w:rPr>
                      <w:rFonts w:eastAsiaTheme="minorEastAsia"/>
                      <w:bCs/>
                      <w:color w:val="auto"/>
                      <w:szCs w:val="21"/>
                    </w:rPr>
                  </w:pPr>
                </w:p>
              </w:tc>
              <w:tc>
                <w:tcPr>
                  <w:tcW w:w="529" w:type="pct"/>
                  <w:gridSpan w:val="2"/>
                  <w:tcBorders>
                    <w:top w:val="single" w:color="auto" w:sz="4" w:space="0"/>
                  </w:tcBorders>
                  <w:shd w:val="clear" w:color="auto" w:fill="FFFFFF"/>
                  <w:vAlign w:val="center"/>
                </w:tcPr>
                <w:p w14:paraId="6ED50F09">
                  <w:pPr>
                    <w:spacing w:line="0" w:lineRule="atLeast"/>
                    <w:jc w:val="center"/>
                    <w:rPr>
                      <w:color w:val="auto"/>
                      <w:szCs w:val="21"/>
                    </w:rPr>
                  </w:pPr>
                  <w:r>
                    <w:rPr>
                      <w:color w:val="auto"/>
                      <w:szCs w:val="21"/>
                    </w:rPr>
                    <w:t>0.</w:t>
                  </w:r>
                  <w:r>
                    <w:rPr>
                      <w:rFonts w:hint="eastAsia"/>
                      <w:color w:val="auto"/>
                      <w:szCs w:val="21"/>
                    </w:rPr>
                    <w:t>001</w:t>
                  </w:r>
                  <w:r>
                    <w:rPr>
                      <w:color w:val="auto"/>
                      <w:szCs w:val="21"/>
                    </w:rPr>
                    <w:t>t/a</w:t>
                  </w:r>
                </w:p>
              </w:tc>
              <w:tc>
                <w:tcPr>
                  <w:tcW w:w="334" w:type="pct"/>
                  <w:gridSpan w:val="2"/>
                  <w:vMerge w:val="continue"/>
                  <w:shd w:val="clear" w:color="auto" w:fill="auto"/>
                  <w:vAlign w:val="center"/>
                </w:tcPr>
                <w:p w14:paraId="3DAE5F26">
                  <w:pPr>
                    <w:spacing w:line="0" w:lineRule="atLeast"/>
                    <w:jc w:val="center"/>
                    <w:rPr>
                      <w:rFonts w:hAnsiTheme="minorEastAsia" w:eastAsiaTheme="minorEastAsia"/>
                      <w:color w:val="auto"/>
                      <w:szCs w:val="21"/>
                    </w:rPr>
                  </w:pPr>
                </w:p>
              </w:tc>
              <w:tc>
                <w:tcPr>
                  <w:tcW w:w="712" w:type="pct"/>
                  <w:gridSpan w:val="2"/>
                  <w:vMerge w:val="continue"/>
                  <w:shd w:val="clear" w:color="auto" w:fill="auto"/>
                  <w:vAlign w:val="center"/>
                </w:tcPr>
                <w:p w14:paraId="02256782">
                  <w:pPr>
                    <w:spacing w:line="0" w:lineRule="atLeast"/>
                    <w:jc w:val="center"/>
                    <w:rPr>
                      <w:rFonts w:eastAsiaTheme="minorEastAsia"/>
                      <w:color w:val="auto"/>
                      <w:szCs w:val="21"/>
                    </w:rPr>
                  </w:pPr>
                </w:p>
              </w:tc>
              <w:tc>
                <w:tcPr>
                  <w:tcW w:w="529" w:type="pct"/>
                  <w:gridSpan w:val="2"/>
                  <w:shd w:val="clear" w:color="auto" w:fill="auto"/>
                  <w:vAlign w:val="center"/>
                </w:tcPr>
                <w:p w14:paraId="26478715">
                  <w:pPr>
                    <w:spacing w:line="0" w:lineRule="atLeast"/>
                    <w:jc w:val="center"/>
                    <w:rPr>
                      <w:color w:val="auto"/>
                      <w:szCs w:val="21"/>
                    </w:rPr>
                  </w:pPr>
                  <w:r>
                    <w:rPr>
                      <w:color w:val="auto"/>
                      <w:szCs w:val="21"/>
                    </w:rPr>
                    <w:t>0.</w:t>
                  </w:r>
                  <w:r>
                    <w:rPr>
                      <w:rFonts w:hint="eastAsia"/>
                      <w:color w:val="auto"/>
                      <w:szCs w:val="21"/>
                    </w:rPr>
                    <w:t>001</w:t>
                  </w:r>
                  <w:r>
                    <w:rPr>
                      <w:color w:val="auto"/>
                      <w:szCs w:val="21"/>
                    </w:rPr>
                    <w:t>t/a</w:t>
                  </w:r>
                </w:p>
              </w:tc>
            </w:tr>
          </w:tbl>
          <w:p w14:paraId="4DD4CEDF">
            <w:pPr>
              <w:jc w:val="center"/>
              <w:rPr>
                <w:rFonts w:eastAsiaTheme="minorEastAsia"/>
                <w:b/>
                <w:color w:val="auto"/>
                <w:sz w:val="24"/>
              </w:rPr>
            </w:pPr>
            <w:r>
              <w:rPr>
                <w:rFonts w:eastAsiaTheme="minorEastAsia"/>
                <w:b/>
                <w:color w:val="auto"/>
                <w:sz w:val="24"/>
              </w:rPr>
              <w:t>表4-</w:t>
            </w:r>
            <w:r>
              <w:rPr>
                <w:rFonts w:hint="eastAsia" w:eastAsiaTheme="minorEastAsia"/>
                <w:b/>
                <w:color w:val="auto"/>
                <w:sz w:val="24"/>
                <w:lang w:val="en-US" w:eastAsia="zh-CN"/>
              </w:rPr>
              <w:t>11</w:t>
            </w:r>
            <w:r>
              <w:rPr>
                <w:rFonts w:eastAsiaTheme="minorEastAsia"/>
                <w:b/>
                <w:color w:val="auto"/>
                <w:sz w:val="24"/>
              </w:rPr>
              <w:t xml:space="preserve"> 项目危险废物汇总表</w:t>
            </w:r>
          </w:p>
          <w:tbl>
            <w:tblPr>
              <w:tblStyle w:val="27"/>
              <w:tblW w:w="496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343"/>
              <w:gridCol w:w="1121"/>
              <w:gridCol w:w="683"/>
              <w:gridCol w:w="678"/>
              <w:gridCol w:w="515"/>
              <w:gridCol w:w="598"/>
              <w:gridCol w:w="618"/>
              <w:gridCol w:w="583"/>
              <w:gridCol w:w="533"/>
              <w:gridCol w:w="983"/>
            </w:tblGrid>
            <w:tr w14:paraId="40401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5" w:type="pct"/>
                  <w:vAlign w:val="center"/>
                </w:tcPr>
                <w:p w14:paraId="2A29A992">
                  <w:pPr>
                    <w:contextualSpacing/>
                    <w:jc w:val="center"/>
                    <w:rPr>
                      <w:rFonts w:eastAsiaTheme="minorEastAsia"/>
                      <w:color w:val="auto"/>
                      <w:spacing w:val="-6"/>
                      <w:szCs w:val="21"/>
                    </w:rPr>
                  </w:pPr>
                  <w:r>
                    <w:rPr>
                      <w:rFonts w:eastAsiaTheme="minorEastAsia"/>
                      <w:color w:val="auto"/>
                      <w:spacing w:val="-6"/>
                      <w:szCs w:val="21"/>
                    </w:rPr>
                    <w:t>名称</w:t>
                  </w:r>
                </w:p>
              </w:tc>
              <w:tc>
                <w:tcPr>
                  <w:tcW w:w="806" w:type="pct"/>
                  <w:vAlign w:val="center"/>
                </w:tcPr>
                <w:p w14:paraId="712A32A1">
                  <w:pPr>
                    <w:contextualSpacing/>
                    <w:jc w:val="center"/>
                    <w:rPr>
                      <w:rFonts w:eastAsiaTheme="minorEastAsia"/>
                      <w:color w:val="auto"/>
                      <w:spacing w:val="-6"/>
                      <w:szCs w:val="21"/>
                    </w:rPr>
                  </w:pPr>
                  <w:r>
                    <w:rPr>
                      <w:rFonts w:eastAsiaTheme="minorEastAsia"/>
                      <w:color w:val="auto"/>
                      <w:spacing w:val="-6"/>
                      <w:szCs w:val="21"/>
                    </w:rPr>
                    <w:t>废物</w:t>
                  </w:r>
                </w:p>
                <w:p w14:paraId="74EAC618">
                  <w:pPr>
                    <w:contextualSpacing/>
                    <w:jc w:val="center"/>
                    <w:rPr>
                      <w:rFonts w:eastAsiaTheme="minorEastAsia"/>
                      <w:color w:val="auto"/>
                      <w:spacing w:val="-6"/>
                      <w:szCs w:val="21"/>
                    </w:rPr>
                  </w:pPr>
                  <w:r>
                    <w:rPr>
                      <w:rFonts w:eastAsiaTheme="minorEastAsia"/>
                      <w:color w:val="auto"/>
                      <w:spacing w:val="-6"/>
                      <w:szCs w:val="21"/>
                    </w:rPr>
                    <w:t>类别</w:t>
                  </w:r>
                </w:p>
              </w:tc>
              <w:tc>
                <w:tcPr>
                  <w:tcW w:w="673" w:type="pct"/>
                  <w:vAlign w:val="center"/>
                </w:tcPr>
                <w:p w14:paraId="357B62A0">
                  <w:pPr>
                    <w:contextualSpacing/>
                    <w:jc w:val="center"/>
                    <w:rPr>
                      <w:rFonts w:eastAsiaTheme="minorEastAsia"/>
                      <w:color w:val="auto"/>
                      <w:spacing w:val="-6"/>
                      <w:szCs w:val="21"/>
                    </w:rPr>
                  </w:pPr>
                  <w:r>
                    <w:rPr>
                      <w:rFonts w:eastAsiaTheme="minorEastAsia"/>
                      <w:color w:val="auto"/>
                      <w:spacing w:val="-6"/>
                      <w:szCs w:val="21"/>
                    </w:rPr>
                    <w:t>危险废物代码</w:t>
                  </w:r>
                </w:p>
              </w:tc>
              <w:tc>
                <w:tcPr>
                  <w:tcW w:w="410" w:type="pct"/>
                  <w:vAlign w:val="center"/>
                </w:tcPr>
                <w:p w14:paraId="302CAC92">
                  <w:pPr>
                    <w:contextualSpacing/>
                    <w:jc w:val="center"/>
                    <w:rPr>
                      <w:rFonts w:eastAsiaTheme="minorEastAsia"/>
                      <w:color w:val="auto"/>
                      <w:spacing w:val="-6"/>
                      <w:szCs w:val="21"/>
                    </w:rPr>
                  </w:pPr>
                  <w:r>
                    <w:rPr>
                      <w:rFonts w:eastAsiaTheme="minorEastAsia"/>
                      <w:color w:val="auto"/>
                      <w:spacing w:val="-6"/>
                      <w:szCs w:val="21"/>
                    </w:rPr>
                    <w:t>产生量</w:t>
                  </w:r>
                </w:p>
                <w:p w14:paraId="33F58F99">
                  <w:pPr>
                    <w:contextualSpacing/>
                    <w:jc w:val="center"/>
                    <w:rPr>
                      <w:rFonts w:eastAsiaTheme="minorEastAsia"/>
                      <w:color w:val="auto"/>
                      <w:spacing w:val="-6"/>
                      <w:szCs w:val="21"/>
                    </w:rPr>
                  </w:pPr>
                  <w:r>
                    <w:rPr>
                      <w:rFonts w:eastAsiaTheme="minorEastAsia"/>
                      <w:color w:val="auto"/>
                      <w:spacing w:val="-6"/>
                      <w:szCs w:val="21"/>
                    </w:rPr>
                    <w:t>（吨/年）</w:t>
                  </w:r>
                </w:p>
              </w:tc>
              <w:tc>
                <w:tcPr>
                  <w:tcW w:w="407" w:type="pct"/>
                  <w:vAlign w:val="center"/>
                </w:tcPr>
                <w:p w14:paraId="020E1983">
                  <w:pPr>
                    <w:contextualSpacing/>
                    <w:jc w:val="center"/>
                    <w:rPr>
                      <w:rFonts w:eastAsiaTheme="minorEastAsia"/>
                      <w:color w:val="auto"/>
                      <w:spacing w:val="-6"/>
                      <w:szCs w:val="21"/>
                    </w:rPr>
                  </w:pPr>
                  <w:r>
                    <w:rPr>
                      <w:rFonts w:eastAsiaTheme="minorEastAsia"/>
                      <w:color w:val="auto"/>
                      <w:spacing w:val="-6"/>
                      <w:szCs w:val="21"/>
                    </w:rPr>
                    <w:t>产生工序及装置</w:t>
                  </w:r>
                </w:p>
              </w:tc>
              <w:tc>
                <w:tcPr>
                  <w:tcW w:w="309" w:type="pct"/>
                  <w:vAlign w:val="center"/>
                </w:tcPr>
                <w:p w14:paraId="65F0DA14">
                  <w:pPr>
                    <w:contextualSpacing/>
                    <w:jc w:val="center"/>
                    <w:rPr>
                      <w:rFonts w:eastAsiaTheme="minorEastAsia"/>
                      <w:color w:val="auto"/>
                      <w:spacing w:val="-6"/>
                      <w:szCs w:val="21"/>
                    </w:rPr>
                  </w:pPr>
                  <w:r>
                    <w:rPr>
                      <w:rFonts w:eastAsiaTheme="minorEastAsia"/>
                      <w:color w:val="auto"/>
                      <w:spacing w:val="-6"/>
                      <w:szCs w:val="21"/>
                    </w:rPr>
                    <w:t>形态</w:t>
                  </w:r>
                </w:p>
              </w:tc>
              <w:tc>
                <w:tcPr>
                  <w:tcW w:w="359" w:type="pct"/>
                  <w:vAlign w:val="center"/>
                </w:tcPr>
                <w:p w14:paraId="07EEE65C">
                  <w:pPr>
                    <w:contextualSpacing/>
                    <w:jc w:val="center"/>
                    <w:rPr>
                      <w:rFonts w:eastAsiaTheme="minorEastAsia"/>
                      <w:color w:val="auto"/>
                      <w:spacing w:val="-6"/>
                      <w:szCs w:val="21"/>
                    </w:rPr>
                  </w:pPr>
                  <w:r>
                    <w:rPr>
                      <w:rFonts w:eastAsiaTheme="minorEastAsia"/>
                      <w:color w:val="auto"/>
                      <w:spacing w:val="-6"/>
                      <w:szCs w:val="21"/>
                    </w:rPr>
                    <w:t>主要成分</w:t>
                  </w:r>
                </w:p>
              </w:tc>
              <w:tc>
                <w:tcPr>
                  <w:tcW w:w="371" w:type="pct"/>
                  <w:vAlign w:val="center"/>
                </w:tcPr>
                <w:p w14:paraId="06239860">
                  <w:pPr>
                    <w:contextualSpacing/>
                    <w:jc w:val="center"/>
                    <w:rPr>
                      <w:rFonts w:eastAsiaTheme="minorEastAsia"/>
                      <w:color w:val="auto"/>
                      <w:spacing w:val="-6"/>
                      <w:szCs w:val="21"/>
                    </w:rPr>
                  </w:pPr>
                  <w:r>
                    <w:rPr>
                      <w:rFonts w:eastAsiaTheme="minorEastAsia"/>
                      <w:color w:val="auto"/>
                      <w:spacing w:val="-6"/>
                      <w:szCs w:val="21"/>
                    </w:rPr>
                    <w:t>有害成分</w:t>
                  </w:r>
                </w:p>
              </w:tc>
              <w:tc>
                <w:tcPr>
                  <w:tcW w:w="350" w:type="pct"/>
                  <w:vAlign w:val="center"/>
                </w:tcPr>
                <w:p w14:paraId="76F0AE6C">
                  <w:pPr>
                    <w:contextualSpacing/>
                    <w:jc w:val="center"/>
                    <w:rPr>
                      <w:rFonts w:eastAsiaTheme="minorEastAsia"/>
                      <w:color w:val="auto"/>
                      <w:spacing w:val="-6"/>
                      <w:szCs w:val="21"/>
                    </w:rPr>
                  </w:pPr>
                  <w:r>
                    <w:rPr>
                      <w:rFonts w:eastAsiaTheme="minorEastAsia"/>
                      <w:color w:val="auto"/>
                      <w:spacing w:val="-6"/>
                      <w:szCs w:val="21"/>
                    </w:rPr>
                    <w:t>产废周期</w:t>
                  </w:r>
                </w:p>
              </w:tc>
              <w:tc>
                <w:tcPr>
                  <w:tcW w:w="320" w:type="pct"/>
                  <w:vAlign w:val="center"/>
                </w:tcPr>
                <w:p w14:paraId="5371191A">
                  <w:pPr>
                    <w:contextualSpacing/>
                    <w:jc w:val="center"/>
                    <w:rPr>
                      <w:rFonts w:eastAsiaTheme="minorEastAsia"/>
                      <w:color w:val="auto"/>
                      <w:spacing w:val="-6"/>
                      <w:szCs w:val="21"/>
                    </w:rPr>
                  </w:pPr>
                  <w:r>
                    <w:rPr>
                      <w:rFonts w:eastAsiaTheme="minorEastAsia"/>
                      <w:color w:val="auto"/>
                      <w:spacing w:val="-6"/>
                      <w:szCs w:val="21"/>
                    </w:rPr>
                    <w:t>危险</w:t>
                  </w:r>
                </w:p>
                <w:p w14:paraId="26E230B6">
                  <w:pPr>
                    <w:contextualSpacing/>
                    <w:jc w:val="center"/>
                    <w:rPr>
                      <w:rFonts w:eastAsiaTheme="minorEastAsia"/>
                      <w:color w:val="auto"/>
                      <w:spacing w:val="-6"/>
                      <w:szCs w:val="21"/>
                    </w:rPr>
                  </w:pPr>
                  <w:r>
                    <w:rPr>
                      <w:rFonts w:eastAsiaTheme="minorEastAsia"/>
                      <w:color w:val="auto"/>
                      <w:spacing w:val="-6"/>
                      <w:szCs w:val="21"/>
                    </w:rPr>
                    <w:t>特性</w:t>
                  </w:r>
                </w:p>
              </w:tc>
              <w:tc>
                <w:tcPr>
                  <w:tcW w:w="591" w:type="pct"/>
                  <w:vAlign w:val="center"/>
                </w:tcPr>
                <w:p w14:paraId="22F2C705">
                  <w:pPr>
                    <w:topLinePunct/>
                    <w:adjustRightInd w:val="0"/>
                    <w:jc w:val="center"/>
                    <w:rPr>
                      <w:rFonts w:eastAsiaTheme="minorEastAsia"/>
                      <w:color w:val="auto"/>
                      <w:szCs w:val="21"/>
                    </w:rPr>
                  </w:pPr>
                  <w:r>
                    <w:rPr>
                      <w:rFonts w:eastAsiaTheme="minorEastAsia"/>
                      <w:color w:val="auto"/>
                      <w:szCs w:val="21"/>
                    </w:rPr>
                    <w:t>污染防治措施</w:t>
                  </w:r>
                </w:p>
              </w:tc>
            </w:tr>
            <w:tr w14:paraId="36792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4" w:type="pct"/>
                  <w:vAlign w:val="center"/>
                </w:tcPr>
                <w:p w14:paraId="1F5744BF">
                  <w:pPr>
                    <w:spacing w:line="0" w:lineRule="atLeast"/>
                    <w:contextualSpacing/>
                    <w:jc w:val="center"/>
                    <w:rPr>
                      <w:rFonts w:eastAsiaTheme="minorEastAsia"/>
                      <w:color w:val="auto"/>
                      <w:spacing w:val="-6"/>
                      <w:szCs w:val="21"/>
                    </w:rPr>
                  </w:pPr>
                  <w:r>
                    <w:rPr>
                      <w:rFonts w:eastAsiaTheme="minorEastAsia"/>
                      <w:color w:val="auto"/>
                      <w:spacing w:val="-6"/>
                      <w:szCs w:val="21"/>
                    </w:rPr>
                    <w:t>废活性炭</w:t>
                  </w:r>
                </w:p>
              </w:tc>
              <w:tc>
                <w:tcPr>
                  <w:tcW w:w="806" w:type="pct"/>
                  <w:vAlign w:val="center"/>
                </w:tcPr>
                <w:p w14:paraId="0F36EA9E">
                  <w:pPr>
                    <w:topLinePunct/>
                    <w:spacing w:line="0" w:lineRule="atLeast"/>
                    <w:contextualSpacing/>
                    <w:jc w:val="center"/>
                    <w:rPr>
                      <w:rFonts w:eastAsiaTheme="minorEastAsia"/>
                      <w:color w:val="auto"/>
                      <w:spacing w:val="-6"/>
                      <w:szCs w:val="21"/>
                    </w:rPr>
                  </w:pPr>
                  <w:r>
                    <w:rPr>
                      <w:rFonts w:eastAsiaTheme="minorEastAsia"/>
                      <w:color w:val="auto"/>
                      <w:spacing w:val="-6"/>
                      <w:szCs w:val="21"/>
                    </w:rPr>
                    <w:t>HW49</w:t>
                  </w:r>
                </w:p>
                <w:p w14:paraId="228D73F7">
                  <w:pPr>
                    <w:topLinePunct/>
                    <w:spacing w:line="0" w:lineRule="atLeast"/>
                    <w:contextualSpacing/>
                    <w:jc w:val="center"/>
                    <w:rPr>
                      <w:rFonts w:eastAsiaTheme="minorEastAsia"/>
                      <w:color w:val="auto"/>
                      <w:spacing w:val="-6"/>
                      <w:szCs w:val="21"/>
                    </w:rPr>
                  </w:pPr>
                  <w:r>
                    <w:rPr>
                      <w:rFonts w:eastAsiaTheme="minorEastAsia"/>
                      <w:color w:val="auto"/>
                      <w:spacing w:val="-6"/>
                      <w:szCs w:val="21"/>
                    </w:rPr>
                    <w:t>其他废物</w:t>
                  </w:r>
                </w:p>
              </w:tc>
              <w:tc>
                <w:tcPr>
                  <w:tcW w:w="673" w:type="pct"/>
                  <w:vAlign w:val="center"/>
                </w:tcPr>
                <w:p w14:paraId="1D8B34F9">
                  <w:pPr>
                    <w:topLinePunct/>
                    <w:spacing w:line="0" w:lineRule="atLeast"/>
                    <w:contextualSpacing/>
                    <w:jc w:val="center"/>
                    <w:rPr>
                      <w:rFonts w:eastAsiaTheme="minorEastAsia"/>
                      <w:color w:val="auto"/>
                      <w:spacing w:val="-6"/>
                      <w:szCs w:val="21"/>
                    </w:rPr>
                  </w:pPr>
                  <w:r>
                    <w:rPr>
                      <w:rFonts w:eastAsiaTheme="minorEastAsia"/>
                      <w:color w:val="auto"/>
                      <w:spacing w:val="-6"/>
                      <w:szCs w:val="21"/>
                    </w:rPr>
                    <w:t>900-0</w:t>
                  </w:r>
                  <w:r>
                    <w:rPr>
                      <w:rFonts w:hint="eastAsia" w:eastAsiaTheme="minorEastAsia"/>
                      <w:color w:val="auto"/>
                      <w:spacing w:val="-6"/>
                      <w:szCs w:val="21"/>
                    </w:rPr>
                    <w:t>39</w:t>
                  </w:r>
                  <w:r>
                    <w:rPr>
                      <w:rFonts w:eastAsiaTheme="minorEastAsia"/>
                      <w:color w:val="auto"/>
                      <w:spacing w:val="-6"/>
                      <w:szCs w:val="21"/>
                    </w:rPr>
                    <w:t>-49</w:t>
                  </w:r>
                </w:p>
              </w:tc>
              <w:tc>
                <w:tcPr>
                  <w:tcW w:w="410" w:type="pct"/>
                  <w:vAlign w:val="center"/>
                </w:tcPr>
                <w:p w14:paraId="31598B2D">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3.6</w:t>
                  </w:r>
                </w:p>
              </w:tc>
              <w:tc>
                <w:tcPr>
                  <w:tcW w:w="407" w:type="pct"/>
                  <w:vAlign w:val="center"/>
                </w:tcPr>
                <w:p w14:paraId="02255349">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废气净化装置</w:t>
                  </w:r>
                </w:p>
              </w:tc>
              <w:tc>
                <w:tcPr>
                  <w:tcW w:w="309" w:type="pct"/>
                  <w:vAlign w:val="center"/>
                </w:tcPr>
                <w:p w14:paraId="7F281B9F">
                  <w:pPr>
                    <w:pStyle w:val="90"/>
                    <w:spacing w:line="240" w:lineRule="auto"/>
                    <w:contextualSpacing/>
                    <w:rPr>
                      <w:rFonts w:eastAsiaTheme="minorEastAsia"/>
                      <w:color w:val="auto"/>
                      <w:spacing w:val="-6"/>
                      <w:kern w:val="2"/>
                      <w:sz w:val="21"/>
                      <w:szCs w:val="21"/>
                    </w:rPr>
                  </w:pPr>
                  <w:r>
                    <w:rPr>
                      <w:rFonts w:eastAsiaTheme="minorEastAsia"/>
                      <w:color w:val="auto"/>
                      <w:spacing w:val="-6"/>
                      <w:kern w:val="2"/>
                      <w:sz w:val="21"/>
                      <w:szCs w:val="21"/>
                    </w:rPr>
                    <w:t>固态</w:t>
                  </w:r>
                </w:p>
              </w:tc>
              <w:tc>
                <w:tcPr>
                  <w:tcW w:w="359" w:type="pct"/>
                  <w:vAlign w:val="center"/>
                </w:tcPr>
                <w:p w14:paraId="26E10BD0">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沥青烟</w:t>
                  </w:r>
                </w:p>
              </w:tc>
              <w:tc>
                <w:tcPr>
                  <w:tcW w:w="371" w:type="pct"/>
                  <w:vAlign w:val="center"/>
                </w:tcPr>
                <w:p w14:paraId="22BC050D">
                  <w:pPr>
                    <w:widowControl/>
                    <w:spacing w:line="240" w:lineRule="exact"/>
                    <w:contextualSpacing/>
                    <w:jc w:val="center"/>
                    <w:rPr>
                      <w:rFonts w:eastAsiaTheme="minorEastAsia"/>
                      <w:color w:val="auto"/>
                      <w:spacing w:val="-6"/>
                      <w:szCs w:val="21"/>
                    </w:rPr>
                  </w:pPr>
                  <w:r>
                    <w:rPr>
                      <w:rFonts w:eastAsiaTheme="minorEastAsia"/>
                      <w:color w:val="auto"/>
                      <w:spacing w:val="-6"/>
                      <w:szCs w:val="21"/>
                    </w:rPr>
                    <w:t>苯并[a]芘</w:t>
                  </w:r>
                </w:p>
              </w:tc>
              <w:tc>
                <w:tcPr>
                  <w:tcW w:w="350" w:type="pct"/>
                  <w:vAlign w:val="center"/>
                </w:tcPr>
                <w:p w14:paraId="64B5376D">
                  <w:pPr>
                    <w:pStyle w:val="90"/>
                    <w:spacing w:line="240" w:lineRule="auto"/>
                    <w:contextualSpacing/>
                    <w:jc w:val="both"/>
                    <w:rPr>
                      <w:rFonts w:eastAsiaTheme="minorEastAsia"/>
                      <w:color w:val="auto"/>
                      <w:spacing w:val="-6"/>
                      <w:kern w:val="2"/>
                      <w:sz w:val="21"/>
                      <w:szCs w:val="21"/>
                    </w:rPr>
                  </w:pPr>
                  <w:r>
                    <w:rPr>
                      <w:rFonts w:eastAsiaTheme="minorEastAsia"/>
                      <w:color w:val="auto"/>
                      <w:spacing w:val="-6"/>
                      <w:kern w:val="2"/>
                      <w:sz w:val="21"/>
                      <w:szCs w:val="21"/>
                    </w:rPr>
                    <w:t>1</w:t>
                  </w:r>
                  <w:r>
                    <w:rPr>
                      <w:rFonts w:hint="eastAsia" w:eastAsiaTheme="minorEastAsia"/>
                      <w:color w:val="auto"/>
                      <w:spacing w:val="-6"/>
                      <w:kern w:val="2"/>
                      <w:sz w:val="21"/>
                      <w:szCs w:val="21"/>
                    </w:rPr>
                    <w:t>月</w:t>
                  </w:r>
                </w:p>
              </w:tc>
              <w:tc>
                <w:tcPr>
                  <w:tcW w:w="320" w:type="pct"/>
                  <w:vAlign w:val="center"/>
                </w:tcPr>
                <w:p w14:paraId="3125125A">
                  <w:pPr>
                    <w:widowControl/>
                    <w:spacing w:line="240" w:lineRule="exact"/>
                    <w:contextualSpacing/>
                    <w:jc w:val="center"/>
                    <w:rPr>
                      <w:rFonts w:eastAsiaTheme="minorEastAsia"/>
                      <w:color w:val="auto"/>
                      <w:spacing w:val="-6"/>
                      <w:szCs w:val="21"/>
                    </w:rPr>
                  </w:pPr>
                  <w:r>
                    <w:rPr>
                      <w:rFonts w:eastAsiaTheme="minorEastAsia"/>
                      <w:color w:val="auto"/>
                      <w:spacing w:val="-6"/>
                      <w:szCs w:val="21"/>
                    </w:rPr>
                    <w:t>毒性</w:t>
                  </w:r>
                </w:p>
              </w:tc>
              <w:tc>
                <w:tcPr>
                  <w:tcW w:w="592" w:type="pct"/>
                  <w:vMerge w:val="restart"/>
                  <w:vAlign w:val="center"/>
                </w:tcPr>
                <w:p w14:paraId="05C16244">
                  <w:pPr>
                    <w:pStyle w:val="90"/>
                    <w:spacing w:line="240" w:lineRule="auto"/>
                    <w:rPr>
                      <w:rFonts w:eastAsiaTheme="minorEastAsia"/>
                      <w:color w:val="auto"/>
                      <w:sz w:val="21"/>
                    </w:rPr>
                  </w:pPr>
                  <w:r>
                    <w:rPr>
                      <w:rFonts w:eastAsiaTheme="minorEastAsia"/>
                      <w:color w:val="auto"/>
                      <w:sz w:val="21"/>
                    </w:rPr>
                    <w:t>暂存于</w:t>
                  </w:r>
                  <w:r>
                    <w:rPr>
                      <w:rFonts w:hint="eastAsia" w:eastAsiaTheme="minorEastAsia"/>
                      <w:color w:val="auto"/>
                      <w:sz w:val="21"/>
                    </w:rPr>
                    <w:t>危废贮存</w:t>
                  </w:r>
                  <w:r>
                    <w:rPr>
                      <w:rFonts w:hint="eastAsia" w:hAnsiTheme="minorEastAsia" w:eastAsiaTheme="minorEastAsia"/>
                      <w:color w:val="auto"/>
                      <w:szCs w:val="21"/>
                      <w:lang w:val="en-US" w:eastAsia="zh-CN"/>
                    </w:rPr>
                    <w:t>点</w:t>
                  </w:r>
                  <w:r>
                    <w:rPr>
                      <w:rFonts w:eastAsiaTheme="minorEastAsia"/>
                      <w:color w:val="auto"/>
                      <w:sz w:val="21"/>
                    </w:rPr>
                    <w:t>，交有资质单位处置</w:t>
                  </w:r>
                </w:p>
              </w:tc>
            </w:tr>
            <w:tr w14:paraId="33D2E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5" w:type="pct"/>
                  <w:vAlign w:val="center"/>
                </w:tcPr>
                <w:p w14:paraId="2BDAD37D">
                  <w:pPr>
                    <w:spacing w:line="0" w:lineRule="atLeast"/>
                    <w:contextualSpacing/>
                    <w:jc w:val="center"/>
                    <w:rPr>
                      <w:rFonts w:eastAsiaTheme="minorEastAsia"/>
                      <w:color w:val="auto"/>
                      <w:spacing w:val="-6"/>
                      <w:szCs w:val="21"/>
                    </w:rPr>
                  </w:pPr>
                  <w:r>
                    <w:rPr>
                      <w:rFonts w:eastAsiaTheme="minorEastAsia"/>
                      <w:color w:val="auto"/>
                      <w:spacing w:val="-6"/>
                      <w:szCs w:val="21"/>
                    </w:rPr>
                    <w:t>废导热油</w:t>
                  </w:r>
                </w:p>
              </w:tc>
              <w:tc>
                <w:tcPr>
                  <w:tcW w:w="806" w:type="pct"/>
                  <w:vAlign w:val="center"/>
                </w:tcPr>
                <w:p w14:paraId="724049BF">
                  <w:pPr>
                    <w:topLinePunct/>
                    <w:spacing w:line="0" w:lineRule="atLeast"/>
                    <w:contextualSpacing/>
                    <w:jc w:val="center"/>
                    <w:rPr>
                      <w:rFonts w:eastAsiaTheme="minorEastAsia"/>
                      <w:color w:val="auto"/>
                      <w:spacing w:val="-6"/>
                      <w:szCs w:val="21"/>
                    </w:rPr>
                  </w:pPr>
                  <w:r>
                    <w:rPr>
                      <w:rFonts w:eastAsiaTheme="minorEastAsia"/>
                      <w:color w:val="auto"/>
                      <w:spacing w:val="-6"/>
                      <w:szCs w:val="21"/>
                    </w:rPr>
                    <w:t>HW08废矿物油与含矿物油废物</w:t>
                  </w:r>
                </w:p>
              </w:tc>
              <w:tc>
                <w:tcPr>
                  <w:tcW w:w="673" w:type="pct"/>
                  <w:vAlign w:val="center"/>
                </w:tcPr>
                <w:p w14:paraId="16B40365">
                  <w:pPr>
                    <w:topLinePunct/>
                    <w:spacing w:line="0" w:lineRule="atLeast"/>
                    <w:contextualSpacing/>
                    <w:jc w:val="center"/>
                    <w:rPr>
                      <w:rFonts w:eastAsiaTheme="minorEastAsia"/>
                      <w:color w:val="auto"/>
                      <w:spacing w:val="-6"/>
                      <w:szCs w:val="21"/>
                    </w:rPr>
                  </w:pPr>
                  <w:r>
                    <w:rPr>
                      <w:rFonts w:eastAsiaTheme="minorEastAsia"/>
                      <w:color w:val="auto"/>
                      <w:spacing w:val="-6"/>
                      <w:szCs w:val="21"/>
                    </w:rPr>
                    <w:t>900-249-08</w:t>
                  </w:r>
                </w:p>
              </w:tc>
              <w:tc>
                <w:tcPr>
                  <w:tcW w:w="410" w:type="pct"/>
                  <w:vAlign w:val="center"/>
                </w:tcPr>
                <w:p w14:paraId="1CE21900">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3</w:t>
                  </w:r>
                </w:p>
              </w:tc>
              <w:tc>
                <w:tcPr>
                  <w:tcW w:w="407" w:type="pct"/>
                  <w:vAlign w:val="center"/>
                </w:tcPr>
                <w:p w14:paraId="16899AB4">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导热油炉</w:t>
                  </w:r>
                </w:p>
              </w:tc>
              <w:tc>
                <w:tcPr>
                  <w:tcW w:w="309" w:type="pct"/>
                  <w:vAlign w:val="center"/>
                </w:tcPr>
                <w:p w14:paraId="465C88D0">
                  <w:pPr>
                    <w:pStyle w:val="90"/>
                    <w:spacing w:line="240" w:lineRule="auto"/>
                    <w:contextualSpacing/>
                    <w:rPr>
                      <w:rFonts w:eastAsiaTheme="minorEastAsia"/>
                      <w:color w:val="auto"/>
                      <w:spacing w:val="-6"/>
                      <w:kern w:val="2"/>
                      <w:sz w:val="21"/>
                      <w:szCs w:val="21"/>
                    </w:rPr>
                  </w:pPr>
                  <w:r>
                    <w:rPr>
                      <w:rFonts w:hint="eastAsia" w:eastAsiaTheme="minorEastAsia"/>
                      <w:color w:val="auto"/>
                      <w:spacing w:val="-6"/>
                      <w:kern w:val="2"/>
                      <w:sz w:val="21"/>
                      <w:szCs w:val="21"/>
                    </w:rPr>
                    <w:t>液态</w:t>
                  </w:r>
                </w:p>
              </w:tc>
              <w:tc>
                <w:tcPr>
                  <w:tcW w:w="359" w:type="pct"/>
                  <w:vAlign w:val="center"/>
                </w:tcPr>
                <w:p w14:paraId="601511B7">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有机物</w:t>
                  </w:r>
                </w:p>
              </w:tc>
              <w:tc>
                <w:tcPr>
                  <w:tcW w:w="371" w:type="pct"/>
                  <w:vAlign w:val="center"/>
                </w:tcPr>
                <w:p w14:paraId="05D9DF72">
                  <w:pPr>
                    <w:widowControl/>
                    <w:spacing w:line="240" w:lineRule="exact"/>
                    <w:contextualSpacing/>
                    <w:jc w:val="center"/>
                    <w:rPr>
                      <w:rFonts w:eastAsiaTheme="minorEastAsia"/>
                      <w:color w:val="auto"/>
                      <w:spacing w:val="-6"/>
                      <w:szCs w:val="21"/>
                    </w:rPr>
                  </w:pPr>
                  <w:r>
                    <w:rPr>
                      <w:rFonts w:eastAsiaTheme="minorEastAsia"/>
                      <w:color w:val="auto"/>
                      <w:spacing w:val="-6"/>
                      <w:szCs w:val="21"/>
                    </w:rPr>
                    <w:t>石油类</w:t>
                  </w:r>
                </w:p>
              </w:tc>
              <w:tc>
                <w:tcPr>
                  <w:tcW w:w="350" w:type="pct"/>
                  <w:vAlign w:val="center"/>
                </w:tcPr>
                <w:p w14:paraId="77F8A02A">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3年</w:t>
                  </w:r>
                </w:p>
              </w:tc>
              <w:tc>
                <w:tcPr>
                  <w:tcW w:w="320" w:type="pct"/>
                  <w:vAlign w:val="center"/>
                </w:tcPr>
                <w:p w14:paraId="03340886">
                  <w:pPr>
                    <w:widowControl/>
                    <w:spacing w:line="240" w:lineRule="exact"/>
                    <w:contextualSpacing/>
                    <w:jc w:val="center"/>
                    <w:rPr>
                      <w:rFonts w:eastAsiaTheme="minorEastAsia"/>
                      <w:color w:val="auto"/>
                      <w:spacing w:val="-6"/>
                      <w:szCs w:val="21"/>
                    </w:rPr>
                  </w:pPr>
                  <w:r>
                    <w:rPr>
                      <w:rFonts w:eastAsiaTheme="minorEastAsia"/>
                      <w:color w:val="auto"/>
                      <w:spacing w:val="-6"/>
                      <w:szCs w:val="21"/>
                    </w:rPr>
                    <w:t>毒性</w:t>
                  </w:r>
                </w:p>
              </w:tc>
              <w:tc>
                <w:tcPr>
                  <w:tcW w:w="591" w:type="pct"/>
                  <w:vMerge w:val="continue"/>
                  <w:vAlign w:val="center"/>
                </w:tcPr>
                <w:p w14:paraId="1880F7E7">
                  <w:pPr>
                    <w:pStyle w:val="90"/>
                    <w:spacing w:line="240" w:lineRule="auto"/>
                    <w:ind w:firstLine="210"/>
                    <w:rPr>
                      <w:rFonts w:eastAsiaTheme="minorEastAsia"/>
                      <w:color w:val="auto"/>
                      <w:sz w:val="21"/>
                    </w:rPr>
                  </w:pPr>
                </w:p>
              </w:tc>
            </w:tr>
            <w:tr w14:paraId="326EA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2" w:hRule="atLeast"/>
              </w:trPr>
              <w:tc>
                <w:tcPr>
                  <w:tcW w:w="405" w:type="pct"/>
                  <w:vAlign w:val="center"/>
                </w:tcPr>
                <w:p w14:paraId="1297474C">
                  <w:pPr>
                    <w:spacing w:line="0" w:lineRule="atLeast"/>
                    <w:contextualSpacing/>
                    <w:jc w:val="center"/>
                    <w:rPr>
                      <w:rFonts w:eastAsiaTheme="minorEastAsia"/>
                      <w:color w:val="auto"/>
                      <w:spacing w:val="-6"/>
                      <w:szCs w:val="21"/>
                    </w:rPr>
                  </w:pPr>
                  <w:r>
                    <w:rPr>
                      <w:rFonts w:hint="eastAsia" w:eastAsiaTheme="minorEastAsia"/>
                      <w:color w:val="auto"/>
                      <w:spacing w:val="-6"/>
                      <w:szCs w:val="21"/>
                    </w:rPr>
                    <w:t>废油桶</w:t>
                  </w:r>
                </w:p>
              </w:tc>
              <w:tc>
                <w:tcPr>
                  <w:tcW w:w="806" w:type="pct"/>
                  <w:vAlign w:val="center"/>
                </w:tcPr>
                <w:p w14:paraId="6DD2CA2F">
                  <w:pPr>
                    <w:topLinePunct/>
                    <w:spacing w:line="0" w:lineRule="atLeast"/>
                    <w:contextualSpacing/>
                    <w:jc w:val="center"/>
                    <w:rPr>
                      <w:rFonts w:eastAsiaTheme="minorEastAsia"/>
                      <w:color w:val="auto"/>
                      <w:spacing w:val="-6"/>
                      <w:szCs w:val="21"/>
                    </w:rPr>
                  </w:pPr>
                  <w:r>
                    <w:rPr>
                      <w:rFonts w:eastAsiaTheme="minorEastAsia"/>
                      <w:color w:val="auto"/>
                      <w:spacing w:val="-6"/>
                      <w:szCs w:val="21"/>
                    </w:rPr>
                    <w:t>HW08废矿物油与含矿物油废物</w:t>
                  </w:r>
                </w:p>
              </w:tc>
              <w:tc>
                <w:tcPr>
                  <w:tcW w:w="673" w:type="pct"/>
                  <w:vAlign w:val="center"/>
                </w:tcPr>
                <w:p w14:paraId="6D1555D1">
                  <w:pPr>
                    <w:topLinePunct/>
                    <w:spacing w:line="0" w:lineRule="atLeast"/>
                    <w:contextualSpacing/>
                    <w:jc w:val="center"/>
                    <w:rPr>
                      <w:rFonts w:eastAsiaTheme="minorEastAsia"/>
                      <w:color w:val="auto"/>
                      <w:spacing w:val="-6"/>
                      <w:szCs w:val="21"/>
                    </w:rPr>
                  </w:pPr>
                  <w:r>
                    <w:rPr>
                      <w:rFonts w:eastAsiaTheme="minorEastAsia"/>
                      <w:color w:val="auto"/>
                      <w:spacing w:val="-6"/>
                      <w:szCs w:val="21"/>
                    </w:rPr>
                    <w:t>900-249-08</w:t>
                  </w:r>
                </w:p>
              </w:tc>
              <w:tc>
                <w:tcPr>
                  <w:tcW w:w="410" w:type="pct"/>
                  <w:vAlign w:val="center"/>
                </w:tcPr>
                <w:p w14:paraId="679F61A9">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0.3</w:t>
                  </w:r>
                </w:p>
              </w:tc>
              <w:tc>
                <w:tcPr>
                  <w:tcW w:w="407" w:type="pct"/>
                  <w:vAlign w:val="center"/>
                </w:tcPr>
                <w:p w14:paraId="644264E5">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导热油炉</w:t>
                  </w:r>
                </w:p>
              </w:tc>
              <w:tc>
                <w:tcPr>
                  <w:tcW w:w="309" w:type="pct"/>
                  <w:vAlign w:val="center"/>
                </w:tcPr>
                <w:p w14:paraId="674E83D9">
                  <w:pPr>
                    <w:pStyle w:val="90"/>
                    <w:spacing w:line="240" w:lineRule="auto"/>
                    <w:contextualSpacing/>
                    <w:rPr>
                      <w:rFonts w:eastAsiaTheme="minorEastAsia"/>
                      <w:color w:val="auto"/>
                      <w:spacing w:val="-6"/>
                      <w:kern w:val="2"/>
                      <w:sz w:val="21"/>
                      <w:szCs w:val="21"/>
                    </w:rPr>
                  </w:pPr>
                  <w:r>
                    <w:rPr>
                      <w:rFonts w:hint="eastAsia" w:eastAsiaTheme="minorEastAsia"/>
                      <w:color w:val="auto"/>
                      <w:spacing w:val="-6"/>
                      <w:kern w:val="2"/>
                      <w:sz w:val="21"/>
                      <w:szCs w:val="21"/>
                    </w:rPr>
                    <w:t>液态</w:t>
                  </w:r>
                </w:p>
              </w:tc>
              <w:tc>
                <w:tcPr>
                  <w:tcW w:w="359" w:type="pct"/>
                  <w:vAlign w:val="center"/>
                </w:tcPr>
                <w:p w14:paraId="6D3B555E">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有机物</w:t>
                  </w:r>
                </w:p>
              </w:tc>
              <w:tc>
                <w:tcPr>
                  <w:tcW w:w="371" w:type="pct"/>
                  <w:vAlign w:val="center"/>
                </w:tcPr>
                <w:p w14:paraId="1CC0950C">
                  <w:pPr>
                    <w:widowControl/>
                    <w:spacing w:line="240" w:lineRule="exact"/>
                    <w:contextualSpacing/>
                    <w:jc w:val="center"/>
                    <w:rPr>
                      <w:rFonts w:eastAsiaTheme="minorEastAsia"/>
                      <w:color w:val="auto"/>
                      <w:spacing w:val="-6"/>
                      <w:szCs w:val="21"/>
                    </w:rPr>
                  </w:pPr>
                  <w:r>
                    <w:rPr>
                      <w:rFonts w:eastAsiaTheme="minorEastAsia"/>
                      <w:color w:val="auto"/>
                      <w:spacing w:val="-6"/>
                      <w:szCs w:val="21"/>
                    </w:rPr>
                    <w:t>石油类</w:t>
                  </w:r>
                </w:p>
              </w:tc>
              <w:tc>
                <w:tcPr>
                  <w:tcW w:w="350" w:type="pct"/>
                  <w:vAlign w:val="center"/>
                </w:tcPr>
                <w:p w14:paraId="671B8C9B">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3</w:t>
                  </w:r>
                  <w:r>
                    <w:rPr>
                      <w:rFonts w:eastAsiaTheme="minorEastAsia"/>
                      <w:color w:val="auto"/>
                      <w:spacing w:val="-6"/>
                      <w:kern w:val="2"/>
                      <w:sz w:val="21"/>
                      <w:szCs w:val="21"/>
                    </w:rPr>
                    <w:t>年</w:t>
                  </w:r>
                </w:p>
              </w:tc>
              <w:tc>
                <w:tcPr>
                  <w:tcW w:w="320" w:type="pct"/>
                  <w:vAlign w:val="center"/>
                </w:tcPr>
                <w:p w14:paraId="6C2D2AD8">
                  <w:pPr>
                    <w:widowControl/>
                    <w:spacing w:line="240" w:lineRule="exact"/>
                    <w:contextualSpacing/>
                    <w:jc w:val="center"/>
                    <w:rPr>
                      <w:rFonts w:eastAsiaTheme="minorEastAsia"/>
                      <w:color w:val="auto"/>
                      <w:spacing w:val="-6"/>
                      <w:szCs w:val="21"/>
                    </w:rPr>
                  </w:pPr>
                  <w:r>
                    <w:rPr>
                      <w:rFonts w:eastAsiaTheme="minorEastAsia"/>
                      <w:color w:val="auto"/>
                      <w:spacing w:val="-6"/>
                      <w:szCs w:val="21"/>
                    </w:rPr>
                    <w:t>毒性</w:t>
                  </w:r>
                </w:p>
              </w:tc>
              <w:tc>
                <w:tcPr>
                  <w:tcW w:w="591" w:type="pct"/>
                  <w:vMerge w:val="continue"/>
                  <w:vAlign w:val="center"/>
                </w:tcPr>
                <w:p w14:paraId="194632E2">
                  <w:pPr>
                    <w:pStyle w:val="90"/>
                    <w:spacing w:line="240" w:lineRule="auto"/>
                    <w:ind w:firstLine="210"/>
                    <w:rPr>
                      <w:rFonts w:eastAsiaTheme="minorEastAsia"/>
                      <w:color w:val="auto"/>
                      <w:sz w:val="21"/>
                    </w:rPr>
                  </w:pPr>
                </w:p>
              </w:tc>
            </w:tr>
            <w:tr w14:paraId="65C08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5" w:type="pct"/>
                  <w:vAlign w:val="center"/>
                </w:tcPr>
                <w:p w14:paraId="7E565337">
                  <w:pPr>
                    <w:spacing w:line="0" w:lineRule="atLeast"/>
                    <w:contextualSpacing/>
                    <w:jc w:val="center"/>
                    <w:rPr>
                      <w:rFonts w:eastAsiaTheme="minorEastAsia"/>
                      <w:color w:val="auto"/>
                      <w:spacing w:val="-6"/>
                      <w:szCs w:val="21"/>
                    </w:rPr>
                  </w:pPr>
                  <w:r>
                    <w:rPr>
                      <w:rFonts w:hint="eastAsia" w:hAnsiTheme="minorEastAsia" w:eastAsiaTheme="minorEastAsia"/>
                      <w:color w:val="auto"/>
                      <w:szCs w:val="21"/>
                    </w:rPr>
                    <w:t>初期雨水池油污</w:t>
                  </w:r>
                </w:p>
              </w:tc>
              <w:tc>
                <w:tcPr>
                  <w:tcW w:w="806" w:type="pct"/>
                  <w:vAlign w:val="center"/>
                </w:tcPr>
                <w:p w14:paraId="7CDE44E9">
                  <w:pPr>
                    <w:topLinePunct/>
                    <w:spacing w:line="0" w:lineRule="atLeast"/>
                    <w:contextualSpacing/>
                    <w:jc w:val="center"/>
                    <w:rPr>
                      <w:rFonts w:eastAsiaTheme="minorEastAsia"/>
                      <w:color w:val="auto"/>
                      <w:spacing w:val="-6"/>
                      <w:szCs w:val="21"/>
                    </w:rPr>
                  </w:pPr>
                  <w:r>
                    <w:rPr>
                      <w:rFonts w:eastAsiaTheme="minorEastAsia"/>
                      <w:color w:val="auto"/>
                      <w:spacing w:val="-6"/>
                      <w:szCs w:val="21"/>
                    </w:rPr>
                    <w:t>HW08废矿物油与含矿物油废物</w:t>
                  </w:r>
                </w:p>
              </w:tc>
              <w:tc>
                <w:tcPr>
                  <w:tcW w:w="673" w:type="pct"/>
                  <w:vAlign w:val="center"/>
                </w:tcPr>
                <w:p w14:paraId="45B795A7">
                  <w:pPr>
                    <w:topLinePunct/>
                    <w:spacing w:line="0" w:lineRule="atLeast"/>
                    <w:contextualSpacing/>
                    <w:jc w:val="center"/>
                    <w:rPr>
                      <w:rFonts w:eastAsiaTheme="minorEastAsia"/>
                      <w:color w:val="auto"/>
                      <w:spacing w:val="-6"/>
                      <w:szCs w:val="21"/>
                    </w:rPr>
                  </w:pPr>
                  <w:r>
                    <w:rPr>
                      <w:rFonts w:eastAsiaTheme="minorEastAsia"/>
                      <w:color w:val="auto"/>
                      <w:spacing w:val="-6"/>
                      <w:szCs w:val="21"/>
                    </w:rPr>
                    <w:t>900-2</w:t>
                  </w:r>
                  <w:r>
                    <w:rPr>
                      <w:rFonts w:hint="eastAsia" w:eastAsiaTheme="minorEastAsia"/>
                      <w:color w:val="auto"/>
                      <w:spacing w:val="-6"/>
                      <w:szCs w:val="21"/>
                    </w:rPr>
                    <w:t>10</w:t>
                  </w:r>
                  <w:r>
                    <w:rPr>
                      <w:rFonts w:eastAsiaTheme="minorEastAsia"/>
                      <w:color w:val="auto"/>
                      <w:spacing w:val="-6"/>
                      <w:szCs w:val="21"/>
                    </w:rPr>
                    <w:t>-08</w:t>
                  </w:r>
                </w:p>
              </w:tc>
              <w:tc>
                <w:tcPr>
                  <w:tcW w:w="410" w:type="pct"/>
                  <w:vAlign w:val="center"/>
                </w:tcPr>
                <w:p w14:paraId="6899C062">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0.001</w:t>
                  </w:r>
                </w:p>
              </w:tc>
              <w:tc>
                <w:tcPr>
                  <w:tcW w:w="407" w:type="pct"/>
                  <w:vAlign w:val="center"/>
                </w:tcPr>
                <w:p w14:paraId="042DC438">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初期雨水池</w:t>
                  </w:r>
                </w:p>
              </w:tc>
              <w:tc>
                <w:tcPr>
                  <w:tcW w:w="309" w:type="pct"/>
                  <w:vAlign w:val="center"/>
                </w:tcPr>
                <w:p w14:paraId="273B3700">
                  <w:pPr>
                    <w:pStyle w:val="90"/>
                    <w:spacing w:line="240" w:lineRule="auto"/>
                    <w:contextualSpacing/>
                    <w:rPr>
                      <w:rFonts w:eastAsiaTheme="minorEastAsia"/>
                      <w:b/>
                      <w:color w:val="auto"/>
                      <w:spacing w:val="-6"/>
                      <w:kern w:val="2"/>
                      <w:sz w:val="21"/>
                      <w:szCs w:val="21"/>
                    </w:rPr>
                  </w:pPr>
                  <w:r>
                    <w:rPr>
                      <w:rFonts w:hint="eastAsia" w:eastAsiaTheme="minorEastAsia"/>
                      <w:color w:val="auto"/>
                      <w:spacing w:val="-6"/>
                      <w:kern w:val="2"/>
                      <w:sz w:val="21"/>
                      <w:szCs w:val="21"/>
                    </w:rPr>
                    <w:t>液态</w:t>
                  </w:r>
                </w:p>
              </w:tc>
              <w:tc>
                <w:tcPr>
                  <w:tcW w:w="359" w:type="pct"/>
                  <w:vAlign w:val="center"/>
                </w:tcPr>
                <w:p w14:paraId="30E5323A">
                  <w:pPr>
                    <w:widowControl/>
                    <w:spacing w:line="240" w:lineRule="exact"/>
                    <w:contextualSpacing/>
                    <w:jc w:val="center"/>
                    <w:rPr>
                      <w:rFonts w:eastAsiaTheme="minorEastAsia"/>
                      <w:color w:val="auto"/>
                      <w:spacing w:val="-6"/>
                      <w:szCs w:val="21"/>
                    </w:rPr>
                  </w:pPr>
                  <w:r>
                    <w:rPr>
                      <w:rFonts w:hint="eastAsia" w:eastAsiaTheme="minorEastAsia"/>
                      <w:color w:val="auto"/>
                      <w:spacing w:val="-6"/>
                      <w:szCs w:val="21"/>
                    </w:rPr>
                    <w:t>有机物</w:t>
                  </w:r>
                </w:p>
              </w:tc>
              <w:tc>
                <w:tcPr>
                  <w:tcW w:w="371" w:type="pct"/>
                  <w:vAlign w:val="center"/>
                </w:tcPr>
                <w:p w14:paraId="798607FD">
                  <w:pPr>
                    <w:widowControl/>
                    <w:spacing w:line="240" w:lineRule="exact"/>
                    <w:contextualSpacing/>
                    <w:jc w:val="center"/>
                    <w:rPr>
                      <w:rFonts w:eastAsiaTheme="minorEastAsia"/>
                      <w:color w:val="auto"/>
                      <w:spacing w:val="-6"/>
                      <w:szCs w:val="21"/>
                    </w:rPr>
                  </w:pPr>
                  <w:r>
                    <w:rPr>
                      <w:rFonts w:eastAsiaTheme="minorEastAsia"/>
                      <w:color w:val="auto"/>
                      <w:spacing w:val="-6"/>
                      <w:szCs w:val="21"/>
                    </w:rPr>
                    <w:t>石油类</w:t>
                  </w:r>
                </w:p>
              </w:tc>
              <w:tc>
                <w:tcPr>
                  <w:tcW w:w="350" w:type="pct"/>
                  <w:vAlign w:val="center"/>
                </w:tcPr>
                <w:p w14:paraId="6282EE33">
                  <w:pPr>
                    <w:pStyle w:val="90"/>
                    <w:spacing w:line="240" w:lineRule="auto"/>
                    <w:contextualSpacing/>
                    <w:jc w:val="both"/>
                    <w:rPr>
                      <w:rFonts w:eastAsiaTheme="minorEastAsia"/>
                      <w:color w:val="auto"/>
                      <w:spacing w:val="-6"/>
                      <w:kern w:val="2"/>
                      <w:sz w:val="21"/>
                      <w:szCs w:val="21"/>
                    </w:rPr>
                  </w:pPr>
                  <w:r>
                    <w:rPr>
                      <w:rFonts w:hint="eastAsia" w:eastAsiaTheme="minorEastAsia"/>
                      <w:color w:val="auto"/>
                      <w:spacing w:val="-6"/>
                      <w:kern w:val="2"/>
                      <w:sz w:val="21"/>
                      <w:szCs w:val="21"/>
                    </w:rPr>
                    <w:t>1</w:t>
                  </w:r>
                  <w:r>
                    <w:rPr>
                      <w:rFonts w:eastAsiaTheme="minorEastAsia"/>
                      <w:color w:val="auto"/>
                      <w:spacing w:val="-6"/>
                      <w:kern w:val="2"/>
                      <w:sz w:val="21"/>
                      <w:szCs w:val="21"/>
                    </w:rPr>
                    <w:t>年</w:t>
                  </w:r>
                </w:p>
              </w:tc>
              <w:tc>
                <w:tcPr>
                  <w:tcW w:w="320" w:type="pct"/>
                  <w:vAlign w:val="center"/>
                </w:tcPr>
                <w:p w14:paraId="02BE6AD1">
                  <w:pPr>
                    <w:widowControl/>
                    <w:spacing w:line="240" w:lineRule="exact"/>
                    <w:contextualSpacing/>
                    <w:jc w:val="center"/>
                    <w:rPr>
                      <w:rFonts w:eastAsiaTheme="minorEastAsia"/>
                      <w:color w:val="auto"/>
                      <w:spacing w:val="-6"/>
                      <w:szCs w:val="21"/>
                    </w:rPr>
                  </w:pPr>
                  <w:r>
                    <w:rPr>
                      <w:rFonts w:eastAsiaTheme="minorEastAsia"/>
                      <w:color w:val="auto"/>
                      <w:spacing w:val="-6"/>
                      <w:szCs w:val="21"/>
                    </w:rPr>
                    <w:t>毒性</w:t>
                  </w:r>
                </w:p>
              </w:tc>
              <w:tc>
                <w:tcPr>
                  <w:tcW w:w="591" w:type="pct"/>
                  <w:vMerge w:val="continue"/>
                  <w:vAlign w:val="center"/>
                </w:tcPr>
                <w:p w14:paraId="270C695E">
                  <w:pPr>
                    <w:pStyle w:val="90"/>
                    <w:spacing w:line="240" w:lineRule="auto"/>
                    <w:ind w:firstLine="210"/>
                    <w:rPr>
                      <w:rFonts w:eastAsiaTheme="minorEastAsia"/>
                      <w:color w:val="auto"/>
                      <w:sz w:val="21"/>
                    </w:rPr>
                  </w:pPr>
                </w:p>
              </w:tc>
            </w:tr>
          </w:tbl>
          <w:p w14:paraId="6462507D">
            <w:pPr>
              <w:spacing w:before="100"/>
              <w:ind w:firstLine="422"/>
              <w:jc w:val="center"/>
              <w:rPr>
                <w:b/>
                <w:color w:val="auto"/>
                <w:sz w:val="24"/>
              </w:rPr>
            </w:pPr>
            <w:r>
              <w:rPr>
                <w:b/>
                <w:color w:val="auto"/>
                <w:sz w:val="24"/>
              </w:rPr>
              <w:t>表</w:t>
            </w:r>
            <w:r>
              <w:rPr>
                <w:rFonts w:hint="eastAsia"/>
                <w:b/>
                <w:color w:val="auto"/>
                <w:sz w:val="24"/>
              </w:rPr>
              <w:t>4-</w:t>
            </w:r>
            <w:r>
              <w:rPr>
                <w:rFonts w:hint="eastAsia"/>
                <w:b/>
                <w:color w:val="auto"/>
                <w:sz w:val="24"/>
                <w:lang w:val="en-US" w:eastAsia="zh-CN"/>
              </w:rPr>
              <w:t>12</w:t>
            </w:r>
            <w:r>
              <w:rPr>
                <w:b/>
                <w:color w:val="auto"/>
                <w:sz w:val="24"/>
              </w:rPr>
              <w:t xml:space="preserve"> 建设项目危险废物贮存场所基本情况表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3"/>
              <w:gridCol w:w="851"/>
              <w:gridCol w:w="1136"/>
              <w:gridCol w:w="1057"/>
              <w:gridCol w:w="1248"/>
              <w:gridCol w:w="604"/>
              <w:gridCol w:w="695"/>
              <w:gridCol w:w="1040"/>
              <w:gridCol w:w="753"/>
              <w:gridCol w:w="542"/>
            </w:tblGrid>
            <w:tr w14:paraId="0DDCA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276" w:type="pct"/>
                  <w:vAlign w:val="center"/>
                </w:tcPr>
                <w:p w14:paraId="5169517A">
                  <w:pPr>
                    <w:pStyle w:val="83"/>
                    <w:rPr>
                      <w:color w:val="auto"/>
                      <w:szCs w:val="21"/>
                    </w:rPr>
                  </w:pPr>
                  <w:r>
                    <w:rPr>
                      <w:rFonts w:hint="eastAsia"/>
                      <w:color w:val="auto"/>
                      <w:sz w:val="21"/>
                      <w:szCs w:val="21"/>
                    </w:rPr>
                    <w:t>序号</w:t>
                  </w:r>
                </w:p>
              </w:tc>
              <w:tc>
                <w:tcPr>
                  <w:tcW w:w="507" w:type="pct"/>
                  <w:vAlign w:val="center"/>
                </w:tcPr>
                <w:p w14:paraId="37C387FC">
                  <w:pPr>
                    <w:pStyle w:val="83"/>
                    <w:rPr>
                      <w:color w:val="auto"/>
                      <w:szCs w:val="21"/>
                    </w:rPr>
                  </w:pPr>
                  <w:r>
                    <w:rPr>
                      <w:color w:val="auto"/>
                      <w:sz w:val="21"/>
                      <w:szCs w:val="21"/>
                    </w:rPr>
                    <w:t>贮存场所名称</w:t>
                  </w:r>
                </w:p>
              </w:tc>
              <w:tc>
                <w:tcPr>
                  <w:tcW w:w="677" w:type="pct"/>
                  <w:vAlign w:val="center"/>
                </w:tcPr>
                <w:p w14:paraId="3F5D7FF5">
                  <w:pPr>
                    <w:pStyle w:val="83"/>
                    <w:rPr>
                      <w:color w:val="auto"/>
                      <w:szCs w:val="21"/>
                    </w:rPr>
                  </w:pPr>
                  <w:r>
                    <w:rPr>
                      <w:color w:val="auto"/>
                      <w:sz w:val="21"/>
                      <w:szCs w:val="21"/>
                    </w:rPr>
                    <w:t>危险废物名称</w:t>
                  </w:r>
                </w:p>
              </w:tc>
              <w:tc>
                <w:tcPr>
                  <w:tcW w:w="630" w:type="pct"/>
                  <w:vAlign w:val="center"/>
                </w:tcPr>
                <w:p w14:paraId="5854772F">
                  <w:pPr>
                    <w:pStyle w:val="83"/>
                    <w:rPr>
                      <w:color w:val="auto"/>
                      <w:szCs w:val="21"/>
                    </w:rPr>
                  </w:pPr>
                  <w:r>
                    <w:rPr>
                      <w:color w:val="auto"/>
                      <w:sz w:val="21"/>
                      <w:szCs w:val="21"/>
                    </w:rPr>
                    <w:t>危险废物类别</w:t>
                  </w:r>
                </w:p>
              </w:tc>
              <w:tc>
                <w:tcPr>
                  <w:tcW w:w="744" w:type="pct"/>
                  <w:vAlign w:val="center"/>
                </w:tcPr>
                <w:p w14:paraId="44919C36">
                  <w:pPr>
                    <w:pStyle w:val="83"/>
                    <w:rPr>
                      <w:color w:val="auto"/>
                      <w:szCs w:val="21"/>
                    </w:rPr>
                  </w:pPr>
                  <w:r>
                    <w:rPr>
                      <w:color w:val="auto"/>
                      <w:sz w:val="21"/>
                      <w:szCs w:val="21"/>
                    </w:rPr>
                    <w:t>危险废物代码</w:t>
                  </w:r>
                </w:p>
              </w:tc>
              <w:tc>
                <w:tcPr>
                  <w:tcW w:w="360" w:type="pct"/>
                  <w:vAlign w:val="center"/>
                </w:tcPr>
                <w:p w14:paraId="42C7822E">
                  <w:pPr>
                    <w:pStyle w:val="83"/>
                    <w:rPr>
                      <w:color w:val="auto"/>
                      <w:szCs w:val="21"/>
                    </w:rPr>
                  </w:pPr>
                  <w:r>
                    <w:rPr>
                      <w:color w:val="auto"/>
                      <w:sz w:val="21"/>
                      <w:szCs w:val="21"/>
                    </w:rPr>
                    <w:t>位置</w:t>
                  </w:r>
                </w:p>
              </w:tc>
              <w:tc>
                <w:tcPr>
                  <w:tcW w:w="414" w:type="pct"/>
                  <w:vAlign w:val="center"/>
                </w:tcPr>
                <w:p w14:paraId="75B4718F">
                  <w:pPr>
                    <w:pStyle w:val="83"/>
                    <w:rPr>
                      <w:color w:val="auto"/>
                      <w:szCs w:val="21"/>
                    </w:rPr>
                  </w:pPr>
                  <w:r>
                    <w:rPr>
                      <w:color w:val="auto"/>
                      <w:sz w:val="21"/>
                      <w:szCs w:val="21"/>
                    </w:rPr>
                    <w:t>建筑面积</w:t>
                  </w:r>
                </w:p>
              </w:tc>
              <w:tc>
                <w:tcPr>
                  <w:tcW w:w="620" w:type="pct"/>
                  <w:vAlign w:val="center"/>
                </w:tcPr>
                <w:p w14:paraId="4E0D37A5">
                  <w:pPr>
                    <w:pStyle w:val="83"/>
                    <w:rPr>
                      <w:color w:val="auto"/>
                      <w:szCs w:val="21"/>
                    </w:rPr>
                  </w:pPr>
                  <w:r>
                    <w:rPr>
                      <w:color w:val="auto"/>
                      <w:sz w:val="21"/>
                      <w:szCs w:val="21"/>
                    </w:rPr>
                    <w:t>贮存方式</w:t>
                  </w:r>
                </w:p>
              </w:tc>
              <w:tc>
                <w:tcPr>
                  <w:tcW w:w="449" w:type="pct"/>
                  <w:vAlign w:val="center"/>
                </w:tcPr>
                <w:p w14:paraId="33E79A63">
                  <w:pPr>
                    <w:pStyle w:val="83"/>
                    <w:rPr>
                      <w:color w:val="auto"/>
                      <w:szCs w:val="21"/>
                    </w:rPr>
                  </w:pPr>
                  <w:r>
                    <w:rPr>
                      <w:color w:val="auto"/>
                      <w:sz w:val="21"/>
                      <w:szCs w:val="21"/>
                    </w:rPr>
                    <w:t>贮存能力</w:t>
                  </w:r>
                </w:p>
              </w:tc>
              <w:tc>
                <w:tcPr>
                  <w:tcW w:w="323" w:type="pct"/>
                  <w:vAlign w:val="center"/>
                </w:tcPr>
                <w:p w14:paraId="18650EDB">
                  <w:pPr>
                    <w:pStyle w:val="83"/>
                    <w:rPr>
                      <w:color w:val="auto"/>
                      <w:szCs w:val="21"/>
                    </w:rPr>
                  </w:pPr>
                  <w:r>
                    <w:rPr>
                      <w:color w:val="auto"/>
                      <w:sz w:val="21"/>
                      <w:szCs w:val="21"/>
                    </w:rPr>
                    <w:t>贮存周期</w:t>
                  </w:r>
                </w:p>
              </w:tc>
            </w:tr>
            <w:tr w14:paraId="12D21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09" w:hRule="atLeast"/>
                <w:jc w:val="center"/>
              </w:trPr>
              <w:tc>
                <w:tcPr>
                  <w:tcW w:w="276" w:type="pct"/>
                  <w:vMerge w:val="restart"/>
                  <w:vAlign w:val="center"/>
                </w:tcPr>
                <w:p w14:paraId="6BDB2CE2">
                  <w:pPr>
                    <w:pStyle w:val="83"/>
                    <w:rPr>
                      <w:color w:val="auto"/>
                      <w:szCs w:val="21"/>
                    </w:rPr>
                  </w:pPr>
                  <w:r>
                    <w:rPr>
                      <w:rFonts w:hint="eastAsia"/>
                      <w:color w:val="auto"/>
                      <w:sz w:val="21"/>
                      <w:szCs w:val="21"/>
                    </w:rPr>
                    <w:t>1</w:t>
                  </w:r>
                </w:p>
              </w:tc>
              <w:tc>
                <w:tcPr>
                  <w:tcW w:w="507" w:type="pct"/>
                  <w:vMerge w:val="restart"/>
                  <w:vAlign w:val="center"/>
                </w:tcPr>
                <w:p w14:paraId="4787A05C">
                  <w:pPr>
                    <w:pStyle w:val="83"/>
                    <w:rPr>
                      <w:rFonts w:hint="eastAsia" w:eastAsia="宋体"/>
                      <w:color w:val="auto"/>
                      <w:szCs w:val="21"/>
                      <w:lang w:eastAsia="zh-CN"/>
                    </w:rPr>
                  </w:pPr>
                  <w:r>
                    <w:rPr>
                      <w:rFonts w:hint="eastAsia"/>
                      <w:color w:val="auto"/>
                      <w:sz w:val="21"/>
                      <w:szCs w:val="21"/>
                    </w:rPr>
                    <w:t>危险废物贮存</w:t>
                  </w:r>
                  <w:r>
                    <w:rPr>
                      <w:rFonts w:hint="eastAsia"/>
                      <w:color w:val="auto"/>
                      <w:sz w:val="21"/>
                      <w:szCs w:val="21"/>
                      <w:lang w:val="en-US" w:eastAsia="zh-CN"/>
                    </w:rPr>
                    <w:t>点</w:t>
                  </w:r>
                </w:p>
              </w:tc>
              <w:tc>
                <w:tcPr>
                  <w:tcW w:w="677" w:type="pct"/>
                  <w:vAlign w:val="center"/>
                </w:tcPr>
                <w:p w14:paraId="432645C7">
                  <w:pPr>
                    <w:pStyle w:val="83"/>
                    <w:rPr>
                      <w:color w:val="auto"/>
                      <w:szCs w:val="21"/>
                    </w:rPr>
                  </w:pPr>
                  <w:r>
                    <w:rPr>
                      <w:rFonts w:hint="eastAsia"/>
                      <w:color w:val="auto"/>
                      <w:sz w:val="21"/>
                      <w:szCs w:val="21"/>
                    </w:rPr>
                    <w:t>废活性炭</w:t>
                  </w:r>
                </w:p>
              </w:tc>
              <w:tc>
                <w:tcPr>
                  <w:tcW w:w="630" w:type="pct"/>
                  <w:vAlign w:val="center"/>
                </w:tcPr>
                <w:p w14:paraId="19C9EF0B">
                  <w:pPr>
                    <w:pStyle w:val="83"/>
                    <w:rPr>
                      <w:color w:val="auto"/>
                      <w:szCs w:val="21"/>
                    </w:rPr>
                  </w:pPr>
                  <w:r>
                    <w:rPr>
                      <w:rFonts w:hint="eastAsia"/>
                      <w:color w:val="auto"/>
                      <w:sz w:val="21"/>
                      <w:szCs w:val="21"/>
                    </w:rPr>
                    <w:t>HW49</w:t>
                  </w:r>
                </w:p>
              </w:tc>
              <w:tc>
                <w:tcPr>
                  <w:tcW w:w="744" w:type="pct"/>
                  <w:vAlign w:val="center"/>
                </w:tcPr>
                <w:p w14:paraId="38E87692">
                  <w:pPr>
                    <w:pStyle w:val="83"/>
                    <w:rPr>
                      <w:color w:val="auto"/>
                      <w:szCs w:val="21"/>
                    </w:rPr>
                  </w:pPr>
                  <w:r>
                    <w:rPr>
                      <w:rFonts w:hint="eastAsia"/>
                      <w:color w:val="auto"/>
                      <w:sz w:val="21"/>
                      <w:szCs w:val="21"/>
                    </w:rPr>
                    <w:t>900-039-49</w:t>
                  </w:r>
                </w:p>
              </w:tc>
              <w:tc>
                <w:tcPr>
                  <w:tcW w:w="360" w:type="pct"/>
                  <w:vMerge w:val="restart"/>
                  <w:vAlign w:val="center"/>
                </w:tcPr>
                <w:p w14:paraId="777EB702">
                  <w:pPr>
                    <w:pStyle w:val="83"/>
                    <w:rPr>
                      <w:color w:val="auto"/>
                      <w:szCs w:val="21"/>
                    </w:rPr>
                  </w:pPr>
                  <w:r>
                    <w:rPr>
                      <w:rFonts w:hint="eastAsia"/>
                      <w:color w:val="auto"/>
                      <w:sz w:val="21"/>
                      <w:szCs w:val="21"/>
                      <w:highlight w:val="none"/>
                    </w:rPr>
                    <w:t>位于厂区南侧</w:t>
                  </w:r>
                </w:p>
              </w:tc>
              <w:tc>
                <w:tcPr>
                  <w:tcW w:w="414" w:type="pct"/>
                  <w:vMerge w:val="restart"/>
                  <w:vAlign w:val="center"/>
                </w:tcPr>
                <w:p w14:paraId="6681DBFB">
                  <w:pPr>
                    <w:pStyle w:val="83"/>
                    <w:rPr>
                      <w:color w:val="auto"/>
                      <w:szCs w:val="21"/>
                    </w:rPr>
                  </w:pPr>
                  <w:r>
                    <w:rPr>
                      <w:rFonts w:hint="eastAsia"/>
                      <w:color w:val="auto"/>
                      <w:sz w:val="21"/>
                      <w:szCs w:val="21"/>
                    </w:rPr>
                    <w:t>15m</w:t>
                  </w:r>
                  <w:r>
                    <w:rPr>
                      <w:rFonts w:hint="eastAsia"/>
                      <w:color w:val="auto"/>
                      <w:sz w:val="21"/>
                      <w:szCs w:val="21"/>
                      <w:vertAlign w:val="superscript"/>
                    </w:rPr>
                    <w:t>2</w:t>
                  </w:r>
                </w:p>
              </w:tc>
              <w:tc>
                <w:tcPr>
                  <w:tcW w:w="620" w:type="pct"/>
                  <w:vMerge w:val="restart"/>
                  <w:vAlign w:val="center"/>
                </w:tcPr>
                <w:p w14:paraId="643C7C90">
                  <w:pPr>
                    <w:pStyle w:val="83"/>
                    <w:rPr>
                      <w:color w:val="auto"/>
                      <w:szCs w:val="21"/>
                    </w:rPr>
                  </w:pPr>
                  <w:r>
                    <w:rPr>
                      <w:rFonts w:hint="eastAsia"/>
                      <w:color w:val="auto"/>
                      <w:sz w:val="21"/>
                      <w:szCs w:val="21"/>
                    </w:rPr>
                    <w:t>采用专用桶装或袋装分类收集、暂存</w:t>
                  </w:r>
                </w:p>
              </w:tc>
              <w:tc>
                <w:tcPr>
                  <w:tcW w:w="449" w:type="pct"/>
                  <w:vMerge w:val="restart"/>
                  <w:vAlign w:val="center"/>
                </w:tcPr>
                <w:p w14:paraId="08B57E23">
                  <w:pPr>
                    <w:pStyle w:val="83"/>
                    <w:rPr>
                      <w:color w:val="auto"/>
                      <w:szCs w:val="21"/>
                    </w:rPr>
                  </w:pPr>
                  <w:r>
                    <w:rPr>
                      <w:rFonts w:hint="eastAsia"/>
                      <w:color w:val="auto"/>
                      <w:sz w:val="21"/>
                      <w:szCs w:val="21"/>
                    </w:rPr>
                    <w:t>3t</w:t>
                  </w:r>
                </w:p>
              </w:tc>
              <w:tc>
                <w:tcPr>
                  <w:tcW w:w="323" w:type="pct"/>
                  <w:vMerge w:val="restart"/>
                  <w:vAlign w:val="center"/>
                </w:tcPr>
                <w:p w14:paraId="5D8B2FDC">
                  <w:pPr>
                    <w:pStyle w:val="83"/>
                    <w:rPr>
                      <w:color w:val="auto"/>
                      <w:szCs w:val="21"/>
                    </w:rPr>
                  </w:pPr>
                  <w:r>
                    <w:rPr>
                      <w:rFonts w:hint="eastAsia"/>
                      <w:color w:val="auto"/>
                      <w:sz w:val="21"/>
                      <w:szCs w:val="21"/>
                    </w:rPr>
                    <w:t>1a</w:t>
                  </w:r>
                </w:p>
              </w:tc>
            </w:tr>
            <w:tr w14:paraId="75AD9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08" w:hRule="atLeast"/>
                <w:jc w:val="center"/>
              </w:trPr>
              <w:tc>
                <w:tcPr>
                  <w:tcW w:w="276" w:type="pct"/>
                  <w:vMerge w:val="continue"/>
                  <w:vAlign w:val="center"/>
                </w:tcPr>
                <w:p w14:paraId="65DCC748">
                  <w:pPr>
                    <w:pStyle w:val="83"/>
                    <w:rPr>
                      <w:color w:val="auto"/>
                      <w:sz w:val="21"/>
                      <w:szCs w:val="21"/>
                    </w:rPr>
                  </w:pPr>
                </w:p>
              </w:tc>
              <w:tc>
                <w:tcPr>
                  <w:tcW w:w="507" w:type="pct"/>
                  <w:vMerge w:val="continue"/>
                  <w:vAlign w:val="center"/>
                </w:tcPr>
                <w:p w14:paraId="0A0D8FF6">
                  <w:pPr>
                    <w:pStyle w:val="83"/>
                    <w:rPr>
                      <w:color w:val="auto"/>
                      <w:sz w:val="21"/>
                      <w:szCs w:val="21"/>
                    </w:rPr>
                  </w:pPr>
                </w:p>
              </w:tc>
              <w:tc>
                <w:tcPr>
                  <w:tcW w:w="677" w:type="pct"/>
                  <w:vAlign w:val="center"/>
                </w:tcPr>
                <w:p w14:paraId="611DF5CB">
                  <w:pPr>
                    <w:pStyle w:val="83"/>
                    <w:rPr>
                      <w:color w:val="auto"/>
                      <w:sz w:val="21"/>
                      <w:szCs w:val="21"/>
                    </w:rPr>
                  </w:pPr>
                  <w:r>
                    <w:rPr>
                      <w:rFonts w:hint="eastAsia"/>
                      <w:color w:val="auto"/>
                      <w:sz w:val="21"/>
                      <w:szCs w:val="21"/>
                    </w:rPr>
                    <w:t>废导热油</w:t>
                  </w:r>
                </w:p>
              </w:tc>
              <w:tc>
                <w:tcPr>
                  <w:tcW w:w="630" w:type="pct"/>
                  <w:vAlign w:val="center"/>
                </w:tcPr>
                <w:p w14:paraId="46AC3506">
                  <w:pPr>
                    <w:pStyle w:val="83"/>
                    <w:rPr>
                      <w:color w:val="auto"/>
                      <w:sz w:val="21"/>
                      <w:szCs w:val="21"/>
                    </w:rPr>
                  </w:pPr>
                  <w:r>
                    <w:rPr>
                      <w:rFonts w:hint="eastAsia"/>
                      <w:color w:val="auto"/>
                      <w:sz w:val="21"/>
                      <w:szCs w:val="21"/>
                    </w:rPr>
                    <w:t>HW08</w:t>
                  </w:r>
                </w:p>
              </w:tc>
              <w:tc>
                <w:tcPr>
                  <w:tcW w:w="744" w:type="pct"/>
                  <w:vAlign w:val="center"/>
                </w:tcPr>
                <w:p w14:paraId="4372CD5B">
                  <w:pPr>
                    <w:pStyle w:val="83"/>
                    <w:rPr>
                      <w:color w:val="auto"/>
                      <w:sz w:val="21"/>
                      <w:szCs w:val="21"/>
                    </w:rPr>
                  </w:pPr>
                  <w:r>
                    <w:rPr>
                      <w:rFonts w:eastAsiaTheme="minorEastAsia"/>
                      <w:color w:val="auto"/>
                      <w:spacing w:val="-6"/>
                      <w:szCs w:val="21"/>
                    </w:rPr>
                    <w:t>900-249-08</w:t>
                  </w:r>
                </w:p>
              </w:tc>
              <w:tc>
                <w:tcPr>
                  <w:tcW w:w="360" w:type="pct"/>
                  <w:vMerge w:val="continue"/>
                  <w:vAlign w:val="center"/>
                </w:tcPr>
                <w:p w14:paraId="25A9837E">
                  <w:pPr>
                    <w:pStyle w:val="83"/>
                    <w:rPr>
                      <w:color w:val="auto"/>
                      <w:sz w:val="21"/>
                      <w:szCs w:val="21"/>
                    </w:rPr>
                  </w:pPr>
                </w:p>
              </w:tc>
              <w:tc>
                <w:tcPr>
                  <w:tcW w:w="414" w:type="pct"/>
                  <w:vMerge w:val="continue"/>
                  <w:vAlign w:val="center"/>
                </w:tcPr>
                <w:p w14:paraId="2C2D407E">
                  <w:pPr>
                    <w:pStyle w:val="83"/>
                    <w:rPr>
                      <w:color w:val="auto"/>
                      <w:sz w:val="21"/>
                      <w:szCs w:val="21"/>
                    </w:rPr>
                  </w:pPr>
                </w:p>
              </w:tc>
              <w:tc>
                <w:tcPr>
                  <w:tcW w:w="620" w:type="pct"/>
                  <w:vMerge w:val="continue"/>
                  <w:vAlign w:val="center"/>
                </w:tcPr>
                <w:p w14:paraId="73FCBFCC">
                  <w:pPr>
                    <w:pStyle w:val="83"/>
                    <w:rPr>
                      <w:color w:val="auto"/>
                      <w:sz w:val="21"/>
                      <w:szCs w:val="21"/>
                    </w:rPr>
                  </w:pPr>
                </w:p>
              </w:tc>
              <w:tc>
                <w:tcPr>
                  <w:tcW w:w="449" w:type="pct"/>
                  <w:vMerge w:val="continue"/>
                  <w:vAlign w:val="center"/>
                </w:tcPr>
                <w:p w14:paraId="528C76A5">
                  <w:pPr>
                    <w:pStyle w:val="83"/>
                    <w:rPr>
                      <w:color w:val="auto"/>
                      <w:sz w:val="21"/>
                      <w:szCs w:val="21"/>
                    </w:rPr>
                  </w:pPr>
                </w:p>
              </w:tc>
              <w:tc>
                <w:tcPr>
                  <w:tcW w:w="323" w:type="pct"/>
                  <w:vMerge w:val="continue"/>
                  <w:vAlign w:val="center"/>
                </w:tcPr>
                <w:p w14:paraId="14C6DD02">
                  <w:pPr>
                    <w:pStyle w:val="83"/>
                    <w:rPr>
                      <w:color w:val="auto"/>
                      <w:sz w:val="21"/>
                      <w:szCs w:val="21"/>
                    </w:rPr>
                  </w:pPr>
                </w:p>
              </w:tc>
            </w:tr>
            <w:tr w14:paraId="55377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08" w:hRule="atLeast"/>
                <w:jc w:val="center"/>
              </w:trPr>
              <w:tc>
                <w:tcPr>
                  <w:tcW w:w="276" w:type="pct"/>
                  <w:vMerge w:val="continue"/>
                  <w:vAlign w:val="center"/>
                </w:tcPr>
                <w:p w14:paraId="12FBCEFA">
                  <w:pPr>
                    <w:pStyle w:val="83"/>
                    <w:rPr>
                      <w:color w:val="auto"/>
                      <w:sz w:val="21"/>
                      <w:szCs w:val="21"/>
                    </w:rPr>
                  </w:pPr>
                </w:p>
              </w:tc>
              <w:tc>
                <w:tcPr>
                  <w:tcW w:w="507" w:type="pct"/>
                  <w:vMerge w:val="continue"/>
                  <w:vAlign w:val="center"/>
                </w:tcPr>
                <w:p w14:paraId="6A58D02D">
                  <w:pPr>
                    <w:pStyle w:val="83"/>
                    <w:rPr>
                      <w:color w:val="auto"/>
                      <w:sz w:val="21"/>
                      <w:szCs w:val="21"/>
                    </w:rPr>
                  </w:pPr>
                </w:p>
              </w:tc>
              <w:tc>
                <w:tcPr>
                  <w:tcW w:w="677" w:type="pct"/>
                  <w:vAlign w:val="center"/>
                </w:tcPr>
                <w:p w14:paraId="539F7823">
                  <w:pPr>
                    <w:pStyle w:val="83"/>
                    <w:rPr>
                      <w:color w:val="auto"/>
                      <w:sz w:val="21"/>
                      <w:szCs w:val="21"/>
                    </w:rPr>
                  </w:pPr>
                  <w:r>
                    <w:rPr>
                      <w:rFonts w:hint="eastAsia"/>
                      <w:color w:val="auto"/>
                      <w:sz w:val="21"/>
                      <w:szCs w:val="21"/>
                    </w:rPr>
                    <w:t>废油桶</w:t>
                  </w:r>
                </w:p>
              </w:tc>
              <w:tc>
                <w:tcPr>
                  <w:tcW w:w="630" w:type="pct"/>
                  <w:vAlign w:val="center"/>
                </w:tcPr>
                <w:p w14:paraId="16E205D9">
                  <w:pPr>
                    <w:pStyle w:val="83"/>
                    <w:rPr>
                      <w:color w:val="auto"/>
                      <w:sz w:val="21"/>
                      <w:szCs w:val="21"/>
                    </w:rPr>
                  </w:pPr>
                  <w:r>
                    <w:rPr>
                      <w:rFonts w:hint="eastAsia"/>
                      <w:color w:val="auto"/>
                      <w:sz w:val="21"/>
                      <w:szCs w:val="21"/>
                    </w:rPr>
                    <w:t>HW08</w:t>
                  </w:r>
                </w:p>
              </w:tc>
              <w:tc>
                <w:tcPr>
                  <w:tcW w:w="744" w:type="pct"/>
                  <w:vAlign w:val="center"/>
                </w:tcPr>
                <w:p w14:paraId="30FB86D1">
                  <w:pPr>
                    <w:pStyle w:val="83"/>
                    <w:rPr>
                      <w:color w:val="auto"/>
                      <w:sz w:val="21"/>
                      <w:szCs w:val="21"/>
                    </w:rPr>
                  </w:pPr>
                  <w:r>
                    <w:rPr>
                      <w:rFonts w:eastAsiaTheme="minorEastAsia"/>
                      <w:color w:val="auto"/>
                      <w:spacing w:val="-6"/>
                      <w:szCs w:val="21"/>
                    </w:rPr>
                    <w:t>900-249-08</w:t>
                  </w:r>
                </w:p>
              </w:tc>
              <w:tc>
                <w:tcPr>
                  <w:tcW w:w="360" w:type="pct"/>
                  <w:vMerge w:val="continue"/>
                  <w:vAlign w:val="center"/>
                </w:tcPr>
                <w:p w14:paraId="64CD0FB7">
                  <w:pPr>
                    <w:pStyle w:val="83"/>
                    <w:rPr>
                      <w:color w:val="auto"/>
                      <w:sz w:val="21"/>
                      <w:szCs w:val="21"/>
                    </w:rPr>
                  </w:pPr>
                </w:p>
              </w:tc>
              <w:tc>
                <w:tcPr>
                  <w:tcW w:w="414" w:type="pct"/>
                  <w:vMerge w:val="continue"/>
                  <w:vAlign w:val="center"/>
                </w:tcPr>
                <w:p w14:paraId="4E20C28B">
                  <w:pPr>
                    <w:pStyle w:val="83"/>
                    <w:rPr>
                      <w:color w:val="auto"/>
                      <w:sz w:val="21"/>
                      <w:szCs w:val="21"/>
                    </w:rPr>
                  </w:pPr>
                </w:p>
              </w:tc>
              <w:tc>
                <w:tcPr>
                  <w:tcW w:w="620" w:type="pct"/>
                  <w:vMerge w:val="continue"/>
                  <w:vAlign w:val="center"/>
                </w:tcPr>
                <w:p w14:paraId="548A0F01">
                  <w:pPr>
                    <w:pStyle w:val="83"/>
                    <w:rPr>
                      <w:color w:val="auto"/>
                      <w:sz w:val="21"/>
                      <w:szCs w:val="21"/>
                    </w:rPr>
                  </w:pPr>
                </w:p>
              </w:tc>
              <w:tc>
                <w:tcPr>
                  <w:tcW w:w="449" w:type="pct"/>
                  <w:vMerge w:val="continue"/>
                  <w:vAlign w:val="center"/>
                </w:tcPr>
                <w:p w14:paraId="23CEB606">
                  <w:pPr>
                    <w:pStyle w:val="83"/>
                    <w:rPr>
                      <w:color w:val="auto"/>
                      <w:sz w:val="21"/>
                      <w:szCs w:val="21"/>
                    </w:rPr>
                  </w:pPr>
                </w:p>
              </w:tc>
              <w:tc>
                <w:tcPr>
                  <w:tcW w:w="323" w:type="pct"/>
                  <w:vMerge w:val="continue"/>
                  <w:vAlign w:val="center"/>
                </w:tcPr>
                <w:p w14:paraId="79D410C5">
                  <w:pPr>
                    <w:pStyle w:val="83"/>
                    <w:rPr>
                      <w:color w:val="auto"/>
                      <w:sz w:val="21"/>
                      <w:szCs w:val="21"/>
                    </w:rPr>
                  </w:pPr>
                </w:p>
              </w:tc>
            </w:tr>
            <w:tr w14:paraId="7C08F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08" w:hRule="atLeast"/>
                <w:jc w:val="center"/>
              </w:trPr>
              <w:tc>
                <w:tcPr>
                  <w:tcW w:w="276" w:type="pct"/>
                  <w:vMerge w:val="continue"/>
                  <w:vAlign w:val="center"/>
                </w:tcPr>
                <w:p w14:paraId="794C90C1">
                  <w:pPr>
                    <w:pStyle w:val="83"/>
                    <w:rPr>
                      <w:color w:val="auto"/>
                      <w:sz w:val="21"/>
                      <w:szCs w:val="21"/>
                    </w:rPr>
                  </w:pPr>
                </w:p>
              </w:tc>
              <w:tc>
                <w:tcPr>
                  <w:tcW w:w="507" w:type="pct"/>
                  <w:vMerge w:val="continue"/>
                  <w:vAlign w:val="center"/>
                </w:tcPr>
                <w:p w14:paraId="0EE0890B">
                  <w:pPr>
                    <w:pStyle w:val="83"/>
                    <w:rPr>
                      <w:color w:val="auto"/>
                      <w:sz w:val="21"/>
                      <w:szCs w:val="21"/>
                    </w:rPr>
                  </w:pPr>
                </w:p>
              </w:tc>
              <w:tc>
                <w:tcPr>
                  <w:tcW w:w="677" w:type="pct"/>
                  <w:vAlign w:val="center"/>
                </w:tcPr>
                <w:p w14:paraId="2FEC1891">
                  <w:pPr>
                    <w:pStyle w:val="83"/>
                    <w:rPr>
                      <w:color w:val="auto"/>
                      <w:sz w:val="21"/>
                      <w:szCs w:val="21"/>
                    </w:rPr>
                  </w:pPr>
                  <w:r>
                    <w:rPr>
                      <w:rFonts w:hint="eastAsia" w:hAnsiTheme="minorEastAsia" w:eastAsiaTheme="minorEastAsia"/>
                      <w:color w:val="auto"/>
                      <w:szCs w:val="21"/>
                    </w:rPr>
                    <w:t>初期雨水池油污</w:t>
                  </w:r>
                </w:p>
              </w:tc>
              <w:tc>
                <w:tcPr>
                  <w:tcW w:w="630" w:type="pct"/>
                  <w:vAlign w:val="center"/>
                </w:tcPr>
                <w:p w14:paraId="51C4E5BA">
                  <w:pPr>
                    <w:pStyle w:val="83"/>
                    <w:rPr>
                      <w:color w:val="auto"/>
                      <w:sz w:val="21"/>
                      <w:szCs w:val="21"/>
                    </w:rPr>
                  </w:pPr>
                  <w:r>
                    <w:rPr>
                      <w:rFonts w:hint="eastAsia"/>
                      <w:color w:val="auto"/>
                      <w:sz w:val="21"/>
                      <w:szCs w:val="21"/>
                    </w:rPr>
                    <w:t>HW08</w:t>
                  </w:r>
                </w:p>
              </w:tc>
              <w:tc>
                <w:tcPr>
                  <w:tcW w:w="744" w:type="pct"/>
                  <w:vAlign w:val="center"/>
                </w:tcPr>
                <w:p w14:paraId="62CB8D77">
                  <w:pPr>
                    <w:pStyle w:val="83"/>
                    <w:rPr>
                      <w:color w:val="auto"/>
                      <w:sz w:val="21"/>
                      <w:szCs w:val="21"/>
                    </w:rPr>
                  </w:pPr>
                  <w:r>
                    <w:rPr>
                      <w:rFonts w:eastAsiaTheme="minorEastAsia"/>
                      <w:color w:val="auto"/>
                      <w:spacing w:val="-6"/>
                      <w:szCs w:val="21"/>
                    </w:rPr>
                    <w:t>900-2</w:t>
                  </w:r>
                  <w:r>
                    <w:rPr>
                      <w:rFonts w:hint="eastAsia" w:eastAsiaTheme="minorEastAsia"/>
                      <w:color w:val="auto"/>
                      <w:spacing w:val="-6"/>
                      <w:szCs w:val="21"/>
                    </w:rPr>
                    <w:t>10</w:t>
                  </w:r>
                  <w:r>
                    <w:rPr>
                      <w:rFonts w:eastAsiaTheme="minorEastAsia"/>
                      <w:color w:val="auto"/>
                      <w:spacing w:val="-6"/>
                      <w:szCs w:val="21"/>
                    </w:rPr>
                    <w:t>-08</w:t>
                  </w:r>
                </w:p>
              </w:tc>
              <w:tc>
                <w:tcPr>
                  <w:tcW w:w="360" w:type="pct"/>
                  <w:vMerge w:val="continue"/>
                  <w:vAlign w:val="center"/>
                </w:tcPr>
                <w:p w14:paraId="54907360">
                  <w:pPr>
                    <w:pStyle w:val="83"/>
                    <w:rPr>
                      <w:color w:val="auto"/>
                      <w:sz w:val="21"/>
                      <w:szCs w:val="21"/>
                    </w:rPr>
                  </w:pPr>
                </w:p>
              </w:tc>
              <w:tc>
                <w:tcPr>
                  <w:tcW w:w="414" w:type="pct"/>
                  <w:vMerge w:val="continue"/>
                  <w:vAlign w:val="center"/>
                </w:tcPr>
                <w:p w14:paraId="78A365BA">
                  <w:pPr>
                    <w:pStyle w:val="83"/>
                    <w:rPr>
                      <w:color w:val="auto"/>
                      <w:sz w:val="21"/>
                      <w:szCs w:val="21"/>
                    </w:rPr>
                  </w:pPr>
                </w:p>
              </w:tc>
              <w:tc>
                <w:tcPr>
                  <w:tcW w:w="620" w:type="pct"/>
                  <w:vMerge w:val="continue"/>
                  <w:vAlign w:val="center"/>
                </w:tcPr>
                <w:p w14:paraId="74ADC164">
                  <w:pPr>
                    <w:pStyle w:val="83"/>
                    <w:rPr>
                      <w:color w:val="auto"/>
                      <w:sz w:val="21"/>
                      <w:szCs w:val="21"/>
                    </w:rPr>
                  </w:pPr>
                </w:p>
              </w:tc>
              <w:tc>
                <w:tcPr>
                  <w:tcW w:w="449" w:type="pct"/>
                  <w:vMerge w:val="continue"/>
                  <w:vAlign w:val="center"/>
                </w:tcPr>
                <w:p w14:paraId="285D8C4B">
                  <w:pPr>
                    <w:pStyle w:val="83"/>
                    <w:rPr>
                      <w:color w:val="auto"/>
                      <w:sz w:val="21"/>
                      <w:szCs w:val="21"/>
                    </w:rPr>
                  </w:pPr>
                </w:p>
              </w:tc>
              <w:tc>
                <w:tcPr>
                  <w:tcW w:w="323" w:type="pct"/>
                  <w:vMerge w:val="continue"/>
                  <w:vAlign w:val="center"/>
                </w:tcPr>
                <w:p w14:paraId="43B5C8BD">
                  <w:pPr>
                    <w:pStyle w:val="83"/>
                    <w:rPr>
                      <w:color w:val="auto"/>
                      <w:sz w:val="21"/>
                      <w:szCs w:val="21"/>
                    </w:rPr>
                  </w:pPr>
                </w:p>
              </w:tc>
            </w:tr>
          </w:tbl>
          <w:p w14:paraId="1E7F67B8">
            <w:pPr>
              <w:spacing w:line="360" w:lineRule="auto"/>
              <w:ind w:firstLine="482" w:firstLineChars="200"/>
              <w:contextualSpacing/>
              <w:rPr>
                <w:b/>
                <w:bCs/>
                <w:color w:val="auto"/>
                <w:sz w:val="24"/>
              </w:rPr>
            </w:pPr>
            <w:r>
              <w:rPr>
                <w:b/>
                <w:bCs/>
                <w:color w:val="auto"/>
                <w:sz w:val="24"/>
              </w:rPr>
              <w:t>2、环境管理要求</w:t>
            </w:r>
          </w:p>
          <w:p w14:paraId="325F5E95">
            <w:pPr>
              <w:spacing w:line="360" w:lineRule="auto"/>
              <w:ind w:firstLine="480" w:firstLineChars="200"/>
              <w:contextualSpacing/>
              <w:rPr>
                <w:color w:val="auto"/>
                <w:sz w:val="24"/>
                <w:szCs w:val="22"/>
              </w:rPr>
            </w:pPr>
            <w:r>
              <w:rPr>
                <w:color w:val="auto"/>
                <w:sz w:val="24"/>
                <w:szCs w:val="22"/>
              </w:rPr>
              <w:t>（1）工业固体废物</w:t>
            </w:r>
          </w:p>
          <w:p w14:paraId="1F07FBE8">
            <w:pPr>
              <w:spacing w:line="360" w:lineRule="auto"/>
              <w:ind w:firstLine="480" w:firstLineChars="200"/>
              <w:contextualSpacing/>
              <w:rPr>
                <w:color w:val="auto"/>
                <w:sz w:val="24"/>
                <w:szCs w:val="22"/>
              </w:rPr>
            </w:pPr>
            <w:r>
              <w:rPr>
                <w:rFonts w:asciiTheme="minorEastAsia" w:hAnsiTheme="minorEastAsia" w:eastAsiaTheme="minorEastAsia"/>
                <w:color w:val="auto"/>
                <w:sz w:val="24"/>
                <w:szCs w:val="22"/>
              </w:rPr>
              <w:fldChar w:fldCharType="begin"/>
            </w:r>
            <w:r>
              <w:rPr>
                <w:rFonts w:asciiTheme="minorEastAsia" w:hAnsiTheme="minorEastAsia" w:eastAsiaTheme="minorEastAsia"/>
                <w:color w:val="auto"/>
                <w:sz w:val="24"/>
                <w:szCs w:val="22"/>
              </w:rPr>
              <w:instrText xml:space="preserve"> = 1 \* GB3 </w:instrText>
            </w:r>
            <w:r>
              <w:rPr>
                <w:rFonts w:asciiTheme="minorEastAsia" w:hAnsiTheme="minorEastAsia" w:eastAsiaTheme="minorEastAsia"/>
                <w:color w:val="auto"/>
                <w:sz w:val="24"/>
                <w:szCs w:val="22"/>
              </w:rPr>
              <w:fldChar w:fldCharType="separate"/>
            </w:r>
            <w:r>
              <w:rPr>
                <w:rFonts w:asciiTheme="minorEastAsia" w:hAnsiTheme="minorEastAsia" w:eastAsiaTheme="minorEastAsia"/>
                <w:color w:val="auto"/>
                <w:sz w:val="24"/>
                <w:szCs w:val="22"/>
              </w:rPr>
              <w:t>①</w:t>
            </w:r>
            <w:r>
              <w:rPr>
                <w:rFonts w:asciiTheme="minorEastAsia" w:hAnsiTheme="minorEastAsia" w:eastAsiaTheme="minorEastAsia"/>
                <w:color w:val="auto"/>
                <w:sz w:val="24"/>
                <w:szCs w:val="22"/>
              </w:rPr>
              <w:fldChar w:fldCharType="end"/>
            </w:r>
            <w:r>
              <w:rPr>
                <w:color w:val="auto"/>
                <w:sz w:val="24"/>
                <w:szCs w:val="22"/>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642508E6">
            <w:pPr>
              <w:spacing w:line="360" w:lineRule="auto"/>
              <w:ind w:firstLine="480" w:firstLineChars="200"/>
              <w:contextualSpacing/>
              <w:rPr>
                <w:color w:val="auto"/>
                <w:sz w:val="24"/>
                <w:szCs w:val="22"/>
              </w:rPr>
            </w:pPr>
            <w:r>
              <w:rPr>
                <w:rFonts w:asciiTheme="minorEastAsia" w:hAnsiTheme="minorEastAsia" w:eastAsiaTheme="minorEastAsia"/>
                <w:color w:val="auto"/>
                <w:sz w:val="24"/>
                <w:szCs w:val="22"/>
              </w:rPr>
              <w:fldChar w:fldCharType="begin"/>
            </w:r>
            <w:r>
              <w:rPr>
                <w:rFonts w:asciiTheme="minorEastAsia" w:hAnsiTheme="minorEastAsia" w:eastAsiaTheme="minorEastAsia"/>
                <w:color w:val="auto"/>
                <w:sz w:val="24"/>
                <w:szCs w:val="22"/>
              </w:rPr>
              <w:instrText xml:space="preserve"> = 2 \* GB3 </w:instrText>
            </w:r>
            <w:r>
              <w:rPr>
                <w:rFonts w:asciiTheme="minorEastAsia" w:hAnsiTheme="minorEastAsia" w:eastAsiaTheme="minorEastAsia"/>
                <w:color w:val="auto"/>
                <w:sz w:val="24"/>
                <w:szCs w:val="22"/>
              </w:rPr>
              <w:fldChar w:fldCharType="separate"/>
            </w:r>
            <w:r>
              <w:rPr>
                <w:rFonts w:asciiTheme="minorEastAsia" w:hAnsiTheme="minorEastAsia" w:eastAsiaTheme="minorEastAsia"/>
                <w:color w:val="auto"/>
                <w:sz w:val="24"/>
                <w:szCs w:val="22"/>
              </w:rPr>
              <w:t>②</w:t>
            </w:r>
            <w:r>
              <w:rPr>
                <w:rFonts w:asciiTheme="minorEastAsia" w:hAnsiTheme="minorEastAsia" w:eastAsiaTheme="minorEastAsia"/>
                <w:color w:val="auto"/>
                <w:sz w:val="24"/>
                <w:szCs w:val="22"/>
              </w:rPr>
              <w:fldChar w:fldCharType="end"/>
            </w:r>
            <w:r>
              <w:rPr>
                <w:color w:val="auto"/>
                <w:sz w:val="24"/>
                <w:szCs w:val="22"/>
              </w:rPr>
              <w:t>禁止向生活垃圾收集设施中投放工业固体废物。</w:t>
            </w:r>
          </w:p>
          <w:p w14:paraId="311D494B">
            <w:pPr>
              <w:autoSpaceDE w:val="0"/>
              <w:autoSpaceDN w:val="0"/>
              <w:spacing w:line="360" w:lineRule="auto"/>
              <w:ind w:firstLine="480" w:firstLineChars="200"/>
              <w:contextualSpacing/>
              <w:rPr>
                <w:bCs/>
                <w:color w:val="auto"/>
                <w:sz w:val="24"/>
              </w:rPr>
            </w:pPr>
            <w:r>
              <w:rPr>
                <w:rFonts w:asciiTheme="minorEastAsia" w:hAnsiTheme="minorEastAsia" w:eastAsiaTheme="minorEastAsia"/>
                <w:color w:val="auto"/>
                <w:sz w:val="24"/>
                <w:szCs w:val="22"/>
              </w:rPr>
              <w:fldChar w:fldCharType="begin"/>
            </w:r>
            <w:r>
              <w:rPr>
                <w:rFonts w:asciiTheme="minorEastAsia" w:hAnsiTheme="minorEastAsia" w:eastAsiaTheme="minorEastAsia"/>
                <w:color w:val="auto"/>
                <w:sz w:val="24"/>
                <w:szCs w:val="22"/>
              </w:rPr>
              <w:instrText xml:space="preserve"> = 3 \* GB3 </w:instrText>
            </w:r>
            <w:r>
              <w:rPr>
                <w:rFonts w:asciiTheme="minorEastAsia" w:hAnsiTheme="minorEastAsia" w:eastAsiaTheme="minorEastAsia"/>
                <w:color w:val="auto"/>
                <w:sz w:val="24"/>
                <w:szCs w:val="22"/>
              </w:rPr>
              <w:fldChar w:fldCharType="separate"/>
            </w:r>
            <w:r>
              <w:rPr>
                <w:rFonts w:asciiTheme="minorEastAsia" w:hAnsiTheme="minorEastAsia" w:eastAsiaTheme="minorEastAsia"/>
                <w:color w:val="auto"/>
                <w:sz w:val="24"/>
                <w:szCs w:val="22"/>
              </w:rPr>
              <w:t>③</w:t>
            </w:r>
            <w:r>
              <w:rPr>
                <w:rFonts w:asciiTheme="minorEastAsia" w:hAnsiTheme="minorEastAsia" w:eastAsiaTheme="minorEastAsia"/>
                <w:color w:val="auto"/>
                <w:sz w:val="24"/>
                <w:szCs w:val="22"/>
              </w:rPr>
              <w:fldChar w:fldCharType="end"/>
            </w:r>
            <w:r>
              <w:rPr>
                <w:color w:val="auto"/>
                <w:sz w:val="24"/>
                <w:szCs w:val="22"/>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r>
              <w:rPr>
                <w:bCs/>
                <w:color w:val="auto"/>
                <w:sz w:val="24"/>
              </w:rPr>
              <w:t>。</w:t>
            </w:r>
          </w:p>
          <w:p w14:paraId="0E1A20B8">
            <w:pPr>
              <w:autoSpaceDE w:val="0"/>
              <w:autoSpaceDN w:val="0"/>
              <w:spacing w:line="360" w:lineRule="auto"/>
              <w:ind w:firstLine="480" w:firstLineChars="200"/>
              <w:contextualSpacing/>
              <w:rPr>
                <w:bCs/>
                <w:color w:val="auto"/>
                <w:sz w:val="24"/>
              </w:rPr>
            </w:pPr>
            <w:r>
              <w:rPr>
                <w:bCs/>
                <w:color w:val="auto"/>
                <w:sz w:val="24"/>
              </w:rPr>
              <w:t>（2）生活垃圾</w:t>
            </w:r>
          </w:p>
          <w:p w14:paraId="597D2B20">
            <w:pPr>
              <w:spacing w:line="360" w:lineRule="auto"/>
              <w:ind w:firstLine="480" w:firstLineChars="200"/>
              <w:contextualSpacing/>
              <w:rPr>
                <w:color w:val="auto"/>
                <w:sz w:val="24"/>
                <w:szCs w:val="22"/>
              </w:rPr>
            </w:pPr>
            <w:r>
              <w:rPr>
                <w:rFonts w:asciiTheme="minorEastAsia" w:hAnsiTheme="minorEastAsia" w:eastAsiaTheme="minorEastAsia"/>
                <w:color w:val="auto"/>
                <w:sz w:val="24"/>
                <w:szCs w:val="22"/>
              </w:rPr>
              <w:fldChar w:fldCharType="begin"/>
            </w:r>
            <w:r>
              <w:rPr>
                <w:rFonts w:asciiTheme="minorEastAsia" w:hAnsiTheme="minorEastAsia" w:eastAsiaTheme="minorEastAsia"/>
                <w:color w:val="auto"/>
                <w:sz w:val="24"/>
                <w:szCs w:val="22"/>
              </w:rPr>
              <w:instrText xml:space="preserve"> = 1 \* GB3 </w:instrText>
            </w:r>
            <w:r>
              <w:rPr>
                <w:rFonts w:asciiTheme="minorEastAsia" w:hAnsiTheme="minorEastAsia" w:eastAsiaTheme="minorEastAsia"/>
                <w:color w:val="auto"/>
                <w:sz w:val="24"/>
                <w:szCs w:val="22"/>
              </w:rPr>
              <w:fldChar w:fldCharType="separate"/>
            </w:r>
            <w:r>
              <w:rPr>
                <w:rFonts w:asciiTheme="minorEastAsia" w:hAnsiTheme="minorEastAsia" w:eastAsiaTheme="minorEastAsia"/>
                <w:color w:val="auto"/>
                <w:sz w:val="24"/>
                <w:szCs w:val="22"/>
              </w:rPr>
              <w:t>①</w:t>
            </w:r>
            <w:r>
              <w:rPr>
                <w:rFonts w:asciiTheme="minorEastAsia" w:hAnsiTheme="minorEastAsia" w:eastAsiaTheme="minorEastAsia"/>
                <w:color w:val="auto"/>
                <w:sz w:val="24"/>
                <w:szCs w:val="22"/>
              </w:rPr>
              <w:fldChar w:fldCharType="end"/>
            </w:r>
            <w:r>
              <w:rPr>
                <w:color w:val="auto"/>
                <w:sz w:val="24"/>
                <w:szCs w:val="22"/>
              </w:rPr>
              <w:t>任何单位和个人都应当依法在指定的地点分类投放生活垃圾。禁止随意倾倒、抛撒、堆放或者焚烧生活垃圾。</w:t>
            </w:r>
          </w:p>
          <w:p w14:paraId="18371081">
            <w:pPr>
              <w:autoSpaceDE w:val="0"/>
              <w:autoSpaceDN w:val="0"/>
              <w:spacing w:line="360" w:lineRule="auto"/>
              <w:ind w:firstLine="480" w:firstLineChars="200"/>
              <w:contextualSpacing/>
              <w:rPr>
                <w:bCs/>
                <w:color w:val="auto"/>
                <w:sz w:val="24"/>
              </w:rPr>
            </w:pPr>
            <w:r>
              <w:rPr>
                <w:rFonts w:asciiTheme="minorEastAsia" w:hAnsiTheme="minorEastAsia" w:eastAsiaTheme="minorEastAsia"/>
                <w:color w:val="auto"/>
                <w:sz w:val="24"/>
                <w:szCs w:val="22"/>
              </w:rPr>
              <w:fldChar w:fldCharType="begin"/>
            </w:r>
            <w:r>
              <w:rPr>
                <w:rFonts w:asciiTheme="minorEastAsia" w:hAnsiTheme="minorEastAsia" w:eastAsiaTheme="minorEastAsia"/>
                <w:color w:val="auto"/>
                <w:sz w:val="24"/>
                <w:szCs w:val="22"/>
              </w:rPr>
              <w:instrText xml:space="preserve"> = 2 \* GB3 </w:instrText>
            </w:r>
            <w:r>
              <w:rPr>
                <w:rFonts w:asciiTheme="minorEastAsia" w:hAnsiTheme="minorEastAsia" w:eastAsiaTheme="minorEastAsia"/>
                <w:color w:val="auto"/>
                <w:sz w:val="24"/>
                <w:szCs w:val="22"/>
              </w:rPr>
              <w:fldChar w:fldCharType="separate"/>
            </w:r>
            <w:r>
              <w:rPr>
                <w:rFonts w:asciiTheme="minorEastAsia" w:hAnsiTheme="minorEastAsia" w:eastAsiaTheme="minorEastAsia"/>
                <w:color w:val="auto"/>
                <w:sz w:val="24"/>
                <w:szCs w:val="22"/>
              </w:rPr>
              <w:t>②</w:t>
            </w:r>
            <w:r>
              <w:rPr>
                <w:rFonts w:asciiTheme="minorEastAsia" w:hAnsiTheme="minorEastAsia" w:eastAsiaTheme="minorEastAsia"/>
                <w:color w:val="auto"/>
                <w:sz w:val="24"/>
                <w:szCs w:val="22"/>
              </w:rPr>
              <w:fldChar w:fldCharType="end"/>
            </w:r>
            <w:r>
              <w:rPr>
                <w:color w:val="auto"/>
                <w:sz w:val="24"/>
                <w:szCs w:val="22"/>
              </w:rPr>
              <w:t>已经分类投放的生活垃圾，应当按照规定分类收集、分类运输、分类处理。</w:t>
            </w:r>
          </w:p>
          <w:p w14:paraId="27A74465">
            <w:pPr>
              <w:spacing w:line="360" w:lineRule="auto"/>
              <w:ind w:firstLine="480" w:firstLineChars="200"/>
              <w:contextualSpacing/>
              <w:rPr>
                <w:color w:val="auto"/>
                <w:sz w:val="24"/>
                <w:szCs w:val="22"/>
              </w:rPr>
            </w:pPr>
            <w:r>
              <w:rPr>
                <w:rFonts w:hint="eastAsia"/>
                <w:color w:val="auto"/>
                <w:sz w:val="24"/>
                <w:szCs w:val="22"/>
              </w:rPr>
              <w:t>（3）危险废物</w:t>
            </w:r>
          </w:p>
          <w:p w14:paraId="0F70F3E1">
            <w:pPr>
              <w:spacing w:line="360" w:lineRule="auto"/>
              <w:ind w:firstLine="480" w:firstLineChars="200"/>
              <w:contextualSpacing/>
              <w:rPr>
                <w:color w:val="auto"/>
                <w:sz w:val="24"/>
                <w:szCs w:val="22"/>
              </w:rPr>
            </w:pPr>
            <w:r>
              <w:rPr>
                <w:color w:val="auto"/>
                <w:sz w:val="24"/>
                <w:szCs w:val="22"/>
              </w:rPr>
              <w:fldChar w:fldCharType="begin"/>
            </w:r>
            <w:r>
              <w:rPr>
                <w:color w:val="auto"/>
                <w:sz w:val="24"/>
                <w:szCs w:val="22"/>
              </w:rPr>
              <w:instrText xml:space="preserve"> = 1 \* GB3 </w:instrText>
            </w:r>
            <w:r>
              <w:rPr>
                <w:color w:val="auto"/>
                <w:sz w:val="24"/>
                <w:szCs w:val="22"/>
              </w:rPr>
              <w:fldChar w:fldCharType="separate"/>
            </w:r>
            <w:r>
              <w:rPr>
                <w:rFonts w:hint="eastAsia" w:ascii="宋体" w:hAnsi="宋体" w:cs="宋体"/>
                <w:color w:val="auto"/>
                <w:sz w:val="24"/>
                <w:szCs w:val="22"/>
              </w:rPr>
              <w:t>①</w:t>
            </w:r>
            <w:r>
              <w:rPr>
                <w:color w:val="auto"/>
                <w:sz w:val="24"/>
                <w:szCs w:val="22"/>
              </w:rPr>
              <w:fldChar w:fldCharType="end"/>
            </w:r>
            <w:r>
              <w:rPr>
                <w:color w:val="auto"/>
                <w:sz w:val="24"/>
                <w:szCs w:val="22"/>
              </w:rPr>
              <w:t>本项目</w:t>
            </w:r>
            <w:r>
              <w:rPr>
                <w:rFonts w:hint="eastAsia"/>
                <w:color w:val="auto"/>
                <w:sz w:val="24"/>
                <w:szCs w:val="22"/>
              </w:rPr>
              <w:t>危险废物</w:t>
            </w:r>
            <w:r>
              <w:rPr>
                <w:color w:val="auto"/>
                <w:sz w:val="24"/>
                <w:szCs w:val="22"/>
              </w:rPr>
              <w:t>集中收集后</w:t>
            </w:r>
            <w:r>
              <w:rPr>
                <w:rFonts w:hint="eastAsia"/>
                <w:color w:val="auto"/>
                <w:sz w:val="24"/>
                <w:szCs w:val="22"/>
              </w:rPr>
              <w:t>，</w:t>
            </w:r>
            <w:r>
              <w:rPr>
                <w:color w:val="auto"/>
                <w:sz w:val="24"/>
                <w:szCs w:val="22"/>
              </w:rPr>
              <w:t>分类</w:t>
            </w:r>
            <w:r>
              <w:rPr>
                <w:rFonts w:hint="eastAsia"/>
                <w:color w:val="auto"/>
                <w:sz w:val="24"/>
                <w:szCs w:val="22"/>
              </w:rPr>
              <w:t>、</w:t>
            </w:r>
            <w:r>
              <w:rPr>
                <w:color w:val="auto"/>
                <w:sz w:val="24"/>
                <w:szCs w:val="22"/>
              </w:rPr>
              <w:t>分区暂存于危险</w:t>
            </w:r>
            <w:r>
              <w:rPr>
                <w:rFonts w:hint="eastAsia"/>
                <w:color w:val="auto"/>
                <w:sz w:val="24"/>
                <w:szCs w:val="22"/>
              </w:rPr>
              <w:t>废物</w:t>
            </w:r>
            <w:r>
              <w:rPr>
                <w:color w:val="auto"/>
                <w:sz w:val="24"/>
                <w:szCs w:val="22"/>
              </w:rPr>
              <w:t>暂存间，并定期交由有资质单位处置。</w:t>
            </w:r>
          </w:p>
          <w:p w14:paraId="111573A5">
            <w:pPr>
              <w:spacing w:line="360" w:lineRule="auto"/>
              <w:ind w:firstLine="480" w:firstLineChars="200"/>
              <w:contextualSpacing/>
              <w:rPr>
                <w:color w:val="auto"/>
                <w:sz w:val="24"/>
                <w:szCs w:val="22"/>
              </w:rPr>
            </w:pPr>
            <w:r>
              <w:rPr>
                <w:color w:val="auto"/>
                <w:sz w:val="24"/>
                <w:szCs w:val="22"/>
              </w:rPr>
              <w:fldChar w:fldCharType="begin"/>
            </w:r>
            <w:r>
              <w:rPr>
                <w:color w:val="auto"/>
                <w:sz w:val="24"/>
                <w:szCs w:val="22"/>
              </w:rPr>
              <w:instrText xml:space="preserve"> </w:instrText>
            </w:r>
            <w:r>
              <w:rPr>
                <w:rFonts w:hint="eastAsia"/>
                <w:color w:val="auto"/>
                <w:sz w:val="24"/>
                <w:szCs w:val="22"/>
              </w:rPr>
              <w:instrText xml:space="preserve">= 2 \* GB3</w:instrText>
            </w:r>
            <w:r>
              <w:rPr>
                <w:color w:val="auto"/>
                <w:sz w:val="24"/>
                <w:szCs w:val="22"/>
              </w:rPr>
              <w:instrText xml:space="preserve"> </w:instrText>
            </w:r>
            <w:r>
              <w:rPr>
                <w:color w:val="auto"/>
                <w:sz w:val="24"/>
                <w:szCs w:val="22"/>
              </w:rPr>
              <w:fldChar w:fldCharType="separate"/>
            </w:r>
            <w:r>
              <w:rPr>
                <w:rFonts w:hint="eastAsia"/>
                <w:color w:val="auto"/>
                <w:sz w:val="24"/>
                <w:szCs w:val="22"/>
              </w:rPr>
              <w:t>②</w:t>
            </w:r>
            <w:r>
              <w:rPr>
                <w:color w:val="auto"/>
                <w:sz w:val="24"/>
                <w:szCs w:val="22"/>
              </w:rPr>
              <w:fldChar w:fldCharType="end"/>
            </w:r>
            <w:r>
              <w:rPr>
                <w:color w:val="auto"/>
                <w:sz w:val="24"/>
                <w:szCs w:val="22"/>
              </w:rPr>
              <w:t>对危险废物的容器和包装物以及收集、贮存、运输、利用、处置危险废物的设施、场所，应当按照规定设置危险废物识别标志</w:t>
            </w:r>
            <w:r>
              <w:rPr>
                <w:rFonts w:hint="eastAsia"/>
                <w:color w:val="auto"/>
                <w:sz w:val="24"/>
                <w:szCs w:val="22"/>
              </w:rPr>
              <w:t>。</w:t>
            </w:r>
          </w:p>
          <w:p w14:paraId="206DB205">
            <w:pPr>
              <w:spacing w:line="360" w:lineRule="auto"/>
              <w:ind w:firstLine="480" w:firstLineChars="200"/>
              <w:contextualSpacing/>
              <w:rPr>
                <w:color w:val="auto"/>
                <w:sz w:val="24"/>
                <w:szCs w:val="22"/>
              </w:rPr>
            </w:pPr>
            <w:r>
              <w:rPr>
                <w:color w:val="auto"/>
                <w:sz w:val="24"/>
                <w:szCs w:val="22"/>
              </w:rPr>
              <w:fldChar w:fldCharType="begin"/>
            </w:r>
            <w:r>
              <w:rPr>
                <w:color w:val="auto"/>
                <w:sz w:val="24"/>
                <w:szCs w:val="22"/>
              </w:rPr>
              <w:instrText xml:space="preserve"> </w:instrText>
            </w:r>
            <w:r>
              <w:rPr>
                <w:rFonts w:hint="eastAsia"/>
                <w:color w:val="auto"/>
                <w:sz w:val="24"/>
                <w:szCs w:val="22"/>
              </w:rPr>
              <w:instrText xml:space="preserve">= 3 \* GB3</w:instrText>
            </w:r>
            <w:r>
              <w:rPr>
                <w:color w:val="auto"/>
                <w:sz w:val="24"/>
                <w:szCs w:val="22"/>
              </w:rPr>
              <w:instrText xml:space="preserve"> </w:instrText>
            </w:r>
            <w:r>
              <w:rPr>
                <w:color w:val="auto"/>
                <w:sz w:val="24"/>
                <w:szCs w:val="22"/>
              </w:rPr>
              <w:fldChar w:fldCharType="separate"/>
            </w:r>
            <w:r>
              <w:rPr>
                <w:rFonts w:hint="eastAsia"/>
                <w:color w:val="auto"/>
                <w:sz w:val="24"/>
                <w:szCs w:val="22"/>
              </w:rPr>
              <w:t>③</w:t>
            </w:r>
            <w:r>
              <w:rPr>
                <w:color w:val="auto"/>
                <w:sz w:val="24"/>
                <w:szCs w:val="22"/>
              </w:rPr>
              <w:fldChar w:fldCharType="end"/>
            </w:r>
            <w:r>
              <w:rPr>
                <w:color w:val="auto"/>
                <w:sz w:val="24"/>
                <w:szCs w:val="22"/>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r>
              <w:rPr>
                <w:rFonts w:hint="eastAsia"/>
                <w:color w:val="auto"/>
                <w:sz w:val="24"/>
                <w:szCs w:val="22"/>
              </w:rPr>
              <w:t>。</w:t>
            </w:r>
          </w:p>
          <w:p w14:paraId="304D1292">
            <w:pPr>
              <w:spacing w:line="360" w:lineRule="auto"/>
              <w:ind w:firstLine="480" w:firstLineChars="200"/>
              <w:contextualSpacing/>
              <w:rPr>
                <w:color w:val="auto"/>
                <w:sz w:val="24"/>
                <w:szCs w:val="22"/>
              </w:rPr>
            </w:pPr>
            <w:r>
              <w:rPr>
                <w:color w:val="auto"/>
                <w:sz w:val="24"/>
                <w:szCs w:val="22"/>
              </w:rPr>
              <w:fldChar w:fldCharType="begin"/>
            </w:r>
            <w:r>
              <w:rPr>
                <w:color w:val="auto"/>
                <w:sz w:val="24"/>
                <w:szCs w:val="22"/>
              </w:rPr>
              <w:instrText xml:space="preserve"> </w:instrText>
            </w:r>
            <w:r>
              <w:rPr>
                <w:rFonts w:hint="eastAsia"/>
                <w:color w:val="auto"/>
                <w:sz w:val="24"/>
                <w:szCs w:val="22"/>
              </w:rPr>
              <w:instrText xml:space="preserve">= 4 \* GB3</w:instrText>
            </w:r>
            <w:r>
              <w:rPr>
                <w:color w:val="auto"/>
                <w:sz w:val="24"/>
                <w:szCs w:val="22"/>
              </w:rPr>
              <w:instrText xml:space="preserve"> </w:instrText>
            </w:r>
            <w:r>
              <w:rPr>
                <w:color w:val="auto"/>
                <w:sz w:val="24"/>
                <w:szCs w:val="22"/>
              </w:rPr>
              <w:fldChar w:fldCharType="separate"/>
            </w:r>
            <w:r>
              <w:rPr>
                <w:rFonts w:hint="eastAsia"/>
                <w:color w:val="auto"/>
                <w:sz w:val="24"/>
                <w:szCs w:val="22"/>
              </w:rPr>
              <w:t>④</w:t>
            </w:r>
            <w:r>
              <w:rPr>
                <w:color w:val="auto"/>
                <w:sz w:val="24"/>
                <w:szCs w:val="22"/>
              </w:rPr>
              <w:fldChar w:fldCharType="end"/>
            </w:r>
            <w:r>
              <w:rPr>
                <w:color w:val="auto"/>
                <w:sz w:val="24"/>
                <w:szCs w:val="22"/>
              </w:rPr>
              <w:t>产生危险废物的单位，应当按照国家有关规定和环境保护标准要求贮存、利用、处置危险废物，不得擅自倾倒、堆放</w:t>
            </w:r>
            <w:r>
              <w:rPr>
                <w:rFonts w:hint="eastAsia"/>
                <w:color w:val="auto"/>
                <w:sz w:val="24"/>
                <w:szCs w:val="22"/>
              </w:rPr>
              <w:t>。</w:t>
            </w:r>
          </w:p>
          <w:p w14:paraId="6A49F084">
            <w:pPr>
              <w:spacing w:line="360" w:lineRule="auto"/>
              <w:ind w:firstLine="480" w:firstLineChars="200"/>
              <w:contextualSpacing/>
              <w:rPr>
                <w:color w:val="auto"/>
                <w:sz w:val="24"/>
                <w:szCs w:val="22"/>
              </w:rPr>
            </w:pPr>
            <w:r>
              <w:rPr>
                <w:color w:val="auto"/>
                <w:sz w:val="24"/>
                <w:szCs w:val="22"/>
              </w:rPr>
              <w:fldChar w:fldCharType="begin"/>
            </w:r>
            <w:r>
              <w:rPr>
                <w:color w:val="auto"/>
                <w:sz w:val="24"/>
                <w:szCs w:val="22"/>
              </w:rPr>
              <w:instrText xml:space="preserve"> </w:instrText>
            </w:r>
            <w:r>
              <w:rPr>
                <w:rFonts w:hint="eastAsia"/>
                <w:color w:val="auto"/>
                <w:sz w:val="24"/>
                <w:szCs w:val="22"/>
              </w:rPr>
              <w:instrText xml:space="preserve">= 5 \* GB3</w:instrText>
            </w:r>
            <w:r>
              <w:rPr>
                <w:color w:val="auto"/>
                <w:sz w:val="24"/>
                <w:szCs w:val="22"/>
              </w:rPr>
              <w:instrText xml:space="preserve"> </w:instrText>
            </w:r>
            <w:r>
              <w:rPr>
                <w:color w:val="auto"/>
                <w:sz w:val="24"/>
                <w:szCs w:val="22"/>
              </w:rPr>
              <w:fldChar w:fldCharType="separate"/>
            </w:r>
            <w:r>
              <w:rPr>
                <w:rFonts w:hint="eastAsia"/>
                <w:color w:val="auto"/>
                <w:sz w:val="24"/>
                <w:szCs w:val="22"/>
              </w:rPr>
              <w:t>⑤</w:t>
            </w:r>
            <w:r>
              <w:rPr>
                <w:color w:val="auto"/>
                <w:sz w:val="24"/>
                <w:szCs w:val="22"/>
              </w:rPr>
              <w:fldChar w:fldCharType="end"/>
            </w:r>
            <w:r>
              <w:rPr>
                <w:rFonts w:hint="eastAsia"/>
                <w:color w:val="auto"/>
                <w:sz w:val="24"/>
                <w:szCs w:val="22"/>
              </w:rPr>
              <w:t>危险废物暂存和处置要求</w:t>
            </w:r>
          </w:p>
          <w:p w14:paraId="57573E1E">
            <w:pPr>
              <w:spacing w:line="360" w:lineRule="auto"/>
              <w:ind w:firstLine="480" w:firstLineChars="200"/>
              <w:contextualSpacing/>
              <w:rPr>
                <w:color w:val="auto"/>
                <w:sz w:val="24"/>
                <w:szCs w:val="22"/>
              </w:rPr>
            </w:pPr>
            <w:r>
              <w:rPr>
                <w:rFonts w:hint="eastAsia"/>
                <w:color w:val="auto"/>
                <w:sz w:val="24"/>
                <w:szCs w:val="22"/>
              </w:rPr>
              <w:t>a.</w:t>
            </w:r>
            <w:r>
              <w:rPr>
                <w:color w:val="auto"/>
                <w:sz w:val="24"/>
                <w:szCs w:val="22"/>
              </w:rPr>
              <w:t>危废的存储应严格按照</w:t>
            </w:r>
            <w:r>
              <w:rPr>
                <w:rFonts w:hint="eastAsia"/>
                <w:color w:val="auto"/>
                <w:sz w:val="24"/>
                <w:szCs w:val="22"/>
              </w:rPr>
              <w:t>《危险废物贮存污染控制标准》（GB18597-2001）及其修改单</w:t>
            </w:r>
            <w:r>
              <w:rPr>
                <w:color w:val="auto"/>
                <w:sz w:val="24"/>
                <w:szCs w:val="22"/>
              </w:rPr>
              <w:t>要求执行。对存储的各种</w:t>
            </w:r>
            <w:r>
              <w:rPr>
                <w:rFonts w:hint="eastAsia"/>
                <w:color w:val="auto"/>
                <w:sz w:val="24"/>
                <w:szCs w:val="22"/>
              </w:rPr>
              <w:t>危废</w:t>
            </w:r>
            <w:r>
              <w:rPr>
                <w:color w:val="auto"/>
                <w:sz w:val="24"/>
                <w:szCs w:val="22"/>
              </w:rPr>
              <w:t>的容器进行标识，避免混合、混放。</w:t>
            </w:r>
          </w:p>
          <w:p w14:paraId="52D65677">
            <w:pPr>
              <w:spacing w:line="360" w:lineRule="auto"/>
              <w:ind w:firstLine="480" w:firstLineChars="200"/>
              <w:contextualSpacing/>
              <w:rPr>
                <w:color w:val="auto"/>
                <w:sz w:val="24"/>
                <w:szCs w:val="22"/>
              </w:rPr>
            </w:pPr>
            <w:r>
              <w:rPr>
                <w:rFonts w:hint="eastAsia"/>
                <w:color w:val="auto"/>
                <w:sz w:val="24"/>
                <w:szCs w:val="22"/>
              </w:rPr>
              <w:t>b.</w:t>
            </w:r>
            <w:r>
              <w:rPr>
                <w:color w:val="auto"/>
                <w:sz w:val="24"/>
                <w:szCs w:val="22"/>
              </w:rPr>
              <w:t>本项目生产过程中产生的属于危险废物，应按危险废物的有关规定进行管理处置，其暂存和处理按照国家相关要求进行，使用专用密闭容器</w:t>
            </w:r>
            <w:r>
              <w:rPr>
                <w:rFonts w:hint="eastAsia"/>
                <w:color w:val="auto"/>
                <w:sz w:val="24"/>
                <w:szCs w:val="22"/>
              </w:rPr>
              <w:t>分类</w:t>
            </w:r>
            <w:r>
              <w:rPr>
                <w:color w:val="auto"/>
                <w:sz w:val="24"/>
                <w:szCs w:val="22"/>
              </w:rPr>
              <w:t>存储废液，防止废液挥发，并交给</w:t>
            </w:r>
            <w:r>
              <w:rPr>
                <w:rFonts w:hint="eastAsia"/>
                <w:color w:val="auto"/>
                <w:sz w:val="24"/>
                <w:szCs w:val="22"/>
              </w:rPr>
              <w:t>有资质</w:t>
            </w:r>
            <w:r>
              <w:rPr>
                <w:color w:val="auto"/>
                <w:sz w:val="24"/>
                <w:szCs w:val="22"/>
              </w:rPr>
              <w:t>的废液回收处理企业。</w:t>
            </w:r>
            <w:r>
              <w:rPr>
                <w:rFonts w:hint="eastAsia"/>
                <w:color w:val="auto"/>
                <w:sz w:val="24"/>
                <w:szCs w:val="22"/>
              </w:rPr>
              <w:t>日</w:t>
            </w:r>
            <w:r>
              <w:rPr>
                <w:color w:val="auto"/>
                <w:sz w:val="24"/>
                <w:szCs w:val="22"/>
              </w:rPr>
              <w:t>常管理应专人专管，严格</w:t>
            </w:r>
            <w:r>
              <w:rPr>
                <w:rFonts w:hint="eastAsia"/>
                <w:color w:val="auto"/>
                <w:sz w:val="24"/>
                <w:szCs w:val="22"/>
              </w:rPr>
              <w:t>进行日常安全防护管理和监测</w:t>
            </w:r>
            <w:r>
              <w:rPr>
                <w:color w:val="auto"/>
                <w:sz w:val="24"/>
                <w:szCs w:val="22"/>
              </w:rPr>
              <w:t>。</w:t>
            </w:r>
          </w:p>
          <w:p w14:paraId="04D971A5">
            <w:pPr>
              <w:spacing w:line="360" w:lineRule="auto"/>
              <w:ind w:firstLine="480" w:firstLineChars="200"/>
              <w:contextualSpacing/>
              <w:rPr>
                <w:color w:val="auto"/>
                <w:sz w:val="24"/>
                <w:szCs w:val="22"/>
              </w:rPr>
            </w:pPr>
            <w:r>
              <w:rPr>
                <w:rFonts w:hint="eastAsia"/>
                <w:color w:val="auto"/>
                <w:sz w:val="24"/>
                <w:szCs w:val="22"/>
              </w:rPr>
              <w:t>c.</w:t>
            </w:r>
            <w:r>
              <w:rPr>
                <w:color w:val="auto"/>
                <w:sz w:val="24"/>
                <w:szCs w:val="22"/>
              </w:rPr>
              <w:t>对</w:t>
            </w:r>
            <w:r>
              <w:rPr>
                <w:rFonts w:hint="eastAsia"/>
                <w:color w:val="auto"/>
                <w:sz w:val="24"/>
                <w:szCs w:val="22"/>
              </w:rPr>
              <w:t>危险废物暂存区设立明显的警示标志，</w:t>
            </w:r>
            <w:r>
              <w:rPr>
                <w:color w:val="auto"/>
                <w:sz w:val="24"/>
                <w:szCs w:val="22"/>
              </w:rPr>
              <w:t>拆解过程产生的危险废物应按照类</w:t>
            </w:r>
            <w:r>
              <w:rPr>
                <w:rFonts w:hint="eastAsia"/>
                <w:color w:val="auto"/>
                <w:sz w:val="24"/>
                <w:szCs w:val="22"/>
              </w:rPr>
              <w:t>别</w:t>
            </w:r>
            <w:r>
              <w:rPr>
                <w:color w:val="auto"/>
                <w:sz w:val="24"/>
                <w:szCs w:val="22"/>
              </w:rPr>
              <w:t>分别放置在专门的收集容器和暂存设施内</w:t>
            </w:r>
            <w:r>
              <w:rPr>
                <w:rFonts w:hint="eastAsia"/>
                <w:color w:val="auto"/>
                <w:sz w:val="24"/>
                <w:szCs w:val="22"/>
              </w:rPr>
              <w:t>。</w:t>
            </w:r>
          </w:p>
          <w:p w14:paraId="77E37ACD">
            <w:pPr>
              <w:spacing w:line="360" w:lineRule="auto"/>
              <w:ind w:firstLine="480" w:firstLineChars="200"/>
              <w:contextualSpacing/>
              <w:rPr>
                <w:color w:val="auto"/>
                <w:sz w:val="24"/>
                <w:szCs w:val="22"/>
              </w:rPr>
            </w:pPr>
            <w:r>
              <w:rPr>
                <w:color w:val="auto"/>
                <w:sz w:val="24"/>
                <w:szCs w:val="22"/>
              </w:rPr>
              <w:fldChar w:fldCharType="begin"/>
            </w:r>
            <w:r>
              <w:rPr>
                <w:color w:val="auto"/>
                <w:sz w:val="24"/>
                <w:szCs w:val="22"/>
              </w:rPr>
              <w:instrText xml:space="preserve"> </w:instrText>
            </w:r>
            <w:r>
              <w:rPr>
                <w:rFonts w:hint="eastAsia"/>
                <w:color w:val="auto"/>
                <w:sz w:val="24"/>
                <w:szCs w:val="22"/>
              </w:rPr>
              <w:instrText xml:space="preserve">= 6 \* GB3</w:instrText>
            </w:r>
            <w:r>
              <w:rPr>
                <w:color w:val="auto"/>
                <w:sz w:val="24"/>
                <w:szCs w:val="22"/>
              </w:rPr>
              <w:instrText xml:space="preserve"> </w:instrText>
            </w:r>
            <w:r>
              <w:rPr>
                <w:color w:val="auto"/>
                <w:sz w:val="24"/>
                <w:szCs w:val="22"/>
              </w:rPr>
              <w:fldChar w:fldCharType="separate"/>
            </w:r>
            <w:r>
              <w:rPr>
                <w:rFonts w:hint="eastAsia"/>
                <w:color w:val="auto"/>
                <w:sz w:val="24"/>
                <w:szCs w:val="22"/>
              </w:rPr>
              <w:t>⑥</w:t>
            </w:r>
            <w:r>
              <w:rPr>
                <w:color w:val="auto"/>
                <w:sz w:val="24"/>
                <w:szCs w:val="22"/>
              </w:rPr>
              <w:fldChar w:fldCharType="end"/>
            </w:r>
            <w:r>
              <w:rPr>
                <w:color w:val="auto"/>
                <w:sz w:val="24"/>
                <w:szCs w:val="22"/>
              </w:rPr>
              <w:t>危险废物转运的管理要求</w:t>
            </w:r>
          </w:p>
          <w:p w14:paraId="5D72141F">
            <w:pPr>
              <w:spacing w:line="360" w:lineRule="auto"/>
              <w:ind w:firstLine="480" w:firstLineChars="200"/>
              <w:contextualSpacing/>
              <w:rPr>
                <w:color w:val="auto"/>
                <w:sz w:val="24"/>
                <w:szCs w:val="22"/>
              </w:rPr>
            </w:pPr>
            <w:r>
              <w:rPr>
                <w:color w:val="auto"/>
                <w:sz w:val="24"/>
                <w:szCs w:val="22"/>
              </w:rPr>
              <w:t>a</w:t>
            </w:r>
            <w:r>
              <w:rPr>
                <w:rFonts w:hint="eastAsia"/>
                <w:color w:val="auto"/>
                <w:sz w:val="24"/>
                <w:szCs w:val="22"/>
              </w:rPr>
              <w:t>.转移危险废物的，应当按照国家有关规定填写、运行危险废物电子或者纸质转移联单。</w:t>
            </w:r>
          </w:p>
          <w:p w14:paraId="5A23876D">
            <w:pPr>
              <w:spacing w:line="360" w:lineRule="auto"/>
              <w:ind w:firstLine="480" w:firstLineChars="200"/>
              <w:contextualSpacing/>
              <w:rPr>
                <w:color w:val="auto"/>
                <w:sz w:val="24"/>
                <w:szCs w:val="22"/>
              </w:rPr>
            </w:pPr>
            <w:r>
              <w:rPr>
                <w:rFonts w:hint="eastAsia"/>
                <w:color w:val="auto"/>
                <w:sz w:val="24"/>
                <w:szCs w:val="22"/>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14:paraId="63723027">
            <w:pPr>
              <w:spacing w:line="360" w:lineRule="auto"/>
              <w:ind w:firstLine="480" w:firstLineChars="200"/>
              <w:contextualSpacing/>
              <w:rPr>
                <w:color w:val="auto"/>
                <w:sz w:val="24"/>
                <w:szCs w:val="22"/>
              </w:rPr>
            </w:pPr>
            <w:r>
              <w:rPr>
                <w:rFonts w:hint="eastAsia"/>
                <w:color w:val="auto"/>
                <w:sz w:val="24"/>
                <w:szCs w:val="22"/>
              </w:rPr>
              <w:t>b.运输危险废物，应当采取防止污染环境的措施，并遵守国家有关危险货物运输管理的规定。</w:t>
            </w:r>
          </w:p>
          <w:p w14:paraId="00582E8D">
            <w:pPr>
              <w:spacing w:line="360" w:lineRule="auto"/>
              <w:ind w:firstLine="480" w:firstLineChars="200"/>
              <w:contextualSpacing/>
              <w:rPr>
                <w:color w:val="auto"/>
                <w:sz w:val="24"/>
                <w:szCs w:val="22"/>
              </w:rPr>
            </w:pPr>
            <w:r>
              <w:rPr>
                <w:rFonts w:hint="eastAsia"/>
                <w:color w:val="auto"/>
                <w:sz w:val="24"/>
                <w:szCs w:val="22"/>
              </w:rPr>
              <w:t>禁止将危险废物与旅客在同一运输工具上载运。</w:t>
            </w:r>
          </w:p>
          <w:p w14:paraId="47C895F7">
            <w:pPr>
              <w:spacing w:line="360" w:lineRule="auto"/>
              <w:ind w:firstLine="480" w:firstLineChars="200"/>
              <w:contextualSpacing/>
              <w:rPr>
                <w:color w:val="auto"/>
                <w:sz w:val="24"/>
                <w:szCs w:val="22"/>
              </w:rPr>
            </w:pPr>
            <w:r>
              <w:rPr>
                <w:color w:val="auto"/>
                <w:sz w:val="24"/>
                <w:szCs w:val="22"/>
              </w:rPr>
              <w:t>综上所述，本项目产生的固体废物经过妥善处理后，处置率达到100%不会影响周边环境。</w:t>
            </w:r>
          </w:p>
          <w:p w14:paraId="03B238B1">
            <w:pPr>
              <w:spacing w:line="360" w:lineRule="auto"/>
              <w:ind w:firstLine="482" w:firstLineChars="200"/>
              <w:contextualSpacing/>
              <w:rPr>
                <w:b/>
                <w:bCs/>
                <w:color w:val="auto"/>
                <w:sz w:val="24"/>
              </w:rPr>
            </w:pPr>
            <w:r>
              <w:rPr>
                <w:b/>
                <w:bCs/>
                <w:color w:val="auto"/>
                <w:sz w:val="24"/>
              </w:rPr>
              <w:t>（五）</w:t>
            </w:r>
            <w:r>
              <w:rPr>
                <w:rFonts w:eastAsiaTheme="minorEastAsia"/>
                <w:b/>
                <w:color w:val="auto"/>
                <w:sz w:val="24"/>
              </w:rPr>
              <w:t>环境风险</w:t>
            </w:r>
          </w:p>
          <w:p w14:paraId="5D434FD4">
            <w:pPr>
              <w:spacing w:line="360" w:lineRule="auto"/>
              <w:ind w:firstLine="482" w:firstLineChars="200"/>
              <w:rPr>
                <w:rStyle w:val="73"/>
                <w:rFonts w:hint="default" w:ascii="Times New Roman" w:hAnsi="Times New Roman" w:eastAsiaTheme="minorEastAsia"/>
                <w:color w:val="auto"/>
              </w:rPr>
            </w:pPr>
            <w:r>
              <w:rPr>
                <w:rStyle w:val="73"/>
                <w:rFonts w:hint="default" w:ascii="Times New Roman" w:hAnsi="Times New Roman" w:eastAsiaTheme="minorEastAsia"/>
                <w:b/>
                <w:color w:val="auto"/>
              </w:rPr>
              <w:t>1、</w:t>
            </w:r>
            <w:r>
              <w:rPr>
                <w:rFonts w:hint="eastAsia" w:hAnsiTheme="minorEastAsia" w:eastAsiaTheme="minorEastAsia"/>
                <w:b/>
                <w:color w:val="auto"/>
                <w:sz w:val="24"/>
              </w:rPr>
              <w:t>风险分析</w:t>
            </w:r>
          </w:p>
          <w:p w14:paraId="4DD04462">
            <w:pPr>
              <w:spacing w:line="360" w:lineRule="auto"/>
              <w:ind w:firstLine="480" w:firstLineChars="200"/>
              <w:rPr>
                <w:rFonts w:eastAsiaTheme="minorEastAsia"/>
                <w:color w:val="auto"/>
                <w:sz w:val="24"/>
              </w:rPr>
            </w:pPr>
            <w:r>
              <w:rPr>
                <w:rStyle w:val="73"/>
                <w:rFonts w:hint="default" w:ascii="Times New Roman" w:hAnsi="Times New Roman" w:eastAsiaTheme="minorEastAsia"/>
                <w:color w:val="auto"/>
              </w:rPr>
              <w:t>根据《建设项目环境风险评价技术导则》（</w:t>
            </w:r>
            <w:r>
              <w:rPr>
                <w:rStyle w:val="76"/>
                <w:rFonts w:ascii="Times New Roman" w:hAnsi="Times New Roman" w:eastAsiaTheme="minorEastAsia"/>
                <w:color w:val="auto"/>
              </w:rPr>
              <w:t>HJ/T169-2018</w:t>
            </w:r>
            <w:r>
              <w:rPr>
                <w:rStyle w:val="73"/>
                <w:rFonts w:hint="default" w:ascii="Times New Roman" w:hAnsi="Times New Roman" w:eastAsiaTheme="minorEastAsia"/>
                <w:color w:val="auto"/>
              </w:rPr>
              <w:t xml:space="preserve">）附录中附录 </w:t>
            </w:r>
            <w:r>
              <w:rPr>
                <w:rStyle w:val="76"/>
                <w:rFonts w:ascii="Times New Roman" w:hAnsi="Times New Roman" w:eastAsiaTheme="minorEastAsia"/>
                <w:color w:val="auto"/>
              </w:rPr>
              <w:t xml:space="preserve">B </w:t>
            </w:r>
            <w:r>
              <w:rPr>
                <w:rStyle w:val="73"/>
                <w:rFonts w:hint="default" w:ascii="Times New Roman" w:hAnsi="Times New Roman" w:eastAsiaTheme="minorEastAsia"/>
                <w:color w:val="auto"/>
              </w:rPr>
              <w:t>及《危险化学品重大危险源辨识》（</w:t>
            </w:r>
            <w:r>
              <w:rPr>
                <w:rStyle w:val="76"/>
                <w:rFonts w:ascii="Times New Roman" w:hAnsi="Times New Roman" w:eastAsiaTheme="minorEastAsia"/>
                <w:color w:val="auto"/>
              </w:rPr>
              <w:t>GB18218-2018</w:t>
            </w:r>
            <w:r>
              <w:rPr>
                <w:rStyle w:val="73"/>
                <w:rFonts w:hint="default" w:ascii="Times New Roman" w:hAnsi="Times New Roman" w:eastAsiaTheme="minorEastAsia"/>
                <w:color w:val="auto"/>
              </w:rPr>
              <w:t>），本项目主要风险物质为导热油、废导热油、废</w:t>
            </w:r>
            <w:r>
              <w:rPr>
                <w:rStyle w:val="76"/>
                <w:rFonts w:ascii="Times New Roman" w:hAnsi="Times New Roman" w:eastAsiaTheme="minorEastAsia"/>
                <w:color w:val="auto"/>
              </w:rPr>
              <w:t>油桶中废矿物油、初期雨水池油污、</w:t>
            </w:r>
            <w:r>
              <w:rPr>
                <w:rStyle w:val="73"/>
                <w:rFonts w:hint="default" w:ascii="Times New Roman" w:hAnsi="Times New Roman" w:eastAsiaTheme="minorEastAsia"/>
                <w:color w:val="auto"/>
              </w:rPr>
              <w:t>天然气，导热油</w:t>
            </w:r>
            <w:r>
              <w:rPr>
                <w:rFonts w:eastAsiaTheme="minorEastAsia"/>
                <w:color w:val="auto"/>
                <w:sz w:val="24"/>
              </w:rPr>
              <w:t>位于密封</w:t>
            </w:r>
            <w:r>
              <w:rPr>
                <w:rStyle w:val="76"/>
                <w:rFonts w:ascii="Times New Roman" w:hAnsi="Times New Roman" w:eastAsiaTheme="minorEastAsia"/>
                <w:color w:val="auto"/>
              </w:rPr>
              <w:t>管道内，总量</w:t>
            </w:r>
            <w:r>
              <w:rPr>
                <w:rStyle w:val="76"/>
                <w:rFonts w:hint="eastAsia" w:ascii="Times New Roman" w:hAnsi="Times New Roman" w:eastAsiaTheme="minorEastAsia"/>
                <w:color w:val="auto"/>
              </w:rPr>
              <w:t>3</w:t>
            </w:r>
            <w:r>
              <w:rPr>
                <w:rStyle w:val="76"/>
                <w:rFonts w:ascii="Times New Roman" w:hAnsi="Times New Roman" w:eastAsiaTheme="minorEastAsia"/>
                <w:color w:val="auto"/>
              </w:rPr>
              <w:t>t，</w:t>
            </w:r>
            <w:r>
              <w:rPr>
                <w:rStyle w:val="76"/>
                <w:rFonts w:hint="eastAsia" w:ascii="Times New Roman" w:hAnsi="Times New Roman" w:eastAsiaTheme="minorEastAsia"/>
                <w:color w:val="auto"/>
              </w:rPr>
              <w:t>天然气</w:t>
            </w:r>
            <w:r>
              <w:rPr>
                <w:rStyle w:val="76"/>
                <w:rFonts w:ascii="Times New Roman" w:hAnsi="Times New Roman" w:eastAsiaTheme="minorEastAsia"/>
                <w:color w:val="auto"/>
              </w:rPr>
              <w:t>位于</w:t>
            </w:r>
            <w:r>
              <w:rPr>
                <w:rStyle w:val="76"/>
                <w:rFonts w:hint="eastAsia" w:ascii="Times New Roman" w:hAnsi="Times New Roman" w:eastAsiaTheme="minorEastAsia"/>
                <w:color w:val="auto"/>
              </w:rPr>
              <w:t>2</w:t>
            </w:r>
            <w:r>
              <w:rPr>
                <w:rStyle w:val="76"/>
                <w:rFonts w:ascii="Times New Roman" w:hAnsi="Times New Roman" w:eastAsiaTheme="minorEastAsia"/>
                <w:color w:val="auto"/>
              </w:rPr>
              <w:t>个</w:t>
            </w:r>
            <w:r>
              <w:rPr>
                <w:rStyle w:val="76"/>
                <w:rFonts w:hint="eastAsia" w:ascii="Times New Roman" w:hAnsi="Times New Roman" w:eastAsiaTheme="minorEastAsia"/>
                <w:color w:val="auto"/>
              </w:rPr>
              <w:t>4.43t</w:t>
            </w:r>
            <w:r>
              <w:rPr>
                <w:rStyle w:val="76"/>
                <w:rFonts w:ascii="Times New Roman" w:hAnsi="Times New Roman" w:eastAsiaTheme="minorEastAsia"/>
                <w:color w:val="auto"/>
              </w:rPr>
              <w:t>储罐车内，存储量共为</w:t>
            </w:r>
            <w:r>
              <w:rPr>
                <w:rStyle w:val="76"/>
                <w:rFonts w:hint="eastAsia" w:ascii="Times New Roman" w:hAnsi="Times New Roman" w:eastAsiaTheme="minorEastAsia"/>
                <w:color w:val="auto"/>
              </w:rPr>
              <w:t>8.86</w:t>
            </w:r>
            <w:r>
              <w:rPr>
                <w:rStyle w:val="76"/>
                <w:rFonts w:ascii="Times New Roman" w:hAnsi="Times New Roman" w:eastAsiaTheme="minorEastAsia"/>
                <w:color w:val="auto"/>
              </w:rPr>
              <w:t>t，因废油桶中废矿物油的含量无法确定，本次按废油桶产生量</w:t>
            </w:r>
            <w:r>
              <w:rPr>
                <w:rStyle w:val="76"/>
                <w:rFonts w:hint="eastAsia" w:ascii="Times New Roman" w:hAnsi="Times New Roman" w:eastAsiaTheme="minorEastAsia"/>
                <w:color w:val="auto"/>
              </w:rPr>
              <w:t>0.3t/a作为废油桶中废矿物的含量。</w:t>
            </w:r>
            <w:r>
              <w:rPr>
                <w:rStyle w:val="76"/>
                <w:rFonts w:ascii="Times New Roman" w:hAnsi="Times New Roman" w:eastAsiaTheme="minorEastAsia"/>
                <w:color w:val="auto"/>
              </w:rPr>
              <w:t>详情见下表。</w:t>
            </w:r>
          </w:p>
          <w:p w14:paraId="5F23B2BB">
            <w:pPr>
              <w:ind w:right="105" w:rightChars="50"/>
              <w:rPr>
                <w:rFonts w:eastAsiaTheme="minorEastAsia"/>
                <w:b/>
                <w:bCs/>
                <w:color w:val="auto"/>
                <w:sz w:val="24"/>
              </w:rPr>
            </w:pPr>
          </w:p>
          <w:p w14:paraId="3E2BAA38">
            <w:pPr>
              <w:ind w:left="105" w:leftChars="50" w:right="105" w:rightChars="50" w:firstLine="499" w:firstLineChars="207"/>
              <w:jc w:val="center"/>
              <w:rPr>
                <w:rFonts w:eastAsiaTheme="minorEastAsia"/>
                <w:b/>
                <w:bCs/>
                <w:color w:val="auto"/>
                <w:sz w:val="24"/>
              </w:rPr>
            </w:pPr>
            <w:r>
              <w:rPr>
                <w:rFonts w:eastAsiaTheme="minorEastAsia"/>
                <w:b/>
                <w:bCs/>
                <w:color w:val="auto"/>
                <w:sz w:val="24"/>
              </w:rPr>
              <w:t>表</w:t>
            </w:r>
            <w:r>
              <w:rPr>
                <w:rFonts w:hint="eastAsia" w:eastAsiaTheme="minorEastAsia"/>
                <w:b/>
                <w:bCs/>
                <w:color w:val="auto"/>
                <w:sz w:val="24"/>
              </w:rPr>
              <w:t>4-</w:t>
            </w:r>
            <w:r>
              <w:rPr>
                <w:rFonts w:hint="eastAsia" w:eastAsiaTheme="minorEastAsia"/>
                <w:b/>
                <w:bCs/>
                <w:color w:val="auto"/>
                <w:sz w:val="24"/>
                <w:lang w:val="en-US" w:eastAsia="zh-CN"/>
              </w:rPr>
              <w:t>13</w:t>
            </w:r>
            <w:r>
              <w:rPr>
                <w:rFonts w:eastAsiaTheme="minorEastAsia"/>
                <w:b/>
                <w:bCs/>
                <w:color w:val="auto"/>
                <w:sz w:val="24"/>
              </w:rPr>
              <w:t xml:space="preserve"> 建设项目Q值确定表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097"/>
              <w:gridCol w:w="1091"/>
              <w:gridCol w:w="1713"/>
              <w:gridCol w:w="1253"/>
              <w:gridCol w:w="1535"/>
            </w:tblGrid>
            <w:tr w14:paraId="29D00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7" w:type="pct"/>
                  <w:tcBorders>
                    <w:top w:val="single" w:color="auto" w:sz="12" w:space="0"/>
                    <w:left w:val="nil"/>
                    <w:bottom w:val="single" w:color="auto" w:sz="4" w:space="0"/>
                    <w:right w:val="single" w:color="auto" w:sz="4" w:space="0"/>
                  </w:tcBorders>
                  <w:vAlign w:val="center"/>
                </w:tcPr>
                <w:p w14:paraId="3C472752">
                  <w:pPr>
                    <w:jc w:val="center"/>
                    <w:rPr>
                      <w:rFonts w:eastAsiaTheme="minorEastAsia"/>
                      <w:bCs/>
                      <w:color w:val="auto"/>
                      <w:szCs w:val="21"/>
                    </w:rPr>
                  </w:pPr>
                  <w:r>
                    <w:rPr>
                      <w:rFonts w:eastAsiaTheme="minorEastAsia"/>
                      <w:bCs/>
                      <w:color w:val="auto"/>
                      <w:szCs w:val="21"/>
                    </w:rPr>
                    <w:t>序号</w:t>
                  </w:r>
                </w:p>
              </w:tc>
              <w:tc>
                <w:tcPr>
                  <w:tcW w:w="1250" w:type="pct"/>
                  <w:tcBorders>
                    <w:top w:val="single" w:color="auto" w:sz="12" w:space="0"/>
                    <w:left w:val="single" w:color="auto" w:sz="4" w:space="0"/>
                    <w:bottom w:val="single" w:color="auto" w:sz="4" w:space="0"/>
                    <w:right w:val="single" w:color="auto" w:sz="4" w:space="0"/>
                  </w:tcBorders>
                  <w:vAlign w:val="center"/>
                </w:tcPr>
                <w:p w14:paraId="06DA357E">
                  <w:pPr>
                    <w:jc w:val="center"/>
                    <w:rPr>
                      <w:rFonts w:eastAsiaTheme="minorEastAsia"/>
                      <w:bCs/>
                      <w:color w:val="auto"/>
                      <w:szCs w:val="21"/>
                    </w:rPr>
                  </w:pPr>
                  <w:r>
                    <w:rPr>
                      <w:rFonts w:eastAsiaTheme="minorEastAsia"/>
                      <w:bCs/>
                      <w:color w:val="auto"/>
                      <w:szCs w:val="21"/>
                    </w:rPr>
                    <w:t>物质名称</w:t>
                  </w:r>
                </w:p>
              </w:tc>
              <w:tc>
                <w:tcPr>
                  <w:tcW w:w="650" w:type="pct"/>
                  <w:tcBorders>
                    <w:top w:val="single" w:color="auto" w:sz="12" w:space="0"/>
                    <w:left w:val="single" w:color="auto" w:sz="4" w:space="0"/>
                    <w:bottom w:val="single" w:color="auto" w:sz="4" w:space="0"/>
                    <w:right w:val="single" w:color="auto" w:sz="4" w:space="0"/>
                  </w:tcBorders>
                  <w:vAlign w:val="center"/>
                </w:tcPr>
                <w:p w14:paraId="647D91B8">
                  <w:pPr>
                    <w:jc w:val="center"/>
                    <w:rPr>
                      <w:rFonts w:eastAsiaTheme="minorEastAsia"/>
                      <w:bCs/>
                      <w:color w:val="auto"/>
                      <w:szCs w:val="21"/>
                    </w:rPr>
                  </w:pPr>
                  <w:r>
                    <w:rPr>
                      <w:rFonts w:eastAsiaTheme="minorEastAsia"/>
                      <w:bCs/>
                      <w:color w:val="auto"/>
                      <w:szCs w:val="21"/>
                    </w:rPr>
                    <w:t>CAS号</w:t>
                  </w:r>
                </w:p>
              </w:tc>
              <w:tc>
                <w:tcPr>
                  <w:tcW w:w="1021" w:type="pct"/>
                  <w:tcBorders>
                    <w:top w:val="single" w:color="auto" w:sz="12" w:space="0"/>
                    <w:left w:val="single" w:color="auto" w:sz="4" w:space="0"/>
                    <w:bottom w:val="single" w:color="auto" w:sz="4" w:space="0"/>
                    <w:right w:val="single" w:color="auto" w:sz="4" w:space="0"/>
                  </w:tcBorders>
                  <w:vAlign w:val="center"/>
                </w:tcPr>
                <w:p w14:paraId="74F5CB2A">
                  <w:pPr>
                    <w:jc w:val="center"/>
                    <w:rPr>
                      <w:rFonts w:eastAsiaTheme="minorEastAsia"/>
                      <w:bCs/>
                      <w:color w:val="auto"/>
                      <w:szCs w:val="21"/>
                    </w:rPr>
                  </w:pPr>
                  <w:r>
                    <w:rPr>
                      <w:rFonts w:eastAsiaTheme="minorEastAsia"/>
                      <w:bCs/>
                      <w:color w:val="auto"/>
                      <w:szCs w:val="21"/>
                    </w:rPr>
                    <w:t>最大存在量（t）</w:t>
                  </w:r>
                </w:p>
              </w:tc>
              <w:tc>
                <w:tcPr>
                  <w:tcW w:w="747" w:type="pct"/>
                  <w:tcBorders>
                    <w:top w:val="single" w:color="auto" w:sz="12" w:space="0"/>
                    <w:left w:val="single" w:color="auto" w:sz="4" w:space="0"/>
                    <w:bottom w:val="single" w:color="auto" w:sz="4" w:space="0"/>
                    <w:right w:val="single" w:color="auto" w:sz="4" w:space="0"/>
                  </w:tcBorders>
                  <w:vAlign w:val="center"/>
                </w:tcPr>
                <w:p w14:paraId="1B91ABDD">
                  <w:pPr>
                    <w:jc w:val="center"/>
                    <w:rPr>
                      <w:rFonts w:eastAsiaTheme="minorEastAsia"/>
                      <w:bCs/>
                      <w:color w:val="auto"/>
                      <w:szCs w:val="21"/>
                    </w:rPr>
                  </w:pPr>
                  <w:r>
                    <w:rPr>
                      <w:rFonts w:eastAsiaTheme="minorEastAsia"/>
                      <w:bCs/>
                      <w:color w:val="auto"/>
                      <w:szCs w:val="21"/>
                    </w:rPr>
                    <w:t>临界量（t）</w:t>
                  </w:r>
                </w:p>
              </w:tc>
              <w:tc>
                <w:tcPr>
                  <w:tcW w:w="915" w:type="pct"/>
                  <w:tcBorders>
                    <w:top w:val="single" w:color="auto" w:sz="12" w:space="0"/>
                    <w:left w:val="single" w:color="auto" w:sz="4" w:space="0"/>
                    <w:bottom w:val="single" w:color="auto" w:sz="4" w:space="0"/>
                    <w:right w:val="nil"/>
                  </w:tcBorders>
                  <w:vAlign w:val="center"/>
                </w:tcPr>
                <w:p w14:paraId="5901666F">
                  <w:pPr>
                    <w:jc w:val="center"/>
                    <w:rPr>
                      <w:rFonts w:eastAsiaTheme="minorEastAsia"/>
                      <w:bCs/>
                      <w:color w:val="auto"/>
                      <w:szCs w:val="21"/>
                    </w:rPr>
                  </w:pPr>
                  <w:r>
                    <w:rPr>
                      <w:rFonts w:eastAsiaTheme="minorEastAsia"/>
                      <w:bCs/>
                      <w:color w:val="auto"/>
                      <w:szCs w:val="21"/>
                    </w:rPr>
                    <w:t>Q值</w:t>
                  </w:r>
                </w:p>
              </w:tc>
            </w:tr>
            <w:tr w14:paraId="20682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7" w:type="pct"/>
                  <w:tcBorders>
                    <w:top w:val="single" w:color="auto" w:sz="4" w:space="0"/>
                    <w:left w:val="nil"/>
                    <w:bottom w:val="single" w:color="auto" w:sz="4" w:space="0"/>
                    <w:right w:val="single" w:color="auto" w:sz="4" w:space="0"/>
                  </w:tcBorders>
                  <w:vAlign w:val="center"/>
                </w:tcPr>
                <w:p w14:paraId="43617D72">
                  <w:pPr>
                    <w:jc w:val="center"/>
                    <w:rPr>
                      <w:rFonts w:eastAsiaTheme="minorEastAsia"/>
                      <w:color w:val="auto"/>
                      <w:szCs w:val="21"/>
                    </w:rPr>
                  </w:pPr>
                  <w:r>
                    <w:rPr>
                      <w:rFonts w:eastAsiaTheme="minorEastAsia"/>
                      <w:color w:val="auto"/>
                      <w:szCs w:val="21"/>
                    </w:rPr>
                    <w:t>1</w:t>
                  </w:r>
                </w:p>
              </w:tc>
              <w:tc>
                <w:tcPr>
                  <w:tcW w:w="1250" w:type="pct"/>
                  <w:tcBorders>
                    <w:top w:val="single" w:color="auto" w:sz="4" w:space="0"/>
                    <w:left w:val="single" w:color="auto" w:sz="4" w:space="0"/>
                    <w:bottom w:val="single" w:color="auto" w:sz="4" w:space="0"/>
                    <w:right w:val="single" w:color="auto" w:sz="4" w:space="0"/>
                  </w:tcBorders>
                  <w:vAlign w:val="center"/>
                </w:tcPr>
                <w:p w14:paraId="01E8F148">
                  <w:pPr>
                    <w:jc w:val="center"/>
                    <w:rPr>
                      <w:rFonts w:eastAsiaTheme="minorEastAsia"/>
                      <w:color w:val="auto"/>
                      <w:szCs w:val="21"/>
                    </w:rPr>
                  </w:pPr>
                  <w:r>
                    <w:rPr>
                      <w:rFonts w:eastAsiaTheme="minorEastAsia"/>
                      <w:color w:val="auto"/>
                      <w:szCs w:val="21"/>
                    </w:rPr>
                    <w:t>导热油</w:t>
                  </w:r>
                </w:p>
              </w:tc>
              <w:tc>
                <w:tcPr>
                  <w:tcW w:w="650" w:type="pct"/>
                  <w:tcBorders>
                    <w:top w:val="single" w:color="auto" w:sz="4" w:space="0"/>
                    <w:left w:val="single" w:color="auto" w:sz="4" w:space="0"/>
                    <w:bottom w:val="single" w:color="auto" w:sz="4" w:space="0"/>
                    <w:right w:val="single" w:color="auto" w:sz="4" w:space="0"/>
                  </w:tcBorders>
                  <w:vAlign w:val="center"/>
                </w:tcPr>
                <w:p w14:paraId="2AA2ACDC">
                  <w:pPr>
                    <w:jc w:val="center"/>
                    <w:rPr>
                      <w:rFonts w:eastAsiaTheme="minorEastAsia"/>
                      <w:color w:val="auto"/>
                      <w:szCs w:val="21"/>
                    </w:rPr>
                  </w:pPr>
                  <w:r>
                    <w:rPr>
                      <w:rFonts w:eastAsiaTheme="minorEastAsia"/>
                      <w:color w:val="auto"/>
                      <w:szCs w:val="21"/>
                    </w:rPr>
                    <w:t>--</w:t>
                  </w:r>
                </w:p>
              </w:tc>
              <w:tc>
                <w:tcPr>
                  <w:tcW w:w="1021" w:type="pct"/>
                  <w:tcBorders>
                    <w:top w:val="single" w:color="auto" w:sz="4" w:space="0"/>
                    <w:left w:val="single" w:color="auto" w:sz="4" w:space="0"/>
                    <w:bottom w:val="single" w:color="auto" w:sz="4" w:space="0"/>
                    <w:right w:val="single" w:color="auto" w:sz="4" w:space="0"/>
                  </w:tcBorders>
                  <w:vAlign w:val="center"/>
                </w:tcPr>
                <w:p w14:paraId="7CC4CE3A">
                  <w:pPr>
                    <w:jc w:val="center"/>
                    <w:rPr>
                      <w:rFonts w:eastAsiaTheme="minorEastAsia"/>
                      <w:color w:val="auto"/>
                      <w:szCs w:val="21"/>
                    </w:rPr>
                  </w:pPr>
                  <w:r>
                    <w:rPr>
                      <w:rFonts w:hint="eastAsia" w:eastAsiaTheme="minorEastAsia"/>
                      <w:color w:val="auto"/>
                      <w:szCs w:val="21"/>
                    </w:rPr>
                    <w:t>3</w:t>
                  </w:r>
                </w:p>
              </w:tc>
              <w:tc>
                <w:tcPr>
                  <w:tcW w:w="747" w:type="pct"/>
                  <w:tcBorders>
                    <w:top w:val="single" w:color="auto" w:sz="4" w:space="0"/>
                    <w:left w:val="single" w:color="auto" w:sz="4" w:space="0"/>
                    <w:bottom w:val="single" w:color="auto" w:sz="4" w:space="0"/>
                    <w:right w:val="single" w:color="auto" w:sz="4" w:space="0"/>
                  </w:tcBorders>
                  <w:vAlign w:val="center"/>
                </w:tcPr>
                <w:p w14:paraId="5AB00DDA">
                  <w:pPr>
                    <w:jc w:val="center"/>
                    <w:rPr>
                      <w:rFonts w:eastAsiaTheme="minorEastAsia"/>
                      <w:color w:val="auto"/>
                      <w:szCs w:val="21"/>
                    </w:rPr>
                  </w:pPr>
                  <w:r>
                    <w:rPr>
                      <w:rFonts w:eastAsiaTheme="minorEastAsia"/>
                      <w:color w:val="auto"/>
                      <w:szCs w:val="21"/>
                    </w:rPr>
                    <w:t>2500</w:t>
                  </w:r>
                </w:p>
              </w:tc>
              <w:tc>
                <w:tcPr>
                  <w:tcW w:w="915" w:type="pct"/>
                  <w:tcBorders>
                    <w:top w:val="single" w:color="auto" w:sz="4" w:space="0"/>
                    <w:left w:val="single" w:color="auto" w:sz="4" w:space="0"/>
                    <w:bottom w:val="single" w:color="auto" w:sz="4" w:space="0"/>
                    <w:right w:val="nil"/>
                  </w:tcBorders>
                  <w:vAlign w:val="center"/>
                </w:tcPr>
                <w:p w14:paraId="3143F54C">
                  <w:pPr>
                    <w:jc w:val="center"/>
                    <w:rPr>
                      <w:rFonts w:eastAsiaTheme="minorEastAsia"/>
                      <w:color w:val="auto"/>
                      <w:szCs w:val="21"/>
                    </w:rPr>
                  </w:pPr>
                  <w:r>
                    <w:rPr>
                      <w:rFonts w:hint="eastAsia" w:eastAsiaTheme="minorEastAsia"/>
                      <w:color w:val="auto"/>
                      <w:szCs w:val="21"/>
                    </w:rPr>
                    <w:t>0.0012</w:t>
                  </w:r>
                </w:p>
              </w:tc>
            </w:tr>
            <w:tr w14:paraId="3370F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7" w:type="pct"/>
                  <w:tcBorders>
                    <w:top w:val="single" w:color="auto" w:sz="4" w:space="0"/>
                    <w:left w:val="nil"/>
                    <w:bottom w:val="single" w:color="auto" w:sz="4" w:space="0"/>
                    <w:right w:val="single" w:color="auto" w:sz="4" w:space="0"/>
                  </w:tcBorders>
                  <w:vAlign w:val="center"/>
                </w:tcPr>
                <w:p w14:paraId="66D3C39D">
                  <w:pPr>
                    <w:jc w:val="center"/>
                    <w:rPr>
                      <w:rFonts w:eastAsiaTheme="minorEastAsia"/>
                      <w:color w:val="auto"/>
                      <w:szCs w:val="21"/>
                    </w:rPr>
                  </w:pPr>
                  <w:r>
                    <w:rPr>
                      <w:rFonts w:eastAsiaTheme="minorEastAsia"/>
                      <w:color w:val="auto"/>
                      <w:szCs w:val="21"/>
                    </w:rPr>
                    <w:t>2</w:t>
                  </w:r>
                </w:p>
              </w:tc>
              <w:tc>
                <w:tcPr>
                  <w:tcW w:w="1250" w:type="pct"/>
                  <w:tcBorders>
                    <w:top w:val="single" w:color="auto" w:sz="4" w:space="0"/>
                    <w:left w:val="single" w:color="auto" w:sz="4" w:space="0"/>
                    <w:bottom w:val="single" w:color="auto" w:sz="4" w:space="0"/>
                    <w:right w:val="single" w:color="auto" w:sz="4" w:space="0"/>
                  </w:tcBorders>
                  <w:vAlign w:val="center"/>
                </w:tcPr>
                <w:p w14:paraId="61B6F958">
                  <w:pPr>
                    <w:jc w:val="center"/>
                    <w:rPr>
                      <w:rFonts w:eastAsiaTheme="minorEastAsia"/>
                      <w:color w:val="auto"/>
                      <w:szCs w:val="21"/>
                    </w:rPr>
                  </w:pPr>
                  <w:r>
                    <w:rPr>
                      <w:rFonts w:hint="eastAsia" w:eastAsiaTheme="minorEastAsia"/>
                      <w:color w:val="auto"/>
                      <w:szCs w:val="21"/>
                    </w:rPr>
                    <w:t>天然气</w:t>
                  </w:r>
                </w:p>
              </w:tc>
              <w:tc>
                <w:tcPr>
                  <w:tcW w:w="650" w:type="pct"/>
                  <w:tcBorders>
                    <w:top w:val="single" w:color="auto" w:sz="4" w:space="0"/>
                    <w:left w:val="single" w:color="auto" w:sz="4" w:space="0"/>
                    <w:bottom w:val="single" w:color="auto" w:sz="4" w:space="0"/>
                    <w:right w:val="single" w:color="auto" w:sz="4" w:space="0"/>
                  </w:tcBorders>
                  <w:vAlign w:val="center"/>
                </w:tcPr>
                <w:p w14:paraId="02BE3FB6">
                  <w:pPr>
                    <w:jc w:val="center"/>
                    <w:rPr>
                      <w:rFonts w:eastAsiaTheme="minorEastAsia"/>
                      <w:color w:val="auto"/>
                      <w:szCs w:val="21"/>
                    </w:rPr>
                  </w:pPr>
                  <w:r>
                    <w:rPr>
                      <w:rFonts w:eastAsiaTheme="minorEastAsia"/>
                      <w:color w:val="auto"/>
                      <w:szCs w:val="21"/>
                    </w:rPr>
                    <w:t>--</w:t>
                  </w:r>
                </w:p>
              </w:tc>
              <w:tc>
                <w:tcPr>
                  <w:tcW w:w="1021" w:type="pct"/>
                  <w:tcBorders>
                    <w:top w:val="single" w:color="auto" w:sz="4" w:space="0"/>
                    <w:left w:val="single" w:color="auto" w:sz="4" w:space="0"/>
                    <w:bottom w:val="single" w:color="auto" w:sz="4" w:space="0"/>
                    <w:right w:val="single" w:color="auto" w:sz="4" w:space="0"/>
                  </w:tcBorders>
                  <w:vAlign w:val="center"/>
                </w:tcPr>
                <w:p w14:paraId="0C4208BC">
                  <w:pPr>
                    <w:jc w:val="center"/>
                    <w:rPr>
                      <w:rFonts w:eastAsiaTheme="minorEastAsia"/>
                      <w:color w:val="auto"/>
                      <w:szCs w:val="21"/>
                    </w:rPr>
                  </w:pPr>
                  <w:r>
                    <w:rPr>
                      <w:rFonts w:hint="eastAsia" w:eastAsiaTheme="minorEastAsia"/>
                      <w:color w:val="auto"/>
                      <w:szCs w:val="21"/>
                    </w:rPr>
                    <w:t>8.86</w:t>
                  </w:r>
                </w:p>
              </w:tc>
              <w:tc>
                <w:tcPr>
                  <w:tcW w:w="747" w:type="pct"/>
                  <w:tcBorders>
                    <w:top w:val="single" w:color="auto" w:sz="4" w:space="0"/>
                    <w:left w:val="single" w:color="auto" w:sz="4" w:space="0"/>
                    <w:bottom w:val="single" w:color="auto" w:sz="4" w:space="0"/>
                    <w:right w:val="single" w:color="auto" w:sz="4" w:space="0"/>
                  </w:tcBorders>
                  <w:vAlign w:val="center"/>
                </w:tcPr>
                <w:p w14:paraId="12F3C38D">
                  <w:pPr>
                    <w:jc w:val="center"/>
                    <w:rPr>
                      <w:rFonts w:eastAsiaTheme="minorEastAsia"/>
                      <w:color w:val="auto"/>
                      <w:szCs w:val="21"/>
                    </w:rPr>
                  </w:pPr>
                  <w:r>
                    <w:rPr>
                      <w:rFonts w:hint="eastAsia" w:eastAsiaTheme="minorEastAsia"/>
                      <w:color w:val="auto"/>
                      <w:szCs w:val="21"/>
                    </w:rPr>
                    <w:t>10</w:t>
                  </w:r>
                </w:p>
              </w:tc>
              <w:tc>
                <w:tcPr>
                  <w:tcW w:w="915" w:type="pct"/>
                  <w:tcBorders>
                    <w:top w:val="single" w:color="auto" w:sz="4" w:space="0"/>
                    <w:left w:val="single" w:color="auto" w:sz="4" w:space="0"/>
                    <w:bottom w:val="single" w:color="auto" w:sz="4" w:space="0"/>
                    <w:right w:val="nil"/>
                  </w:tcBorders>
                  <w:vAlign w:val="center"/>
                </w:tcPr>
                <w:p w14:paraId="7B64FA9F">
                  <w:pPr>
                    <w:jc w:val="center"/>
                    <w:rPr>
                      <w:rFonts w:eastAsiaTheme="minorEastAsia"/>
                      <w:color w:val="auto"/>
                      <w:szCs w:val="21"/>
                    </w:rPr>
                  </w:pPr>
                  <w:r>
                    <w:rPr>
                      <w:rFonts w:hint="eastAsia" w:eastAsiaTheme="minorEastAsia"/>
                      <w:color w:val="auto"/>
                      <w:szCs w:val="21"/>
                    </w:rPr>
                    <w:t>0.886</w:t>
                  </w:r>
                </w:p>
              </w:tc>
            </w:tr>
            <w:tr w14:paraId="2EAB2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7" w:type="pct"/>
                  <w:tcBorders>
                    <w:top w:val="single" w:color="auto" w:sz="4" w:space="0"/>
                    <w:left w:val="nil"/>
                    <w:bottom w:val="single" w:color="auto" w:sz="4" w:space="0"/>
                    <w:right w:val="single" w:color="auto" w:sz="4" w:space="0"/>
                  </w:tcBorders>
                  <w:vAlign w:val="center"/>
                </w:tcPr>
                <w:p w14:paraId="670B31D9">
                  <w:pPr>
                    <w:jc w:val="center"/>
                    <w:rPr>
                      <w:rFonts w:eastAsiaTheme="minorEastAsia"/>
                      <w:color w:val="auto"/>
                      <w:szCs w:val="21"/>
                    </w:rPr>
                  </w:pPr>
                  <w:r>
                    <w:rPr>
                      <w:rFonts w:hint="eastAsia" w:eastAsiaTheme="minorEastAsia"/>
                      <w:color w:val="auto"/>
                      <w:szCs w:val="21"/>
                    </w:rPr>
                    <w:t>3</w:t>
                  </w:r>
                </w:p>
              </w:tc>
              <w:tc>
                <w:tcPr>
                  <w:tcW w:w="1250" w:type="pct"/>
                  <w:tcBorders>
                    <w:top w:val="single" w:color="auto" w:sz="4" w:space="0"/>
                    <w:left w:val="single" w:color="auto" w:sz="4" w:space="0"/>
                    <w:bottom w:val="single" w:color="auto" w:sz="4" w:space="0"/>
                    <w:right w:val="single" w:color="auto" w:sz="4" w:space="0"/>
                  </w:tcBorders>
                  <w:vAlign w:val="center"/>
                </w:tcPr>
                <w:p w14:paraId="290C8284">
                  <w:pPr>
                    <w:jc w:val="center"/>
                    <w:rPr>
                      <w:rFonts w:eastAsiaTheme="minorEastAsia"/>
                      <w:color w:val="auto"/>
                      <w:szCs w:val="21"/>
                    </w:rPr>
                  </w:pPr>
                  <w:r>
                    <w:rPr>
                      <w:rFonts w:hint="eastAsia" w:eastAsiaTheme="minorEastAsia"/>
                      <w:color w:val="auto"/>
                      <w:szCs w:val="21"/>
                    </w:rPr>
                    <w:t>废导热油</w:t>
                  </w:r>
                </w:p>
              </w:tc>
              <w:tc>
                <w:tcPr>
                  <w:tcW w:w="650" w:type="pct"/>
                  <w:tcBorders>
                    <w:top w:val="single" w:color="auto" w:sz="4" w:space="0"/>
                    <w:left w:val="single" w:color="auto" w:sz="4" w:space="0"/>
                    <w:bottom w:val="single" w:color="auto" w:sz="4" w:space="0"/>
                    <w:right w:val="single" w:color="auto" w:sz="4" w:space="0"/>
                  </w:tcBorders>
                  <w:vAlign w:val="center"/>
                </w:tcPr>
                <w:p w14:paraId="6580B765">
                  <w:pPr>
                    <w:jc w:val="center"/>
                    <w:rPr>
                      <w:rFonts w:eastAsiaTheme="minorEastAsia"/>
                      <w:color w:val="auto"/>
                      <w:szCs w:val="21"/>
                    </w:rPr>
                  </w:pPr>
                  <w:r>
                    <w:rPr>
                      <w:rFonts w:eastAsiaTheme="minorEastAsia"/>
                      <w:color w:val="auto"/>
                      <w:szCs w:val="21"/>
                    </w:rPr>
                    <w:t>--</w:t>
                  </w:r>
                </w:p>
              </w:tc>
              <w:tc>
                <w:tcPr>
                  <w:tcW w:w="1021" w:type="pct"/>
                  <w:tcBorders>
                    <w:top w:val="single" w:color="auto" w:sz="4" w:space="0"/>
                    <w:left w:val="single" w:color="auto" w:sz="4" w:space="0"/>
                    <w:bottom w:val="single" w:color="auto" w:sz="4" w:space="0"/>
                    <w:right w:val="single" w:color="auto" w:sz="4" w:space="0"/>
                  </w:tcBorders>
                  <w:vAlign w:val="center"/>
                </w:tcPr>
                <w:p w14:paraId="46FC602F">
                  <w:pPr>
                    <w:jc w:val="center"/>
                    <w:rPr>
                      <w:rFonts w:eastAsiaTheme="minorEastAsia"/>
                      <w:color w:val="auto"/>
                      <w:szCs w:val="21"/>
                    </w:rPr>
                  </w:pPr>
                  <w:r>
                    <w:rPr>
                      <w:rFonts w:hint="eastAsia" w:eastAsiaTheme="minorEastAsia"/>
                      <w:color w:val="auto"/>
                      <w:szCs w:val="21"/>
                    </w:rPr>
                    <w:t>3</w:t>
                  </w:r>
                </w:p>
              </w:tc>
              <w:tc>
                <w:tcPr>
                  <w:tcW w:w="747" w:type="pct"/>
                  <w:tcBorders>
                    <w:top w:val="single" w:color="auto" w:sz="4" w:space="0"/>
                    <w:left w:val="single" w:color="auto" w:sz="4" w:space="0"/>
                    <w:bottom w:val="single" w:color="auto" w:sz="4" w:space="0"/>
                    <w:right w:val="single" w:color="auto" w:sz="4" w:space="0"/>
                  </w:tcBorders>
                  <w:vAlign w:val="center"/>
                </w:tcPr>
                <w:p w14:paraId="3AAC2CD5">
                  <w:pPr>
                    <w:jc w:val="center"/>
                    <w:rPr>
                      <w:rFonts w:eastAsiaTheme="minorEastAsia"/>
                      <w:color w:val="auto"/>
                      <w:szCs w:val="21"/>
                    </w:rPr>
                  </w:pPr>
                  <w:r>
                    <w:rPr>
                      <w:rFonts w:hint="eastAsia" w:eastAsiaTheme="minorEastAsia"/>
                      <w:color w:val="auto"/>
                      <w:szCs w:val="21"/>
                    </w:rPr>
                    <w:t>2500</w:t>
                  </w:r>
                </w:p>
              </w:tc>
              <w:tc>
                <w:tcPr>
                  <w:tcW w:w="915" w:type="pct"/>
                  <w:tcBorders>
                    <w:top w:val="single" w:color="auto" w:sz="4" w:space="0"/>
                    <w:left w:val="single" w:color="auto" w:sz="4" w:space="0"/>
                    <w:bottom w:val="single" w:color="auto" w:sz="4" w:space="0"/>
                    <w:right w:val="nil"/>
                  </w:tcBorders>
                  <w:vAlign w:val="center"/>
                </w:tcPr>
                <w:p w14:paraId="35F270CD">
                  <w:pPr>
                    <w:jc w:val="center"/>
                    <w:rPr>
                      <w:rFonts w:eastAsiaTheme="minorEastAsia"/>
                      <w:color w:val="auto"/>
                      <w:szCs w:val="21"/>
                    </w:rPr>
                  </w:pPr>
                  <w:r>
                    <w:rPr>
                      <w:rFonts w:hint="eastAsia" w:eastAsiaTheme="minorEastAsia"/>
                      <w:color w:val="auto"/>
                      <w:szCs w:val="21"/>
                    </w:rPr>
                    <w:t>0.0012</w:t>
                  </w:r>
                </w:p>
              </w:tc>
            </w:tr>
            <w:tr w14:paraId="4B950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7" w:type="pct"/>
                  <w:tcBorders>
                    <w:top w:val="single" w:color="auto" w:sz="4" w:space="0"/>
                    <w:left w:val="nil"/>
                    <w:bottom w:val="single" w:color="auto" w:sz="4" w:space="0"/>
                    <w:right w:val="single" w:color="auto" w:sz="4" w:space="0"/>
                  </w:tcBorders>
                  <w:vAlign w:val="center"/>
                </w:tcPr>
                <w:p w14:paraId="52EF7999">
                  <w:pPr>
                    <w:jc w:val="center"/>
                    <w:rPr>
                      <w:rFonts w:eastAsiaTheme="minorEastAsia"/>
                      <w:color w:val="auto"/>
                      <w:szCs w:val="21"/>
                    </w:rPr>
                  </w:pPr>
                  <w:r>
                    <w:rPr>
                      <w:rFonts w:hint="eastAsia" w:eastAsiaTheme="minorEastAsia"/>
                      <w:color w:val="auto"/>
                      <w:szCs w:val="21"/>
                    </w:rPr>
                    <w:t>4</w:t>
                  </w:r>
                </w:p>
              </w:tc>
              <w:tc>
                <w:tcPr>
                  <w:tcW w:w="1250" w:type="pct"/>
                  <w:tcBorders>
                    <w:top w:val="single" w:color="auto" w:sz="4" w:space="0"/>
                    <w:left w:val="single" w:color="auto" w:sz="4" w:space="0"/>
                    <w:bottom w:val="single" w:color="auto" w:sz="4" w:space="0"/>
                    <w:right w:val="single" w:color="auto" w:sz="4" w:space="0"/>
                  </w:tcBorders>
                  <w:vAlign w:val="center"/>
                </w:tcPr>
                <w:p w14:paraId="74126C69">
                  <w:pPr>
                    <w:jc w:val="center"/>
                    <w:rPr>
                      <w:rFonts w:eastAsiaTheme="minorEastAsia"/>
                      <w:color w:val="auto"/>
                      <w:szCs w:val="21"/>
                    </w:rPr>
                  </w:pPr>
                  <w:r>
                    <w:rPr>
                      <w:rStyle w:val="73"/>
                      <w:rFonts w:hint="default" w:ascii="Times New Roman" w:hAnsi="Times New Roman" w:eastAsiaTheme="minorEastAsia"/>
                      <w:color w:val="auto"/>
                      <w:sz w:val="21"/>
                      <w:szCs w:val="21"/>
                    </w:rPr>
                    <w:t>废</w:t>
                  </w:r>
                  <w:r>
                    <w:rPr>
                      <w:rStyle w:val="76"/>
                      <w:rFonts w:ascii="Times New Roman" w:hAnsi="Times New Roman" w:eastAsiaTheme="minorEastAsia"/>
                      <w:color w:val="auto"/>
                      <w:sz w:val="21"/>
                      <w:szCs w:val="21"/>
                    </w:rPr>
                    <w:t>油桶中废矿物油</w:t>
                  </w:r>
                </w:p>
              </w:tc>
              <w:tc>
                <w:tcPr>
                  <w:tcW w:w="650" w:type="pct"/>
                  <w:tcBorders>
                    <w:top w:val="single" w:color="auto" w:sz="4" w:space="0"/>
                    <w:left w:val="single" w:color="auto" w:sz="4" w:space="0"/>
                    <w:bottom w:val="single" w:color="auto" w:sz="4" w:space="0"/>
                    <w:right w:val="single" w:color="auto" w:sz="4" w:space="0"/>
                  </w:tcBorders>
                  <w:vAlign w:val="center"/>
                </w:tcPr>
                <w:p w14:paraId="5D6779C1">
                  <w:pPr>
                    <w:jc w:val="center"/>
                    <w:rPr>
                      <w:rFonts w:eastAsiaTheme="minorEastAsia"/>
                      <w:color w:val="auto"/>
                      <w:szCs w:val="21"/>
                    </w:rPr>
                  </w:pPr>
                  <w:r>
                    <w:rPr>
                      <w:rFonts w:eastAsiaTheme="minorEastAsia"/>
                      <w:color w:val="auto"/>
                      <w:szCs w:val="21"/>
                    </w:rPr>
                    <w:t>--</w:t>
                  </w:r>
                </w:p>
              </w:tc>
              <w:tc>
                <w:tcPr>
                  <w:tcW w:w="1021" w:type="pct"/>
                  <w:tcBorders>
                    <w:top w:val="single" w:color="auto" w:sz="4" w:space="0"/>
                    <w:left w:val="single" w:color="auto" w:sz="4" w:space="0"/>
                    <w:bottom w:val="single" w:color="auto" w:sz="4" w:space="0"/>
                    <w:right w:val="single" w:color="auto" w:sz="4" w:space="0"/>
                  </w:tcBorders>
                  <w:vAlign w:val="center"/>
                </w:tcPr>
                <w:p w14:paraId="54D77D8B">
                  <w:pPr>
                    <w:jc w:val="center"/>
                    <w:rPr>
                      <w:rFonts w:eastAsiaTheme="minorEastAsia"/>
                      <w:color w:val="auto"/>
                      <w:szCs w:val="21"/>
                    </w:rPr>
                  </w:pPr>
                  <w:r>
                    <w:rPr>
                      <w:rFonts w:hint="eastAsia" w:eastAsiaTheme="minorEastAsia"/>
                      <w:color w:val="auto"/>
                      <w:szCs w:val="21"/>
                    </w:rPr>
                    <w:t>0.3</w:t>
                  </w:r>
                </w:p>
              </w:tc>
              <w:tc>
                <w:tcPr>
                  <w:tcW w:w="747" w:type="pct"/>
                  <w:tcBorders>
                    <w:top w:val="single" w:color="auto" w:sz="4" w:space="0"/>
                    <w:left w:val="single" w:color="auto" w:sz="4" w:space="0"/>
                    <w:bottom w:val="single" w:color="auto" w:sz="4" w:space="0"/>
                    <w:right w:val="single" w:color="auto" w:sz="4" w:space="0"/>
                  </w:tcBorders>
                  <w:vAlign w:val="center"/>
                </w:tcPr>
                <w:p w14:paraId="6C9D0B85">
                  <w:pPr>
                    <w:jc w:val="center"/>
                    <w:rPr>
                      <w:rFonts w:eastAsiaTheme="minorEastAsia"/>
                      <w:color w:val="auto"/>
                      <w:szCs w:val="21"/>
                    </w:rPr>
                  </w:pPr>
                  <w:r>
                    <w:rPr>
                      <w:rFonts w:hint="eastAsia" w:eastAsiaTheme="minorEastAsia"/>
                      <w:color w:val="auto"/>
                      <w:szCs w:val="21"/>
                    </w:rPr>
                    <w:t>2500</w:t>
                  </w:r>
                </w:p>
              </w:tc>
              <w:tc>
                <w:tcPr>
                  <w:tcW w:w="915" w:type="pct"/>
                  <w:tcBorders>
                    <w:top w:val="single" w:color="auto" w:sz="4" w:space="0"/>
                    <w:left w:val="single" w:color="auto" w:sz="4" w:space="0"/>
                    <w:bottom w:val="single" w:color="auto" w:sz="4" w:space="0"/>
                    <w:right w:val="nil"/>
                  </w:tcBorders>
                  <w:vAlign w:val="center"/>
                </w:tcPr>
                <w:p w14:paraId="71814CC5">
                  <w:pPr>
                    <w:jc w:val="center"/>
                    <w:rPr>
                      <w:rFonts w:eastAsiaTheme="minorEastAsia"/>
                      <w:color w:val="auto"/>
                      <w:szCs w:val="21"/>
                    </w:rPr>
                  </w:pPr>
                  <w:r>
                    <w:rPr>
                      <w:rFonts w:hint="eastAsia" w:eastAsiaTheme="minorEastAsia"/>
                      <w:color w:val="auto"/>
                      <w:szCs w:val="21"/>
                    </w:rPr>
                    <w:t>0.00012</w:t>
                  </w:r>
                </w:p>
              </w:tc>
            </w:tr>
            <w:tr w14:paraId="1CEA9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7" w:type="pct"/>
                  <w:tcBorders>
                    <w:top w:val="single" w:color="auto" w:sz="4" w:space="0"/>
                    <w:left w:val="nil"/>
                    <w:bottom w:val="single" w:color="auto" w:sz="4" w:space="0"/>
                    <w:right w:val="single" w:color="auto" w:sz="4" w:space="0"/>
                  </w:tcBorders>
                  <w:vAlign w:val="center"/>
                </w:tcPr>
                <w:p w14:paraId="599CCDC3">
                  <w:pPr>
                    <w:jc w:val="center"/>
                    <w:rPr>
                      <w:rFonts w:eastAsiaTheme="minorEastAsia"/>
                      <w:color w:val="auto"/>
                      <w:szCs w:val="21"/>
                    </w:rPr>
                  </w:pPr>
                  <w:r>
                    <w:rPr>
                      <w:rFonts w:hint="eastAsia" w:eastAsiaTheme="minorEastAsia"/>
                      <w:color w:val="auto"/>
                      <w:szCs w:val="21"/>
                    </w:rPr>
                    <w:t>5</w:t>
                  </w:r>
                </w:p>
              </w:tc>
              <w:tc>
                <w:tcPr>
                  <w:tcW w:w="1250" w:type="pct"/>
                  <w:tcBorders>
                    <w:top w:val="single" w:color="auto" w:sz="4" w:space="0"/>
                    <w:left w:val="single" w:color="auto" w:sz="4" w:space="0"/>
                    <w:bottom w:val="single" w:color="auto" w:sz="4" w:space="0"/>
                    <w:right w:val="single" w:color="auto" w:sz="4" w:space="0"/>
                  </w:tcBorders>
                  <w:vAlign w:val="center"/>
                </w:tcPr>
                <w:p w14:paraId="5A508B04">
                  <w:pPr>
                    <w:jc w:val="center"/>
                    <w:rPr>
                      <w:rStyle w:val="73"/>
                      <w:rFonts w:hint="default" w:ascii="Times New Roman" w:hAnsi="Times New Roman" w:eastAsiaTheme="minorEastAsia"/>
                      <w:color w:val="auto"/>
                      <w:sz w:val="21"/>
                      <w:szCs w:val="21"/>
                    </w:rPr>
                  </w:pPr>
                  <w:r>
                    <w:rPr>
                      <w:rStyle w:val="73"/>
                      <w:rFonts w:hint="default" w:ascii="Times New Roman" w:hAnsi="Times New Roman" w:eastAsiaTheme="minorEastAsia"/>
                      <w:color w:val="auto"/>
                      <w:sz w:val="21"/>
                      <w:szCs w:val="21"/>
                    </w:rPr>
                    <w:t>初期雨水池油污</w:t>
                  </w:r>
                </w:p>
              </w:tc>
              <w:tc>
                <w:tcPr>
                  <w:tcW w:w="650" w:type="pct"/>
                  <w:tcBorders>
                    <w:top w:val="single" w:color="auto" w:sz="4" w:space="0"/>
                    <w:left w:val="single" w:color="auto" w:sz="4" w:space="0"/>
                    <w:bottom w:val="single" w:color="auto" w:sz="4" w:space="0"/>
                    <w:right w:val="single" w:color="auto" w:sz="4" w:space="0"/>
                  </w:tcBorders>
                  <w:vAlign w:val="center"/>
                </w:tcPr>
                <w:p w14:paraId="6CA31EDB">
                  <w:pPr>
                    <w:jc w:val="center"/>
                    <w:rPr>
                      <w:rFonts w:eastAsiaTheme="minorEastAsia"/>
                      <w:color w:val="auto"/>
                      <w:szCs w:val="21"/>
                    </w:rPr>
                  </w:pPr>
                  <w:r>
                    <w:rPr>
                      <w:rFonts w:eastAsiaTheme="minorEastAsia"/>
                      <w:color w:val="auto"/>
                      <w:szCs w:val="21"/>
                    </w:rPr>
                    <w:t>--</w:t>
                  </w:r>
                </w:p>
              </w:tc>
              <w:tc>
                <w:tcPr>
                  <w:tcW w:w="1021" w:type="pct"/>
                  <w:tcBorders>
                    <w:top w:val="single" w:color="auto" w:sz="4" w:space="0"/>
                    <w:left w:val="single" w:color="auto" w:sz="4" w:space="0"/>
                    <w:bottom w:val="single" w:color="auto" w:sz="4" w:space="0"/>
                    <w:right w:val="single" w:color="auto" w:sz="4" w:space="0"/>
                  </w:tcBorders>
                  <w:vAlign w:val="center"/>
                </w:tcPr>
                <w:p w14:paraId="49902677">
                  <w:pPr>
                    <w:jc w:val="center"/>
                    <w:rPr>
                      <w:rFonts w:eastAsiaTheme="minorEastAsia"/>
                      <w:color w:val="auto"/>
                      <w:szCs w:val="21"/>
                    </w:rPr>
                  </w:pPr>
                  <w:r>
                    <w:rPr>
                      <w:rFonts w:hint="eastAsia" w:eastAsiaTheme="minorEastAsia"/>
                      <w:color w:val="auto"/>
                      <w:szCs w:val="21"/>
                    </w:rPr>
                    <w:t>0.001</w:t>
                  </w:r>
                </w:p>
              </w:tc>
              <w:tc>
                <w:tcPr>
                  <w:tcW w:w="747" w:type="pct"/>
                  <w:tcBorders>
                    <w:top w:val="single" w:color="auto" w:sz="4" w:space="0"/>
                    <w:left w:val="single" w:color="auto" w:sz="4" w:space="0"/>
                    <w:bottom w:val="single" w:color="auto" w:sz="4" w:space="0"/>
                    <w:right w:val="single" w:color="auto" w:sz="4" w:space="0"/>
                  </w:tcBorders>
                  <w:vAlign w:val="center"/>
                </w:tcPr>
                <w:p w14:paraId="27415EA1">
                  <w:pPr>
                    <w:jc w:val="center"/>
                    <w:rPr>
                      <w:rFonts w:eastAsiaTheme="minorEastAsia"/>
                      <w:color w:val="auto"/>
                      <w:szCs w:val="21"/>
                    </w:rPr>
                  </w:pPr>
                  <w:r>
                    <w:rPr>
                      <w:rFonts w:hint="eastAsia" w:eastAsiaTheme="minorEastAsia"/>
                      <w:color w:val="auto"/>
                      <w:szCs w:val="21"/>
                    </w:rPr>
                    <w:t>2500</w:t>
                  </w:r>
                </w:p>
              </w:tc>
              <w:tc>
                <w:tcPr>
                  <w:tcW w:w="915" w:type="pct"/>
                  <w:tcBorders>
                    <w:top w:val="single" w:color="auto" w:sz="4" w:space="0"/>
                    <w:left w:val="single" w:color="auto" w:sz="4" w:space="0"/>
                    <w:bottom w:val="single" w:color="auto" w:sz="4" w:space="0"/>
                    <w:right w:val="nil"/>
                  </w:tcBorders>
                  <w:vAlign w:val="center"/>
                </w:tcPr>
                <w:p w14:paraId="4460943F">
                  <w:pPr>
                    <w:jc w:val="center"/>
                    <w:rPr>
                      <w:rFonts w:eastAsiaTheme="minorEastAsia"/>
                      <w:color w:val="auto"/>
                      <w:szCs w:val="21"/>
                    </w:rPr>
                  </w:pPr>
                  <w:r>
                    <w:rPr>
                      <w:rFonts w:hint="eastAsia" w:eastAsiaTheme="minorEastAsia"/>
                      <w:color w:val="auto"/>
                      <w:szCs w:val="21"/>
                    </w:rPr>
                    <w:t>0.0000004</w:t>
                  </w:r>
                </w:p>
              </w:tc>
            </w:tr>
            <w:tr w14:paraId="39AE2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5" w:type="pct"/>
                  <w:gridSpan w:val="5"/>
                  <w:tcBorders>
                    <w:top w:val="single" w:color="auto" w:sz="4" w:space="0"/>
                    <w:left w:val="nil"/>
                    <w:bottom w:val="single" w:color="auto" w:sz="12" w:space="0"/>
                    <w:right w:val="single" w:color="auto" w:sz="4" w:space="0"/>
                  </w:tcBorders>
                  <w:vAlign w:val="center"/>
                </w:tcPr>
                <w:p w14:paraId="230424EB">
                  <w:pPr>
                    <w:jc w:val="center"/>
                    <w:rPr>
                      <w:rFonts w:eastAsiaTheme="minorEastAsia"/>
                      <w:color w:val="auto"/>
                      <w:szCs w:val="21"/>
                    </w:rPr>
                  </w:pPr>
                  <w:r>
                    <w:rPr>
                      <w:rFonts w:eastAsiaTheme="minorEastAsia"/>
                      <w:color w:val="auto"/>
                      <w:szCs w:val="21"/>
                    </w:rPr>
                    <w:t>合计</w:t>
                  </w:r>
                </w:p>
              </w:tc>
              <w:tc>
                <w:tcPr>
                  <w:tcW w:w="915" w:type="pct"/>
                  <w:tcBorders>
                    <w:top w:val="single" w:color="auto" w:sz="4" w:space="0"/>
                    <w:left w:val="single" w:color="auto" w:sz="4" w:space="0"/>
                    <w:bottom w:val="single" w:color="auto" w:sz="12" w:space="0"/>
                    <w:right w:val="nil"/>
                  </w:tcBorders>
                  <w:vAlign w:val="center"/>
                </w:tcPr>
                <w:p w14:paraId="0FE05547">
                  <w:pPr>
                    <w:jc w:val="center"/>
                    <w:rPr>
                      <w:rFonts w:eastAsiaTheme="minorEastAsia"/>
                      <w:b/>
                      <w:color w:val="auto"/>
                      <w:szCs w:val="21"/>
                    </w:rPr>
                  </w:pPr>
                  <w:r>
                    <w:rPr>
                      <w:rFonts w:hint="eastAsia" w:eastAsiaTheme="minorEastAsia"/>
                      <w:b/>
                      <w:color w:val="auto"/>
                      <w:szCs w:val="21"/>
                    </w:rPr>
                    <w:t>0.8885204</w:t>
                  </w:r>
                </w:p>
              </w:tc>
            </w:tr>
          </w:tbl>
          <w:p w14:paraId="0277F76A">
            <w:pPr>
              <w:spacing w:line="360" w:lineRule="auto"/>
              <w:ind w:firstLine="482" w:firstLineChars="200"/>
              <w:rPr>
                <w:rFonts w:eastAsiaTheme="minorEastAsia"/>
                <w:b/>
                <w:color w:val="auto"/>
                <w:sz w:val="24"/>
              </w:rPr>
            </w:pPr>
            <w:r>
              <w:rPr>
                <w:rFonts w:eastAsiaTheme="minorEastAsia"/>
                <w:b/>
                <w:color w:val="auto"/>
                <w:sz w:val="24"/>
              </w:rPr>
              <w:t>（</w:t>
            </w:r>
            <w:r>
              <w:rPr>
                <w:rFonts w:hint="eastAsia" w:eastAsiaTheme="minorEastAsia"/>
                <w:b/>
                <w:color w:val="auto"/>
                <w:sz w:val="24"/>
              </w:rPr>
              <w:t>2</w:t>
            </w:r>
            <w:r>
              <w:rPr>
                <w:rFonts w:eastAsiaTheme="minorEastAsia"/>
                <w:b/>
                <w:color w:val="auto"/>
                <w:sz w:val="24"/>
              </w:rPr>
              <w:t>）</w:t>
            </w:r>
            <w:r>
              <w:rPr>
                <w:rFonts w:hint="eastAsia" w:eastAsiaTheme="minorEastAsia"/>
                <w:b/>
                <w:color w:val="auto"/>
                <w:kern w:val="0"/>
                <w:sz w:val="24"/>
              </w:rPr>
              <w:t>风险源分布情况及影响途径</w:t>
            </w:r>
          </w:p>
          <w:p w14:paraId="55573F52">
            <w:pPr>
              <w:spacing w:line="360" w:lineRule="auto"/>
              <w:ind w:firstLine="460" w:firstLineChars="192"/>
              <w:rPr>
                <w:rFonts w:eastAsiaTheme="minorEastAsia"/>
                <w:color w:val="auto"/>
                <w:sz w:val="24"/>
              </w:rPr>
            </w:pPr>
            <w:r>
              <w:rPr>
                <w:rFonts w:eastAsiaTheme="minorEastAsia"/>
                <w:color w:val="auto"/>
                <w:sz w:val="24"/>
              </w:rPr>
              <w:t>本项目危险物质主要为密封</w:t>
            </w:r>
            <w:r>
              <w:rPr>
                <w:rStyle w:val="76"/>
                <w:rFonts w:ascii="Times New Roman" w:hAnsi="Times New Roman" w:eastAsiaTheme="minorEastAsia"/>
                <w:color w:val="auto"/>
              </w:rPr>
              <w:t>管道内的导热油和储罐内的</w:t>
            </w:r>
            <w:r>
              <w:rPr>
                <w:rStyle w:val="76"/>
                <w:rFonts w:hint="eastAsia" w:ascii="Times New Roman" w:hAnsi="Times New Roman" w:eastAsiaTheme="minorEastAsia"/>
                <w:color w:val="auto"/>
              </w:rPr>
              <w:t>天然气</w:t>
            </w:r>
            <w:r>
              <w:rPr>
                <w:rFonts w:eastAsiaTheme="minorEastAsia"/>
                <w:color w:val="auto"/>
                <w:sz w:val="24"/>
              </w:rPr>
              <w:t>。由于</w:t>
            </w:r>
            <w:r>
              <w:rPr>
                <w:rStyle w:val="76"/>
                <w:rFonts w:ascii="Times New Roman" w:hAnsi="Times New Roman" w:eastAsiaTheme="minorEastAsia"/>
                <w:color w:val="auto"/>
              </w:rPr>
              <w:t>导热油、</w:t>
            </w:r>
            <w:r>
              <w:rPr>
                <w:rFonts w:hint="eastAsia" w:eastAsiaTheme="minorEastAsia"/>
                <w:color w:val="auto"/>
                <w:sz w:val="24"/>
              </w:rPr>
              <w:t>天然气</w:t>
            </w:r>
            <w:r>
              <w:rPr>
                <w:rFonts w:eastAsiaTheme="minorEastAsia"/>
                <w:color w:val="auto"/>
                <w:sz w:val="24"/>
              </w:rPr>
              <w:t>的易燃、易爆性，存在泄漏、爆炸、火灾等风险，主要原因是管线缺陷，焊缝开裂，基础工程不合格，管道腐蚀及违规操作、管理不善、自然灾害等。油品和沥青一旦发生泄漏、爆炸、火灾等风险，将对大气和地下水造成影响。</w:t>
            </w:r>
          </w:p>
          <w:p w14:paraId="2F89270C">
            <w:pPr>
              <w:spacing w:line="360" w:lineRule="auto"/>
              <w:ind w:firstLine="482" w:firstLineChars="200"/>
              <w:rPr>
                <w:rFonts w:eastAsiaTheme="minorEastAsia"/>
                <w:b/>
                <w:color w:val="auto"/>
                <w:sz w:val="24"/>
              </w:rPr>
            </w:pPr>
            <w:r>
              <w:rPr>
                <w:rFonts w:eastAsiaTheme="minorEastAsia"/>
                <w:b/>
                <w:color w:val="auto"/>
                <w:sz w:val="24"/>
              </w:rPr>
              <w:t>（</w:t>
            </w:r>
            <w:r>
              <w:rPr>
                <w:rFonts w:hint="eastAsia" w:eastAsiaTheme="minorEastAsia"/>
                <w:b/>
                <w:color w:val="auto"/>
                <w:sz w:val="24"/>
              </w:rPr>
              <w:t>3</w:t>
            </w:r>
            <w:r>
              <w:rPr>
                <w:rFonts w:eastAsiaTheme="minorEastAsia"/>
                <w:b/>
                <w:color w:val="auto"/>
                <w:sz w:val="24"/>
              </w:rPr>
              <w:t>）风险防范措施</w:t>
            </w:r>
          </w:p>
          <w:p w14:paraId="2665D70F">
            <w:pPr>
              <w:spacing w:line="360" w:lineRule="auto"/>
              <w:ind w:firstLine="480" w:firstLineChars="200"/>
              <w:contextualSpacing/>
              <w:rPr>
                <w:rFonts w:eastAsiaTheme="minorEastAsia"/>
                <w:color w:val="auto"/>
                <w:sz w:val="24"/>
                <w:szCs w:val="20"/>
              </w:rPr>
            </w:pPr>
            <w:r>
              <w:rPr>
                <w:rFonts w:eastAsiaTheme="minorEastAsia"/>
                <w:color w:val="auto"/>
                <w:sz w:val="24"/>
                <w:szCs w:val="20"/>
              </w:rPr>
              <w:t>1、风险防范措施</w:t>
            </w:r>
          </w:p>
          <w:p w14:paraId="48CBD6A9">
            <w:pPr>
              <w:spacing w:line="360" w:lineRule="auto"/>
              <w:ind w:firstLine="480" w:firstLineChars="200"/>
              <w:contextualSpacing/>
              <w:rPr>
                <w:rFonts w:eastAsiaTheme="minorEastAsia"/>
                <w:color w:val="auto"/>
                <w:sz w:val="24"/>
                <w:szCs w:val="20"/>
              </w:rPr>
            </w:pPr>
            <w:r>
              <w:rPr>
                <w:rFonts w:eastAsiaTheme="minorEastAsia"/>
                <w:color w:val="auto"/>
                <w:sz w:val="24"/>
                <w:szCs w:val="20"/>
              </w:rPr>
              <w:t>①企业应</w:t>
            </w:r>
            <w:r>
              <w:rPr>
                <w:rFonts w:hint="eastAsia" w:eastAsiaTheme="minorEastAsia"/>
                <w:color w:val="auto"/>
                <w:sz w:val="24"/>
                <w:szCs w:val="20"/>
              </w:rPr>
              <w:t>建立健全环境风险防控体系，制定环境风险应急预案，成立应急组织机构，建设突发事件应急物资储备库，并与当地环境风险应急预案联动</w:t>
            </w:r>
            <w:r>
              <w:rPr>
                <w:rFonts w:eastAsiaTheme="minorEastAsia"/>
                <w:color w:val="auto"/>
                <w:sz w:val="24"/>
                <w:szCs w:val="20"/>
              </w:rPr>
              <w:t>，加强危险源的的普査、管理，引入安全检査表，强化系统协调运作体系，加强危险源的的普査、管理，引入安全检査表，强化系统协调运作，提髙事故预防能力，确保安全生产。</w:t>
            </w:r>
          </w:p>
          <w:p w14:paraId="2AF6278F">
            <w:pPr>
              <w:spacing w:line="360" w:lineRule="auto"/>
              <w:ind w:firstLine="480" w:firstLineChars="200"/>
              <w:contextualSpacing/>
              <w:rPr>
                <w:rFonts w:eastAsiaTheme="minorEastAsia"/>
                <w:color w:val="auto"/>
                <w:sz w:val="24"/>
                <w:szCs w:val="20"/>
              </w:rPr>
            </w:pPr>
            <w:r>
              <w:rPr>
                <w:rFonts w:eastAsiaTheme="minorEastAsia"/>
                <w:color w:val="auto"/>
                <w:sz w:val="24"/>
                <w:szCs w:val="20"/>
              </w:rPr>
              <w:t>②总图布置进行功能分区，分区内部和相互之间保持一定通道和间距；贮存和生产设施的布置应保证生产人员安全操作及疏散方便；厂区围墙两侧建筑物之间应满足消防主管部门规定的防火间距要求；建、构筑物之间的防火间距应符合有关规定；电力线路不应跨越装置区。</w:t>
            </w:r>
          </w:p>
          <w:p w14:paraId="3C8B788D">
            <w:pPr>
              <w:spacing w:line="360" w:lineRule="auto"/>
              <w:ind w:firstLine="480" w:firstLineChars="200"/>
              <w:contextualSpacing/>
              <w:rPr>
                <w:rFonts w:eastAsiaTheme="minorEastAsia"/>
                <w:color w:val="auto"/>
                <w:sz w:val="24"/>
                <w:szCs w:val="20"/>
              </w:rPr>
            </w:pPr>
            <w:r>
              <w:rPr>
                <w:rFonts w:eastAsiaTheme="minorEastAsia"/>
                <w:color w:val="auto"/>
                <w:sz w:val="24"/>
                <w:szCs w:val="20"/>
              </w:rPr>
              <w:t>③运行过程中对导热油密闭管路进行定期检查，导热油管路设置紧急切断转换电动阀门，一旦发生泄漏后及时紧急关闭，以减少油品泄漏量。</w:t>
            </w:r>
          </w:p>
          <w:p w14:paraId="1AC770EE">
            <w:pPr>
              <w:spacing w:line="360" w:lineRule="auto"/>
              <w:ind w:firstLine="480" w:firstLineChars="200"/>
              <w:contextualSpacing/>
              <w:rPr>
                <w:rFonts w:eastAsiaTheme="minorEastAsia"/>
                <w:color w:val="auto"/>
                <w:sz w:val="24"/>
                <w:szCs w:val="20"/>
              </w:rPr>
            </w:pPr>
            <w:r>
              <w:rPr>
                <w:rFonts w:eastAsiaTheme="minorEastAsia"/>
                <w:color w:val="auto"/>
                <w:sz w:val="24"/>
                <w:szCs w:val="20"/>
              </w:rPr>
              <w:fldChar w:fldCharType="begin"/>
            </w:r>
            <w:r>
              <w:rPr>
                <w:rFonts w:eastAsiaTheme="minorEastAsia"/>
                <w:color w:val="auto"/>
                <w:sz w:val="24"/>
                <w:szCs w:val="20"/>
              </w:rPr>
              <w:instrText xml:space="preserve"> = 4 \* GB3 </w:instrText>
            </w:r>
            <w:r>
              <w:rPr>
                <w:rFonts w:eastAsiaTheme="minorEastAsia"/>
                <w:color w:val="auto"/>
                <w:sz w:val="24"/>
                <w:szCs w:val="20"/>
              </w:rPr>
              <w:fldChar w:fldCharType="separate"/>
            </w:r>
            <w:r>
              <w:rPr>
                <w:rFonts w:eastAsiaTheme="minorEastAsia"/>
                <w:color w:val="auto"/>
                <w:sz w:val="24"/>
                <w:szCs w:val="20"/>
              </w:rPr>
              <w:t>④</w:t>
            </w:r>
            <w:r>
              <w:rPr>
                <w:rFonts w:eastAsiaTheme="minorEastAsia"/>
                <w:color w:val="auto"/>
                <w:sz w:val="24"/>
                <w:szCs w:val="20"/>
              </w:rPr>
              <w:fldChar w:fldCharType="end"/>
            </w:r>
            <w:r>
              <w:rPr>
                <w:rFonts w:eastAsiaTheme="minorEastAsia"/>
                <w:color w:val="auto"/>
                <w:sz w:val="24"/>
                <w:szCs w:val="20"/>
              </w:rPr>
              <w:t>组织周期性巡回检查，定期进行设备检修和阀门检测，及时发现跑冒滴漏或其他异常现象并及时检修，防患未然。</w:t>
            </w:r>
          </w:p>
          <w:p w14:paraId="5FEBE8A7">
            <w:pPr>
              <w:spacing w:line="360" w:lineRule="auto"/>
              <w:ind w:firstLine="480" w:firstLineChars="200"/>
              <w:contextualSpacing/>
              <w:rPr>
                <w:rFonts w:eastAsiaTheme="minorEastAsia"/>
                <w:color w:val="auto"/>
                <w:sz w:val="24"/>
                <w:szCs w:val="20"/>
              </w:rPr>
            </w:pPr>
            <w:r>
              <w:rPr>
                <w:rFonts w:eastAsiaTheme="minorEastAsia"/>
                <w:color w:val="auto"/>
                <w:sz w:val="24"/>
                <w:szCs w:val="20"/>
              </w:rPr>
              <w:fldChar w:fldCharType="begin"/>
            </w:r>
            <w:r>
              <w:rPr>
                <w:rFonts w:eastAsiaTheme="minorEastAsia"/>
                <w:color w:val="auto"/>
                <w:sz w:val="24"/>
                <w:szCs w:val="20"/>
              </w:rPr>
              <w:instrText xml:space="preserve"> = 5 \* GB3 </w:instrText>
            </w:r>
            <w:r>
              <w:rPr>
                <w:rFonts w:eastAsiaTheme="minorEastAsia"/>
                <w:color w:val="auto"/>
                <w:sz w:val="24"/>
                <w:szCs w:val="20"/>
              </w:rPr>
              <w:fldChar w:fldCharType="separate"/>
            </w:r>
            <w:r>
              <w:rPr>
                <w:rFonts w:eastAsiaTheme="minorEastAsia"/>
                <w:color w:val="auto"/>
                <w:sz w:val="24"/>
                <w:szCs w:val="20"/>
              </w:rPr>
              <w:t>⑤</w:t>
            </w:r>
            <w:r>
              <w:rPr>
                <w:rFonts w:eastAsiaTheme="minorEastAsia"/>
                <w:color w:val="auto"/>
                <w:sz w:val="24"/>
                <w:szCs w:val="20"/>
              </w:rPr>
              <w:fldChar w:fldCharType="end"/>
            </w:r>
            <w:r>
              <w:rPr>
                <w:rFonts w:eastAsiaTheme="minorEastAsia"/>
                <w:color w:val="auto"/>
                <w:sz w:val="24"/>
                <w:szCs w:val="20"/>
              </w:rPr>
              <w:t>当发生火灾等恶性事故时，立即切断电源，迅速转移人员，减少物资损失和人员伤亡，同时拨打火灾报警电话。组织业余消防队员利用一切可能的消防器材，全力灭火抢险，抢险灭火人员要戴正压式空气呼吸器，穿防火服，从上风向接近火源。</w:t>
            </w:r>
          </w:p>
          <w:p w14:paraId="339A8367">
            <w:pPr>
              <w:spacing w:line="360" w:lineRule="auto"/>
              <w:ind w:firstLine="480" w:firstLineChars="200"/>
              <w:contextualSpacing/>
              <w:rPr>
                <w:rFonts w:eastAsiaTheme="minorEastAsia"/>
                <w:color w:val="auto"/>
                <w:sz w:val="24"/>
                <w:szCs w:val="20"/>
              </w:rPr>
            </w:pPr>
            <w:r>
              <w:rPr>
                <w:rFonts w:eastAsiaTheme="minorEastAsia"/>
                <w:color w:val="auto"/>
                <w:sz w:val="24"/>
                <w:szCs w:val="20"/>
              </w:rPr>
              <w:t xml:space="preserve"> </w:t>
            </w:r>
            <w:r>
              <w:rPr>
                <w:rFonts w:eastAsiaTheme="minorEastAsia"/>
                <w:color w:val="auto"/>
                <w:sz w:val="24"/>
                <w:szCs w:val="20"/>
              </w:rPr>
              <w:fldChar w:fldCharType="begin"/>
            </w:r>
            <w:r>
              <w:rPr>
                <w:rFonts w:eastAsiaTheme="minorEastAsia"/>
                <w:color w:val="auto"/>
                <w:sz w:val="24"/>
                <w:szCs w:val="20"/>
              </w:rPr>
              <w:instrText xml:space="preserve"> = 6 \* GB3 </w:instrText>
            </w:r>
            <w:r>
              <w:rPr>
                <w:rFonts w:eastAsiaTheme="minorEastAsia"/>
                <w:color w:val="auto"/>
                <w:sz w:val="24"/>
                <w:szCs w:val="20"/>
              </w:rPr>
              <w:fldChar w:fldCharType="separate"/>
            </w:r>
            <w:r>
              <w:rPr>
                <w:rFonts w:eastAsiaTheme="minorEastAsia"/>
                <w:color w:val="auto"/>
                <w:sz w:val="24"/>
                <w:szCs w:val="20"/>
              </w:rPr>
              <w:t>⑥</w:t>
            </w:r>
            <w:r>
              <w:rPr>
                <w:rFonts w:eastAsiaTheme="minorEastAsia"/>
                <w:color w:val="auto"/>
                <w:sz w:val="24"/>
                <w:szCs w:val="20"/>
              </w:rPr>
              <w:fldChar w:fldCharType="end"/>
            </w:r>
            <w:r>
              <w:rPr>
                <w:color w:val="auto"/>
                <w:kern w:val="0"/>
                <w:sz w:val="24"/>
              </w:rPr>
              <w:t>危险废物</w:t>
            </w:r>
            <w:r>
              <w:rPr>
                <w:rFonts w:hint="eastAsia"/>
                <w:color w:val="auto"/>
                <w:kern w:val="0"/>
                <w:sz w:val="24"/>
              </w:rPr>
              <w:t>贮存</w:t>
            </w:r>
            <w:r>
              <w:rPr>
                <w:rFonts w:hint="eastAsia"/>
                <w:color w:val="auto"/>
                <w:kern w:val="0"/>
                <w:sz w:val="24"/>
                <w:lang w:val="en-US" w:eastAsia="zh-CN"/>
              </w:rPr>
              <w:t>点</w:t>
            </w:r>
            <w:r>
              <w:rPr>
                <w:color w:val="auto"/>
                <w:kern w:val="0"/>
                <w:sz w:val="24"/>
              </w:rPr>
              <w:t>为重点防渗区，用于存放厂区产生的危险废物，地面防渗，危废</w:t>
            </w:r>
            <w:r>
              <w:rPr>
                <w:rFonts w:hint="eastAsia"/>
                <w:color w:val="auto"/>
                <w:kern w:val="0"/>
                <w:sz w:val="24"/>
              </w:rPr>
              <w:t>贮</w:t>
            </w:r>
            <w:r>
              <w:rPr>
                <w:color w:val="auto"/>
                <w:kern w:val="0"/>
                <w:sz w:val="24"/>
              </w:rPr>
              <w:t>存</w:t>
            </w:r>
            <w:r>
              <w:rPr>
                <w:rFonts w:hint="eastAsia"/>
                <w:color w:val="auto"/>
                <w:kern w:val="0"/>
                <w:sz w:val="24"/>
                <w:lang w:val="en-US" w:eastAsia="zh-CN"/>
              </w:rPr>
              <w:t>点</w:t>
            </w:r>
            <w:r>
              <w:rPr>
                <w:color w:val="auto"/>
                <w:kern w:val="0"/>
                <w:sz w:val="24"/>
              </w:rPr>
              <w:t>防渗层为至少1米厚</w:t>
            </w:r>
            <w:r>
              <w:rPr>
                <w:rFonts w:hint="eastAsia"/>
                <w:color w:val="auto"/>
                <w:kern w:val="0"/>
                <w:sz w:val="24"/>
              </w:rPr>
              <w:t>黏土</w:t>
            </w:r>
            <w:r>
              <w:rPr>
                <w:color w:val="auto"/>
                <w:kern w:val="0"/>
                <w:sz w:val="24"/>
              </w:rPr>
              <w:t>层（渗透系数≤10</w:t>
            </w:r>
            <w:r>
              <w:rPr>
                <w:color w:val="auto"/>
                <w:kern w:val="0"/>
                <w:sz w:val="24"/>
                <w:vertAlign w:val="superscript"/>
              </w:rPr>
              <w:t>-7</w:t>
            </w:r>
            <w:r>
              <w:rPr>
                <w:color w:val="auto"/>
                <w:kern w:val="0"/>
                <w:sz w:val="24"/>
              </w:rPr>
              <w:t>cm/s），或2mm高密度聚乙烯，或至少2mm厚</w:t>
            </w:r>
            <w:r>
              <w:rPr>
                <w:rFonts w:hint="eastAsia"/>
                <w:color w:val="auto"/>
                <w:kern w:val="0"/>
                <w:sz w:val="24"/>
              </w:rPr>
              <w:t>的其他</w:t>
            </w:r>
            <w:r>
              <w:rPr>
                <w:color w:val="auto"/>
                <w:kern w:val="0"/>
                <w:sz w:val="24"/>
              </w:rPr>
              <w:t>人工材料，渗透系数≤1×10</w:t>
            </w:r>
            <w:r>
              <w:rPr>
                <w:color w:val="auto"/>
                <w:kern w:val="0"/>
                <w:sz w:val="24"/>
                <w:vertAlign w:val="superscript"/>
              </w:rPr>
              <w:t>-10</w:t>
            </w:r>
            <w:r>
              <w:rPr>
                <w:color w:val="auto"/>
                <w:kern w:val="0"/>
                <w:sz w:val="24"/>
              </w:rPr>
              <w:t>cm/s，设置围堰，张贴危废标识，满足《危险废物贮存污染控制标准》（GB18597-2023）的要求</w:t>
            </w:r>
            <w:r>
              <w:rPr>
                <w:rFonts w:eastAsiaTheme="minorEastAsia"/>
                <w:color w:val="auto"/>
                <w:sz w:val="24"/>
                <w:szCs w:val="20"/>
              </w:rPr>
              <w:t>。</w:t>
            </w:r>
          </w:p>
          <w:p w14:paraId="726923F4">
            <w:pPr>
              <w:spacing w:line="360" w:lineRule="auto"/>
              <w:ind w:firstLine="480" w:firstLineChars="200"/>
              <w:contextualSpacing/>
              <w:rPr>
                <w:rFonts w:eastAsiaTheme="minorEastAsia"/>
                <w:color w:val="auto"/>
                <w:sz w:val="24"/>
                <w:szCs w:val="20"/>
              </w:rPr>
            </w:pPr>
            <w:r>
              <w:rPr>
                <w:rFonts w:eastAsiaTheme="minorEastAsia"/>
                <w:color w:val="auto"/>
                <w:sz w:val="24"/>
                <w:szCs w:val="20"/>
              </w:rPr>
              <w:t>在严格落实应急措施后，可将风险发生的概率和影响后果降到最低限度。一旦发生事故，及时采取应急措施，可将对大气和地下水的影响降到最低限度，其风险水平可以被接受。</w:t>
            </w:r>
          </w:p>
          <w:p w14:paraId="4AB6D77C">
            <w:pPr>
              <w:spacing w:line="360" w:lineRule="auto"/>
              <w:ind w:firstLine="472" w:firstLineChars="196"/>
              <w:contextualSpacing/>
              <w:jc w:val="left"/>
              <w:rPr>
                <w:color w:val="auto"/>
                <w:kern w:val="0"/>
                <w:sz w:val="24"/>
              </w:rPr>
            </w:pPr>
            <w:r>
              <w:rPr>
                <w:rFonts w:hAnsiTheme="minorEastAsia" w:eastAsiaTheme="minorEastAsia"/>
                <w:b/>
                <w:color w:val="auto"/>
                <w:sz w:val="24"/>
              </w:rPr>
              <w:t>（六）地下水、土壤环境分析</w:t>
            </w:r>
          </w:p>
          <w:p w14:paraId="34E03BF1">
            <w:pPr>
              <w:spacing w:line="360" w:lineRule="auto"/>
              <w:ind w:firstLine="480" w:firstLineChars="200"/>
              <w:contextualSpacing/>
              <w:jc w:val="left"/>
              <w:rPr>
                <w:color w:val="auto"/>
                <w:kern w:val="0"/>
                <w:sz w:val="24"/>
              </w:rPr>
            </w:pPr>
            <w:r>
              <w:rPr>
                <w:color w:val="auto"/>
                <w:kern w:val="0"/>
                <w:sz w:val="24"/>
              </w:rPr>
              <w:t>本项目无</w:t>
            </w:r>
            <w:r>
              <w:rPr>
                <w:color w:val="auto"/>
                <w:sz w:val="24"/>
              </w:rPr>
              <w:t>生产废水产生</w:t>
            </w:r>
            <w:r>
              <w:rPr>
                <w:color w:val="auto"/>
                <w:kern w:val="0"/>
                <w:sz w:val="24"/>
              </w:rPr>
              <w:t>，</w:t>
            </w:r>
            <w:r>
              <w:rPr>
                <w:color w:val="auto"/>
                <w:sz w:val="24"/>
              </w:rPr>
              <w:t>生活污水排入防渗旱厕，定期清掏，外运堆肥，不外排</w:t>
            </w:r>
            <w:r>
              <w:rPr>
                <w:color w:val="auto"/>
                <w:kern w:val="0"/>
                <w:sz w:val="24"/>
              </w:rPr>
              <w:t>；</w:t>
            </w:r>
            <w:r>
              <w:rPr>
                <w:rFonts w:eastAsiaTheme="minorEastAsia"/>
                <w:color w:val="auto"/>
                <w:sz w:val="24"/>
                <w:szCs w:val="20"/>
              </w:rPr>
              <w:t>本项目</w:t>
            </w:r>
            <w:r>
              <w:rPr>
                <w:color w:val="auto"/>
                <w:kern w:val="0"/>
                <w:sz w:val="24"/>
              </w:rPr>
              <w:t>沥青储罐进行基础防渗。沥青储罐、</w:t>
            </w:r>
            <w:r>
              <w:rPr>
                <w:rFonts w:eastAsiaTheme="minorEastAsia"/>
                <w:color w:val="auto"/>
                <w:sz w:val="24"/>
                <w:szCs w:val="20"/>
              </w:rPr>
              <w:t>危废</w:t>
            </w:r>
            <w:r>
              <w:rPr>
                <w:rFonts w:hint="eastAsia" w:eastAsiaTheme="minorEastAsia"/>
                <w:color w:val="auto"/>
                <w:sz w:val="24"/>
                <w:szCs w:val="20"/>
              </w:rPr>
              <w:t>贮存</w:t>
            </w:r>
            <w:r>
              <w:rPr>
                <w:rFonts w:hint="eastAsia"/>
                <w:color w:val="auto"/>
                <w:kern w:val="0"/>
                <w:sz w:val="24"/>
                <w:lang w:val="en-US" w:eastAsia="zh-CN"/>
              </w:rPr>
              <w:t>点</w:t>
            </w:r>
            <w:r>
              <w:rPr>
                <w:rFonts w:eastAsiaTheme="minorEastAsia"/>
                <w:color w:val="auto"/>
                <w:sz w:val="24"/>
                <w:szCs w:val="20"/>
              </w:rPr>
              <w:t>、初期雨水池防渗层为至少1米厚粘土层（渗透系数≤10</w:t>
            </w:r>
            <w:r>
              <w:rPr>
                <w:rFonts w:eastAsiaTheme="minorEastAsia"/>
                <w:color w:val="auto"/>
                <w:sz w:val="24"/>
                <w:szCs w:val="20"/>
                <w:vertAlign w:val="superscript"/>
              </w:rPr>
              <w:t>-7</w:t>
            </w:r>
            <w:r>
              <w:rPr>
                <w:rFonts w:eastAsiaTheme="minorEastAsia"/>
                <w:bCs/>
                <w:color w:val="auto"/>
                <w:sz w:val="24"/>
                <w:szCs w:val="20"/>
              </w:rPr>
              <w:t xml:space="preserve"> cm/s</w:t>
            </w:r>
            <w:r>
              <w:rPr>
                <w:rFonts w:eastAsiaTheme="minorEastAsia"/>
                <w:color w:val="auto"/>
                <w:sz w:val="24"/>
                <w:szCs w:val="20"/>
              </w:rPr>
              <w:t>），或2mm高密度聚乙烯，或至少2mm厚的其它人工材料，渗透系数≤1×10</w:t>
            </w:r>
            <w:r>
              <w:rPr>
                <w:rFonts w:eastAsiaTheme="minorEastAsia"/>
                <w:color w:val="auto"/>
                <w:sz w:val="24"/>
                <w:szCs w:val="20"/>
                <w:vertAlign w:val="superscript"/>
              </w:rPr>
              <w:t>-10</w:t>
            </w:r>
            <w:r>
              <w:rPr>
                <w:rFonts w:eastAsiaTheme="minorEastAsia"/>
                <w:color w:val="auto"/>
                <w:sz w:val="24"/>
                <w:szCs w:val="20"/>
              </w:rPr>
              <w:t>cm/s，</w:t>
            </w:r>
            <w:r>
              <w:rPr>
                <w:rFonts w:hint="eastAsia"/>
                <w:color w:val="auto"/>
                <w:kern w:val="0"/>
                <w:sz w:val="24"/>
              </w:rPr>
              <w:t>废导热油储存区采取围堰措施，围堰地面及墙脚防渗，渗透系数</w:t>
            </w:r>
            <w:r>
              <w:rPr>
                <w:color w:val="auto"/>
                <w:kern w:val="0"/>
                <w:sz w:val="24"/>
              </w:rPr>
              <w:t>≤</w:t>
            </w:r>
            <w:r>
              <w:rPr>
                <w:rFonts w:hint="eastAsia"/>
                <w:color w:val="auto"/>
                <w:kern w:val="0"/>
                <w:sz w:val="24"/>
              </w:rPr>
              <w:t>10</w:t>
            </w:r>
            <w:r>
              <w:rPr>
                <w:rFonts w:hint="eastAsia"/>
                <w:color w:val="auto"/>
                <w:kern w:val="0"/>
                <w:sz w:val="24"/>
                <w:vertAlign w:val="superscript"/>
              </w:rPr>
              <w:t>-7</w:t>
            </w:r>
            <w:r>
              <w:rPr>
                <w:rFonts w:hint="eastAsia"/>
                <w:color w:val="auto"/>
                <w:kern w:val="0"/>
                <w:sz w:val="24"/>
              </w:rPr>
              <w:t>cm/s。</w:t>
            </w:r>
            <w:r>
              <w:rPr>
                <w:color w:val="auto"/>
                <w:kern w:val="0"/>
                <w:sz w:val="24"/>
              </w:rPr>
              <w:t>本项目天然气、沥青储罐、管道均为耐腐蚀均材质，天然气储罐周围设置50cm高围堰，围堰区域范围按储罐最大外形向外延伸0.8m，围堰内有效容积为240m³，围堰地面及墙脚防渗，渗透系数≤10</w:t>
            </w:r>
            <w:r>
              <w:rPr>
                <w:color w:val="auto"/>
                <w:kern w:val="0"/>
                <w:sz w:val="24"/>
                <w:vertAlign w:val="superscript"/>
              </w:rPr>
              <w:t>-7</w:t>
            </w:r>
            <w:r>
              <w:rPr>
                <w:color w:val="auto"/>
                <w:kern w:val="0"/>
                <w:sz w:val="24"/>
              </w:rPr>
              <w:t>cm/s。厂区其他地面简单防渗，地面进行硬化处理，不会对地下水及厂区内土壤产生影响</w:t>
            </w:r>
            <w:r>
              <w:rPr>
                <w:rFonts w:eastAsiaTheme="minorEastAsia"/>
                <w:color w:val="auto"/>
                <w:sz w:val="24"/>
                <w:szCs w:val="20"/>
              </w:rPr>
              <w:t>。</w:t>
            </w:r>
          </w:p>
          <w:p w14:paraId="1DED5F7C">
            <w:pPr>
              <w:spacing w:line="360" w:lineRule="auto"/>
              <w:ind w:firstLine="480" w:firstLineChars="200"/>
              <w:contextualSpacing/>
              <w:rPr>
                <w:rFonts w:eastAsiaTheme="minorEastAsia"/>
                <w:color w:val="auto"/>
                <w:sz w:val="24"/>
              </w:rPr>
            </w:pPr>
            <w:r>
              <w:rPr>
                <w:rFonts w:eastAsiaTheme="minorEastAsia"/>
                <w:color w:val="auto"/>
                <w:sz w:val="24"/>
                <w:szCs w:val="20"/>
              </w:rPr>
              <w:t>根据项目特点，本项目造成厂区外土壤污染的途径主要有：沥青烟气中苯并[a]芘随大气沉降渗入土壤。</w:t>
            </w:r>
          </w:p>
          <w:p w14:paraId="3BDAE25E">
            <w:pPr>
              <w:autoSpaceDE w:val="0"/>
              <w:autoSpaceDN w:val="0"/>
              <w:spacing w:line="360" w:lineRule="auto"/>
              <w:ind w:firstLine="480" w:firstLineChars="200"/>
              <w:contextualSpacing/>
              <w:rPr>
                <w:rFonts w:hAnsi="宋体"/>
                <w:color w:val="auto"/>
                <w:kern w:val="0"/>
                <w:sz w:val="24"/>
              </w:rPr>
            </w:pPr>
            <w:r>
              <w:rPr>
                <w:rFonts w:hAnsi="宋体"/>
                <w:color w:val="auto"/>
                <w:kern w:val="0"/>
                <w:sz w:val="24"/>
              </w:rPr>
              <w:t>根据《排污单位自行监测技术指南</w:t>
            </w:r>
            <w:r>
              <w:rPr>
                <w:color w:val="auto"/>
                <w:kern w:val="0"/>
                <w:sz w:val="24"/>
              </w:rPr>
              <w:t xml:space="preserve"> </w:t>
            </w:r>
            <w:r>
              <w:rPr>
                <w:rFonts w:hAnsi="宋体"/>
                <w:color w:val="auto"/>
                <w:kern w:val="0"/>
                <w:sz w:val="24"/>
              </w:rPr>
              <w:t>总则》（</w:t>
            </w:r>
            <w:r>
              <w:rPr>
                <w:color w:val="auto"/>
                <w:kern w:val="0"/>
                <w:sz w:val="24"/>
              </w:rPr>
              <w:t>HJ 819-2017</w:t>
            </w:r>
            <w:r>
              <w:rPr>
                <w:rFonts w:hAnsi="宋体"/>
                <w:color w:val="auto"/>
                <w:kern w:val="0"/>
                <w:sz w:val="24"/>
              </w:rPr>
              <w:t>）的规定，监测指标及监测频次如下：</w:t>
            </w:r>
          </w:p>
          <w:p w14:paraId="36F0EB47">
            <w:pPr>
              <w:contextualSpacing/>
              <w:rPr>
                <w:rFonts w:hAnsi="宋体"/>
                <w:b/>
                <w:bCs/>
                <w:color w:val="auto"/>
                <w:sz w:val="24"/>
              </w:rPr>
            </w:pPr>
          </w:p>
          <w:p w14:paraId="2B312B37">
            <w:pPr>
              <w:contextualSpacing/>
              <w:jc w:val="center"/>
              <w:rPr>
                <w:rFonts w:hAnsi="宋体"/>
                <w:b/>
                <w:bCs/>
                <w:color w:val="auto"/>
                <w:sz w:val="24"/>
              </w:rPr>
            </w:pPr>
            <w:r>
              <w:rPr>
                <w:rFonts w:hAnsi="宋体"/>
                <w:b/>
                <w:bCs/>
                <w:color w:val="auto"/>
                <w:sz w:val="24"/>
              </w:rPr>
              <w:t>表</w:t>
            </w:r>
            <w:r>
              <w:rPr>
                <w:b/>
                <w:bCs/>
                <w:color w:val="auto"/>
                <w:sz w:val="24"/>
              </w:rPr>
              <w:t>4-</w:t>
            </w:r>
            <w:r>
              <w:rPr>
                <w:rFonts w:hint="eastAsia"/>
                <w:b/>
                <w:bCs/>
                <w:color w:val="auto"/>
                <w:sz w:val="24"/>
                <w:lang w:val="en-US" w:eastAsia="zh-CN"/>
              </w:rPr>
              <w:t>14</w:t>
            </w:r>
            <w:r>
              <w:rPr>
                <w:b/>
                <w:bCs/>
                <w:color w:val="auto"/>
                <w:sz w:val="24"/>
              </w:rPr>
              <w:t xml:space="preserve"> </w:t>
            </w:r>
            <w:r>
              <w:rPr>
                <w:rFonts w:hAnsi="宋体"/>
                <w:b/>
                <w:bCs/>
                <w:color w:val="auto"/>
                <w:sz w:val="24"/>
              </w:rPr>
              <w:t>监测指标及监测频次</w:t>
            </w:r>
          </w:p>
          <w:tbl>
            <w:tblPr>
              <w:tblStyle w:val="27"/>
              <w:tblW w:w="815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37"/>
              <w:gridCol w:w="3202"/>
              <w:gridCol w:w="1713"/>
              <w:gridCol w:w="1399"/>
            </w:tblGrid>
            <w:tr w14:paraId="3FD9CF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6" w:hRule="atLeast"/>
                <w:jc w:val="center"/>
              </w:trPr>
              <w:tc>
                <w:tcPr>
                  <w:tcW w:w="1837" w:type="dxa"/>
                  <w:vAlign w:val="center"/>
                </w:tcPr>
                <w:p w14:paraId="71113322">
                  <w:pPr>
                    <w:jc w:val="center"/>
                    <w:rPr>
                      <w:color w:val="auto"/>
                      <w:szCs w:val="21"/>
                    </w:rPr>
                  </w:pPr>
                  <w:r>
                    <w:rPr>
                      <w:rFonts w:hAnsi="宋体"/>
                      <w:color w:val="auto"/>
                      <w:szCs w:val="21"/>
                    </w:rPr>
                    <w:t>要素</w:t>
                  </w:r>
                </w:p>
              </w:tc>
              <w:tc>
                <w:tcPr>
                  <w:tcW w:w="3202" w:type="dxa"/>
                  <w:vAlign w:val="center"/>
                </w:tcPr>
                <w:p w14:paraId="5DA2C258">
                  <w:pPr>
                    <w:jc w:val="center"/>
                    <w:rPr>
                      <w:color w:val="auto"/>
                      <w:szCs w:val="21"/>
                    </w:rPr>
                  </w:pPr>
                  <w:r>
                    <w:rPr>
                      <w:rFonts w:hAnsi="宋体"/>
                      <w:color w:val="auto"/>
                      <w:szCs w:val="21"/>
                    </w:rPr>
                    <w:t>监测因子</w:t>
                  </w:r>
                </w:p>
              </w:tc>
              <w:tc>
                <w:tcPr>
                  <w:tcW w:w="1713" w:type="dxa"/>
                  <w:vAlign w:val="center"/>
                </w:tcPr>
                <w:p w14:paraId="2D666D37">
                  <w:pPr>
                    <w:jc w:val="center"/>
                    <w:rPr>
                      <w:color w:val="auto"/>
                      <w:szCs w:val="21"/>
                    </w:rPr>
                  </w:pPr>
                  <w:r>
                    <w:rPr>
                      <w:rFonts w:hAnsi="宋体"/>
                      <w:color w:val="auto"/>
                      <w:szCs w:val="21"/>
                    </w:rPr>
                    <w:t>监测点位</w:t>
                  </w:r>
                </w:p>
              </w:tc>
              <w:tc>
                <w:tcPr>
                  <w:tcW w:w="1399" w:type="dxa"/>
                  <w:vAlign w:val="center"/>
                </w:tcPr>
                <w:p w14:paraId="433E7F1A">
                  <w:pPr>
                    <w:jc w:val="center"/>
                    <w:rPr>
                      <w:color w:val="auto"/>
                      <w:szCs w:val="21"/>
                    </w:rPr>
                  </w:pPr>
                  <w:r>
                    <w:rPr>
                      <w:rFonts w:hAnsi="宋体"/>
                      <w:color w:val="auto"/>
                      <w:szCs w:val="21"/>
                    </w:rPr>
                    <w:t>监测频次</w:t>
                  </w:r>
                </w:p>
              </w:tc>
            </w:tr>
            <w:tr w14:paraId="23EA3D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1837" w:type="dxa"/>
                  <w:vAlign w:val="center"/>
                </w:tcPr>
                <w:p w14:paraId="3F136303">
                  <w:pPr>
                    <w:jc w:val="center"/>
                    <w:rPr>
                      <w:color w:val="auto"/>
                      <w:szCs w:val="21"/>
                    </w:rPr>
                  </w:pPr>
                  <w:r>
                    <w:rPr>
                      <w:rFonts w:hint="eastAsia" w:hAnsi="宋体"/>
                      <w:color w:val="auto"/>
                      <w:szCs w:val="21"/>
                    </w:rPr>
                    <w:t>土壤</w:t>
                  </w:r>
                </w:p>
              </w:tc>
              <w:tc>
                <w:tcPr>
                  <w:tcW w:w="3202" w:type="dxa"/>
                  <w:vAlign w:val="center"/>
                </w:tcPr>
                <w:p w14:paraId="29C01FF2">
                  <w:pPr>
                    <w:jc w:val="center"/>
                    <w:rPr>
                      <w:color w:val="auto"/>
                      <w:szCs w:val="21"/>
                    </w:rPr>
                  </w:pPr>
                  <w:r>
                    <w:rPr>
                      <w:color w:val="auto"/>
                      <w:szCs w:val="21"/>
                    </w:rPr>
                    <w:t>苯并[a]芘</w:t>
                  </w:r>
                </w:p>
              </w:tc>
              <w:tc>
                <w:tcPr>
                  <w:tcW w:w="1713" w:type="dxa"/>
                  <w:vAlign w:val="center"/>
                </w:tcPr>
                <w:p w14:paraId="47B40FCC">
                  <w:pPr>
                    <w:jc w:val="center"/>
                    <w:rPr>
                      <w:color w:val="auto"/>
                      <w:szCs w:val="21"/>
                    </w:rPr>
                  </w:pPr>
                  <w:r>
                    <w:rPr>
                      <w:rFonts w:hint="eastAsia" w:hAnsi="宋体"/>
                      <w:color w:val="auto"/>
                      <w:szCs w:val="21"/>
                    </w:rPr>
                    <w:t>监测点</w:t>
                  </w:r>
                </w:p>
              </w:tc>
              <w:tc>
                <w:tcPr>
                  <w:tcW w:w="1399" w:type="dxa"/>
                  <w:vAlign w:val="center"/>
                </w:tcPr>
                <w:p w14:paraId="38494838">
                  <w:pPr>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年</w:t>
                  </w:r>
                </w:p>
              </w:tc>
            </w:tr>
          </w:tbl>
          <w:p w14:paraId="5F08F50B">
            <w:pPr>
              <w:spacing w:line="360" w:lineRule="auto"/>
              <w:contextualSpacing/>
              <w:jc w:val="center"/>
              <w:rPr>
                <w:b/>
                <w:color w:val="auto"/>
              </w:rPr>
            </w:pPr>
            <w:r>
              <w:rPr>
                <w:b/>
                <w:color w:val="auto"/>
              </w:rPr>
              <w:drawing>
                <wp:anchor distT="0" distB="0" distL="114300" distR="114300" simplePos="0" relativeHeight="251664384" behindDoc="0" locked="0" layoutInCell="1" allowOverlap="1">
                  <wp:simplePos x="0" y="0"/>
                  <wp:positionH relativeFrom="column">
                    <wp:posOffset>7711440</wp:posOffset>
                  </wp:positionH>
                  <wp:positionV relativeFrom="paragraph">
                    <wp:posOffset>-3347085</wp:posOffset>
                  </wp:positionV>
                  <wp:extent cx="732790" cy="751840"/>
                  <wp:effectExtent l="1905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22" cstate="print"/>
                          <a:srcRect/>
                          <a:stretch>
                            <a:fillRect/>
                          </a:stretch>
                        </pic:blipFill>
                        <pic:spPr>
                          <a:xfrm>
                            <a:off x="0" y="0"/>
                            <a:ext cx="729095" cy="748145"/>
                          </a:xfrm>
                          <a:prstGeom prst="rect">
                            <a:avLst/>
                          </a:prstGeom>
                          <a:noFill/>
                          <a:ln w="9525">
                            <a:noFill/>
                            <a:miter lim="800000"/>
                            <a:headEnd/>
                            <a:tailEnd/>
                          </a:ln>
                        </pic:spPr>
                      </pic:pic>
                    </a:graphicData>
                  </a:graphic>
                </wp:anchor>
              </w:drawing>
            </w:r>
            <w:r>
              <w:rPr>
                <w:b/>
                <w:color w:val="auto"/>
              </w:rPr>
              <w:drawing>
                <wp:anchor distT="0" distB="0" distL="114300" distR="114300" simplePos="0" relativeHeight="251662336" behindDoc="0" locked="0" layoutInCell="1" allowOverlap="1">
                  <wp:simplePos x="0" y="0"/>
                  <wp:positionH relativeFrom="column">
                    <wp:posOffset>7711440</wp:posOffset>
                  </wp:positionH>
                  <wp:positionV relativeFrom="paragraph">
                    <wp:posOffset>-3347085</wp:posOffset>
                  </wp:positionV>
                  <wp:extent cx="732790" cy="751840"/>
                  <wp:effectExtent l="19050" t="0" r="0" b="0"/>
                  <wp:wrapNone/>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noChangeArrowheads="1"/>
                          </pic:cNvPicPr>
                        </pic:nvPicPr>
                        <pic:blipFill>
                          <a:blip r:embed="rId22" cstate="print"/>
                          <a:srcRect/>
                          <a:stretch>
                            <a:fillRect/>
                          </a:stretch>
                        </pic:blipFill>
                        <pic:spPr>
                          <a:xfrm>
                            <a:off x="0" y="0"/>
                            <a:ext cx="729095" cy="748145"/>
                          </a:xfrm>
                          <a:prstGeom prst="rect">
                            <a:avLst/>
                          </a:prstGeom>
                          <a:noFill/>
                          <a:ln w="9525">
                            <a:noFill/>
                            <a:miter lim="800000"/>
                            <a:headEnd/>
                            <a:tailEnd/>
                          </a:ln>
                        </pic:spPr>
                      </pic:pic>
                    </a:graphicData>
                  </a:graphic>
                </wp:anchor>
              </w:drawing>
            </w:r>
            <w:r>
              <w:rPr>
                <w:b/>
                <w:color w:val="auto"/>
              </w:rPr>
              <w:drawing>
                <wp:anchor distT="0" distB="0" distL="114300" distR="114300" simplePos="0" relativeHeight="251663360" behindDoc="0" locked="0" layoutInCell="1" allowOverlap="1">
                  <wp:simplePos x="0" y="0"/>
                  <wp:positionH relativeFrom="column">
                    <wp:posOffset>7711440</wp:posOffset>
                  </wp:positionH>
                  <wp:positionV relativeFrom="paragraph">
                    <wp:posOffset>-3347085</wp:posOffset>
                  </wp:positionV>
                  <wp:extent cx="732790" cy="751840"/>
                  <wp:effectExtent l="19050" t="0" r="0" b="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22" cstate="print"/>
                          <a:srcRect/>
                          <a:stretch>
                            <a:fillRect/>
                          </a:stretch>
                        </pic:blipFill>
                        <pic:spPr>
                          <a:xfrm>
                            <a:off x="0" y="0"/>
                            <a:ext cx="729095" cy="748145"/>
                          </a:xfrm>
                          <a:prstGeom prst="rect">
                            <a:avLst/>
                          </a:prstGeom>
                          <a:noFill/>
                          <a:ln w="9525">
                            <a:noFill/>
                            <a:miter lim="800000"/>
                            <a:headEnd/>
                            <a:tailEnd/>
                          </a:ln>
                        </pic:spPr>
                      </pic:pic>
                    </a:graphicData>
                  </a:graphic>
                </wp:anchor>
              </w:drawing>
            </w:r>
          </w:p>
        </w:tc>
      </w:tr>
    </w:tbl>
    <w:p w14:paraId="2B259BDE">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8242191">
      <w:pPr>
        <w:pStyle w:val="22"/>
        <w:jc w:val="center"/>
        <w:outlineLvl w:val="0"/>
        <w:rPr>
          <w:rFonts w:ascii="Times New Roman" w:hAnsi="Times New Roman" w:eastAsia="黑体"/>
          <w:snapToGrid w:val="0"/>
          <w:color w:val="auto"/>
          <w:sz w:val="30"/>
          <w:szCs w:val="30"/>
        </w:rPr>
      </w:pPr>
      <w:bookmarkStart w:id="18" w:name="_Toc68775756"/>
      <w:r>
        <w:rPr>
          <w:rFonts w:ascii="Times New Roman" w:hAnsi="Times New Roman" w:eastAsia="黑体"/>
          <w:snapToGrid w:val="0"/>
          <w:color w:val="auto"/>
          <w:sz w:val="30"/>
          <w:szCs w:val="30"/>
        </w:rPr>
        <w:t>五、</w:t>
      </w:r>
      <w:bookmarkStart w:id="19" w:name="_Hlk54167917"/>
      <w:r>
        <w:rPr>
          <w:rFonts w:ascii="Times New Roman" w:hAnsi="Times New Roman" w:eastAsia="黑体"/>
          <w:snapToGrid w:val="0"/>
          <w:color w:val="auto"/>
          <w:sz w:val="30"/>
          <w:szCs w:val="30"/>
        </w:rPr>
        <w:t>环境保护措施监督检查清单</w:t>
      </w:r>
      <w:bookmarkEnd w:id="18"/>
      <w:bookmarkEnd w:id="19"/>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560"/>
        <w:gridCol w:w="1460"/>
        <w:gridCol w:w="3260"/>
        <w:gridCol w:w="2509"/>
      </w:tblGrid>
      <w:tr w14:paraId="66104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4" w:type="dxa"/>
            <w:tcBorders>
              <w:tl2br w:val="single" w:color="auto" w:sz="4" w:space="0"/>
            </w:tcBorders>
          </w:tcPr>
          <w:p w14:paraId="786FE4B6">
            <w:pPr>
              <w:adjustRightInd w:val="0"/>
              <w:snapToGrid w:val="0"/>
              <w:ind w:firstLine="240" w:firstLineChars="100"/>
              <w:rPr>
                <w:color w:val="auto"/>
                <w:sz w:val="24"/>
              </w:rPr>
            </w:pPr>
            <w:r>
              <w:rPr>
                <w:color w:val="auto"/>
                <w:sz w:val="24"/>
              </w:rPr>
              <w:t>内容</w:t>
            </w:r>
          </w:p>
          <w:p w14:paraId="08FFEA6F">
            <w:pPr>
              <w:adjustRightInd w:val="0"/>
              <w:snapToGrid w:val="0"/>
              <w:rPr>
                <w:color w:val="auto"/>
                <w:sz w:val="24"/>
              </w:rPr>
            </w:pPr>
          </w:p>
          <w:p w14:paraId="5CBBE13F">
            <w:pPr>
              <w:adjustRightInd w:val="0"/>
              <w:snapToGrid w:val="0"/>
              <w:rPr>
                <w:color w:val="auto"/>
                <w:sz w:val="24"/>
              </w:rPr>
            </w:pPr>
            <w:r>
              <w:rPr>
                <w:color w:val="auto"/>
                <w:sz w:val="24"/>
              </w:rPr>
              <w:t>要素</w:t>
            </w:r>
          </w:p>
        </w:tc>
        <w:tc>
          <w:tcPr>
            <w:tcW w:w="1560" w:type="dxa"/>
            <w:vAlign w:val="center"/>
          </w:tcPr>
          <w:p w14:paraId="463B1297">
            <w:pPr>
              <w:adjustRightInd w:val="0"/>
              <w:snapToGrid w:val="0"/>
              <w:jc w:val="center"/>
              <w:rPr>
                <w:color w:val="auto"/>
                <w:sz w:val="24"/>
              </w:rPr>
            </w:pPr>
            <w:r>
              <w:rPr>
                <w:color w:val="auto"/>
                <w:sz w:val="24"/>
              </w:rPr>
              <w:t>排放口(编号、名称)/污染源</w:t>
            </w:r>
          </w:p>
        </w:tc>
        <w:tc>
          <w:tcPr>
            <w:tcW w:w="1460" w:type="dxa"/>
            <w:vAlign w:val="center"/>
          </w:tcPr>
          <w:p w14:paraId="354FBE6B">
            <w:pPr>
              <w:adjustRightInd w:val="0"/>
              <w:snapToGrid w:val="0"/>
              <w:jc w:val="center"/>
              <w:rPr>
                <w:color w:val="auto"/>
                <w:sz w:val="24"/>
              </w:rPr>
            </w:pPr>
            <w:r>
              <w:rPr>
                <w:color w:val="auto"/>
                <w:sz w:val="24"/>
              </w:rPr>
              <w:t>污染物项目</w:t>
            </w:r>
          </w:p>
        </w:tc>
        <w:tc>
          <w:tcPr>
            <w:tcW w:w="3260" w:type="dxa"/>
            <w:vAlign w:val="center"/>
          </w:tcPr>
          <w:p w14:paraId="294557A2">
            <w:pPr>
              <w:adjustRightInd w:val="0"/>
              <w:snapToGrid w:val="0"/>
              <w:jc w:val="center"/>
              <w:rPr>
                <w:color w:val="auto"/>
                <w:sz w:val="24"/>
              </w:rPr>
            </w:pPr>
            <w:r>
              <w:rPr>
                <w:color w:val="auto"/>
                <w:sz w:val="24"/>
              </w:rPr>
              <w:t>环境保护措施</w:t>
            </w:r>
          </w:p>
        </w:tc>
        <w:tc>
          <w:tcPr>
            <w:tcW w:w="2509" w:type="dxa"/>
            <w:vAlign w:val="center"/>
          </w:tcPr>
          <w:p w14:paraId="072241F9">
            <w:pPr>
              <w:adjustRightInd w:val="0"/>
              <w:snapToGrid w:val="0"/>
              <w:jc w:val="center"/>
              <w:rPr>
                <w:color w:val="auto"/>
                <w:sz w:val="24"/>
              </w:rPr>
            </w:pPr>
            <w:r>
              <w:rPr>
                <w:color w:val="auto"/>
                <w:sz w:val="24"/>
              </w:rPr>
              <w:t>执行标准</w:t>
            </w:r>
          </w:p>
        </w:tc>
      </w:tr>
      <w:tr w14:paraId="031C1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4" w:type="dxa"/>
            <w:vMerge w:val="restart"/>
            <w:vAlign w:val="center"/>
          </w:tcPr>
          <w:p w14:paraId="481749CB">
            <w:pPr>
              <w:adjustRightInd w:val="0"/>
              <w:snapToGrid w:val="0"/>
              <w:jc w:val="center"/>
              <w:rPr>
                <w:color w:val="auto"/>
                <w:sz w:val="24"/>
              </w:rPr>
            </w:pPr>
            <w:r>
              <w:rPr>
                <w:color w:val="auto"/>
                <w:sz w:val="24"/>
              </w:rPr>
              <w:t>大气环境</w:t>
            </w:r>
          </w:p>
        </w:tc>
        <w:tc>
          <w:tcPr>
            <w:tcW w:w="1560" w:type="dxa"/>
            <w:tcBorders>
              <w:bottom w:val="single" w:color="auto" w:sz="4" w:space="0"/>
            </w:tcBorders>
            <w:vAlign w:val="center"/>
          </w:tcPr>
          <w:p w14:paraId="125F4795">
            <w:pPr>
              <w:spacing w:line="0" w:lineRule="atLeast"/>
              <w:contextualSpacing/>
              <w:jc w:val="center"/>
              <w:rPr>
                <w:color w:val="auto"/>
                <w:sz w:val="24"/>
              </w:rPr>
            </w:pPr>
            <w:r>
              <w:rPr>
                <w:rFonts w:hint="eastAsia"/>
                <w:color w:val="auto"/>
                <w:sz w:val="24"/>
              </w:rPr>
              <w:t>除尘</w:t>
            </w:r>
            <w:r>
              <w:rPr>
                <w:color w:val="auto"/>
                <w:sz w:val="24"/>
              </w:rPr>
              <w:t>系统</w:t>
            </w:r>
            <w:r>
              <w:rPr>
                <w:rFonts w:hint="eastAsia"/>
                <w:color w:val="auto"/>
                <w:sz w:val="24"/>
              </w:rPr>
              <w:t>排气筒</w:t>
            </w:r>
            <w:r>
              <w:rPr>
                <w:color w:val="auto"/>
                <w:sz w:val="24"/>
              </w:rPr>
              <w:t>（</w:t>
            </w:r>
            <w:r>
              <w:rPr>
                <w:rFonts w:hint="eastAsia"/>
                <w:color w:val="auto"/>
                <w:sz w:val="24"/>
              </w:rPr>
              <w:t>DA001</w:t>
            </w:r>
            <w:r>
              <w:rPr>
                <w:color w:val="auto"/>
                <w:sz w:val="24"/>
              </w:rPr>
              <w:t>）</w:t>
            </w:r>
          </w:p>
        </w:tc>
        <w:tc>
          <w:tcPr>
            <w:tcW w:w="1460" w:type="dxa"/>
            <w:tcBorders>
              <w:bottom w:val="single" w:color="auto" w:sz="4" w:space="0"/>
            </w:tcBorders>
            <w:vAlign w:val="center"/>
          </w:tcPr>
          <w:p w14:paraId="490D4688">
            <w:pPr>
              <w:contextualSpacing/>
              <w:jc w:val="center"/>
              <w:rPr>
                <w:color w:val="auto"/>
                <w:sz w:val="24"/>
              </w:rPr>
            </w:pPr>
            <w:r>
              <w:rPr>
                <w:rFonts w:hAnsi="宋体"/>
                <w:color w:val="auto"/>
                <w:sz w:val="24"/>
              </w:rPr>
              <w:t>颗粒物、</w:t>
            </w:r>
            <w:r>
              <w:rPr>
                <w:color w:val="auto"/>
                <w:sz w:val="24"/>
              </w:rPr>
              <w:t>SO</w:t>
            </w:r>
            <w:r>
              <w:rPr>
                <w:color w:val="auto"/>
                <w:sz w:val="24"/>
                <w:vertAlign w:val="subscript"/>
              </w:rPr>
              <w:t>2</w:t>
            </w:r>
            <w:r>
              <w:rPr>
                <w:rFonts w:hAnsi="宋体"/>
                <w:color w:val="auto"/>
                <w:sz w:val="24"/>
              </w:rPr>
              <w:t>、</w:t>
            </w:r>
            <w:r>
              <w:rPr>
                <w:color w:val="auto"/>
                <w:sz w:val="24"/>
              </w:rPr>
              <w:t>NO</w:t>
            </w:r>
            <w:r>
              <w:rPr>
                <w:color w:val="auto"/>
                <w:sz w:val="24"/>
                <w:vertAlign w:val="subscript"/>
              </w:rPr>
              <w:t>X</w:t>
            </w:r>
          </w:p>
        </w:tc>
        <w:tc>
          <w:tcPr>
            <w:tcW w:w="3260" w:type="dxa"/>
            <w:vAlign w:val="center"/>
          </w:tcPr>
          <w:p w14:paraId="506CBCD7">
            <w:pPr>
              <w:contextualSpacing/>
              <w:jc w:val="center"/>
              <w:rPr>
                <w:color w:val="auto"/>
                <w:spacing w:val="-6"/>
                <w:sz w:val="24"/>
              </w:rPr>
            </w:pPr>
            <w:r>
              <w:rPr>
                <w:rFonts w:hint="eastAsia" w:hAnsi="宋体"/>
                <w:color w:val="auto"/>
                <w:sz w:val="24"/>
              </w:rPr>
              <w:t>碎石筛分、烘干废气、热料仓落料废气、矿粉筒仓装卸废气、冷料仓上料废气、28MW燃天然气燃烧器烟气经除尘系统（重力+布袋）处理后，由15m高除尘系统排气筒（DA001）排放，除尘效率为99%</w:t>
            </w:r>
          </w:p>
        </w:tc>
        <w:tc>
          <w:tcPr>
            <w:tcW w:w="2509" w:type="dxa"/>
            <w:vAlign w:val="center"/>
          </w:tcPr>
          <w:p w14:paraId="56870E5A">
            <w:pPr>
              <w:adjustRightInd w:val="0"/>
              <w:snapToGrid w:val="0"/>
              <w:jc w:val="center"/>
              <w:rPr>
                <w:color w:val="auto"/>
                <w:sz w:val="24"/>
              </w:rPr>
            </w:pPr>
            <w:r>
              <w:rPr>
                <w:bCs/>
                <w:color w:val="auto"/>
                <w:sz w:val="24"/>
              </w:rPr>
              <w:t>《大气污染物综合排放标准》（GB16297-1996）表2中二级排放标准</w:t>
            </w:r>
          </w:p>
        </w:tc>
      </w:tr>
      <w:tr w14:paraId="28875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4" w:type="dxa"/>
            <w:vMerge w:val="continue"/>
            <w:vAlign w:val="center"/>
          </w:tcPr>
          <w:p w14:paraId="6C05C798">
            <w:pPr>
              <w:adjustRightInd w:val="0"/>
              <w:snapToGrid w:val="0"/>
              <w:jc w:val="center"/>
              <w:rPr>
                <w:color w:val="auto"/>
                <w:sz w:val="24"/>
              </w:rPr>
            </w:pPr>
          </w:p>
        </w:tc>
        <w:tc>
          <w:tcPr>
            <w:tcW w:w="1560" w:type="dxa"/>
            <w:tcBorders>
              <w:bottom w:val="single" w:color="auto" w:sz="4" w:space="0"/>
            </w:tcBorders>
            <w:vAlign w:val="center"/>
          </w:tcPr>
          <w:p w14:paraId="45A1300D">
            <w:pPr>
              <w:spacing w:line="0" w:lineRule="atLeast"/>
              <w:contextualSpacing/>
              <w:jc w:val="center"/>
              <w:rPr>
                <w:color w:val="auto"/>
                <w:sz w:val="24"/>
              </w:rPr>
            </w:pPr>
            <w:r>
              <w:rPr>
                <w:rFonts w:hAnsi="宋体"/>
                <w:color w:val="auto"/>
                <w:sz w:val="24"/>
              </w:rPr>
              <w:t>导热油炉烟囱</w:t>
            </w:r>
            <w:r>
              <w:rPr>
                <w:color w:val="auto"/>
                <w:sz w:val="24"/>
              </w:rPr>
              <w:t>（</w:t>
            </w:r>
            <w:r>
              <w:rPr>
                <w:rFonts w:hint="eastAsia"/>
                <w:color w:val="auto"/>
                <w:sz w:val="24"/>
              </w:rPr>
              <w:t>DA002</w:t>
            </w:r>
            <w:r>
              <w:rPr>
                <w:color w:val="auto"/>
                <w:sz w:val="24"/>
              </w:rPr>
              <w:t>）</w:t>
            </w:r>
          </w:p>
        </w:tc>
        <w:tc>
          <w:tcPr>
            <w:tcW w:w="1460" w:type="dxa"/>
            <w:tcBorders>
              <w:bottom w:val="single" w:color="auto" w:sz="4" w:space="0"/>
            </w:tcBorders>
            <w:vAlign w:val="center"/>
          </w:tcPr>
          <w:p w14:paraId="108D8E06">
            <w:pPr>
              <w:contextualSpacing/>
              <w:jc w:val="center"/>
              <w:rPr>
                <w:color w:val="auto"/>
                <w:sz w:val="24"/>
              </w:rPr>
            </w:pPr>
            <w:r>
              <w:rPr>
                <w:rFonts w:hAnsi="宋体"/>
                <w:color w:val="auto"/>
                <w:sz w:val="24"/>
              </w:rPr>
              <w:t>颗粒物、</w:t>
            </w:r>
            <w:r>
              <w:rPr>
                <w:color w:val="auto"/>
                <w:sz w:val="24"/>
              </w:rPr>
              <w:t>SO</w:t>
            </w:r>
            <w:r>
              <w:rPr>
                <w:color w:val="auto"/>
                <w:sz w:val="24"/>
                <w:vertAlign w:val="subscript"/>
              </w:rPr>
              <w:t>2</w:t>
            </w:r>
            <w:r>
              <w:rPr>
                <w:rFonts w:hAnsi="宋体"/>
                <w:color w:val="auto"/>
                <w:sz w:val="24"/>
              </w:rPr>
              <w:t>、</w:t>
            </w:r>
            <w:r>
              <w:rPr>
                <w:color w:val="auto"/>
                <w:sz w:val="24"/>
              </w:rPr>
              <w:t>NO</w:t>
            </w:r>
            <w:r>
              <w:rPr>
                <w:color w:val="auto"/>
                <w:sz w:val="24"/>
                <w:vertAlign w:val="subscript"/>
              </w:rPr>
              <w:t>X</w:t>
            </w:r>
            <w:r>
              <w:rPr>
                <w:color w:val="auto"/>
                <w:sz w:val="24"/>
              </w:rPr>
              <w:t>、烟气黑度</w:t>
            </w:r>
          </w:p>
        </w:tc>
        <w:tc>
          <w:tcPr>
            <w:tcW w:w="3260" w:type="dxa"/>
            <w:vAlign w:val="center"/>
          </w:tcPr>
          <w:p w14:paraId="1151AF7F">
            <w:pPr>
              <w:contextualSpacing/>
              <w:jc w:val="center"/>
              <w:rPr>
                <w:color w:val="auto"/>
                <w:spacing w:val="-6"/>
                <w:sz w:val="24"/>
              </w:rPr>
            </w:pPr>
            <w:r>
              <w:rPr>
                <w:rFonts w:hAnsi="宋体"/>
                <w:color w:val="auto"/>
                <w:sz w:val="24"/>
              </w:rPr>
              <w:t>导热油炉烟气</w:t>
            </w:r>
            <w:r>
              <w:rPr>
                <w:rFonts w:hint="eastAsia" w:hAnsi="宋体"/>
                <w:color w:val="auto"/>
                <w:sz w:val="24"/>
              </w:rPr>
              <w:t>经低氮燃烧处理后（除氮效率30%），由1根12m高排气筒（DA002）排放</w:t>
            </w:r>
          </w:p>
        </w:tc>
        <w:tc>
          <w:tcPr>
            <w:tcW w:w="2509" w:type="dxa"/>
            <w:vAlign w:val="center"/>
          </w:tcPr>
          <w:p w14:paraId="4AFBC3B6">
            <w:pPr>
              <w:adjustRightInd w:val="0"/>
              <w:snapToGrid w:val="0"/>
              <w:jc w:val="center"/>
              <w:rPr>
                <w:bCs/>
                <w:color w:val="auto"/>
                <w:sz w:val="24"/>
              </w:rPr>
            </w:pPr>
            <w:r>
              <w:rPr>
                <w:bCs/>
                <w:color w:val="auto"/>
                <w:sz w:val="24"/>
              </w:rPr>
              <w:t>《锅炉大气污染物排放标准》（GB13271-2014）表2燃</w:t>
            </w:r>
            <w:r>
              <w:rPr>
                <w:rFonts w:hint="eastAsia"/>
                <w:bCs/>
                <w:color w:val="auto"/>
                <w:sz w:val="24"/>
              </w:rPr>
              <w:t>油</w:t>
            </w:r>
            <w:r>
              <w:rPr>
                <w:bCs/>
                <w:color w:val="auto"/>
                <w:sz w:val="24"/>
              </w:rPr>
              <w:t>锅炉标准</w:t>
            </w:r>
          </w:p>
        </w:tc>
      </w:tr>
      <w:tr w14:paraId="6F2AD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5" w:hRule="atLeast"/>
          <w:jc w:val="center"/>
        </w:trPr>
        <w:tc>
          <w:tcPr>
            <w:tcW w:w="994" w:type="dxa"/>
            <w:vMerge w:val="continue"/>
            <w:vAlign w:val="center"/>
          </w:tcPr>
          <w:p w14:paraId="53D123D2">
            <w:pPr>
              <w:adjustRightInd w:val="0"/>
              <w:snapToGrid w:val="0"/>
              <w:jc w:val="center"/>
              <w:rPr>
                <w:color w:val="auto"/>
                <w:sz w:val="24"/>
              </w:rPr>
            </w:pPr>
          </w:p>
        </w:tc>
        <w:tc>
          <w:tcPr>
            <w:tcW w:w="1560" w:type="dxa"/>
            <w:vAlign w:val="center"/>
          </w:tcPr>
          <w:p w14:paraId="27F05989">
            <w:pPr>
              <w:spacing w:line="0" w:lineRule="atLeast"/>
              <w:contextualSpacing/>
              <w:jc w:val="center"/>
              <w:rPr>
                <w:rFonts w:hAnsi="宋体"/>
                <w:color w:val="auto"/>
                <w:sz w:val="24"/>
              </w:rPr>
            </w:pPr>
            <w:r>
              <w:rPr>
                <w:rFonts w:hAnsi="宋体"/>
                <w:color w:val="auto"/>
                <w:sz w:val="24"/>
              </w:rPr>
              <w:t>沥青搅拌排气筒（</w:t>
            </w:r>
            <w:r>
              <w:rPr>
                <w:rFonts w:hint="eastAsia" w:hAnsi="宋体"/>
                <w:color w:val="auto"/>
                <w:sz w:val="24"/>
              </w:rPr>
              <w:t>DA003</w:t>
            </w:r>
            <w:r>
              <w:rPr>
                <w:rFonts w:hAnsi="宋体"/>
                <w:color w:val="auto"/>
                <w:sz w:val="24"/>
              </w:rPr>
              <w:t>）</w:t>
            </w:r>
          </w:p>
        </w:tc>
        <w:tc>
          <w:tcPr>
            <w:tcW w:w="1460" w:type="dxa"/>
            <w:vAlign w:val="center"/>
          </w:tcPr>
          <w:p w14:paraId="1F6C00C8">
            <w:pPr>
              <w:pStyle w:val="66"/>
              <w:adjustRightInd w:val="0"/>
              <w:snapToGrid w:val="0"/>
              <w:spacing w:line="0" w:lineRule="atLeast"/>
              <w:rPr>
                <w:rFonts w:ascii="Times New Roman" w:hAnsi="Times New Roman" w:eastAsia="宋体"/>
                <w:color w:val="auto"/>
              </w:rPr>
            </w:pPr>
            <w:r>
              <w:rPr>
                <w:rFonts w:ascii="Times New Roman" w:hAnsi="Times New Roman" w:eastAsia="宋体"/>
                <w:color w:val="auto"/>
              </w:rPr>
              <w:t>苯并[a]芘、沥青烟、非甲烷总烃</w:t>
            </w:r>
          </w:p>
        </w:tc>
        <w:tc>
          <w:tcPr>
            <w:tcW w:w="3260" w:type="dxa"/>
            <w:vAlign w:val="center"/>
          </w:tcPr>
          <w:p w14:paraId="61ECA9C1">
            <w:pPr>
              <w:contextualSpacing/>
              <w:jc w:val="center"/>
              <w:rPr>
                <w:color w:val="auto"/>
                <w:spacing w:val="-6"/>
                <w:sz w:val="24"/>
              </w:rPr>
            </w:pPr>
            <w:r>
              <w:rPr>
                <w:rFonts w:hint="eastAsia" w:hAnsi="宋体"/>
                <w:bCs/>
                <w:color w:val="auto"/>
                <w:spacing w:val="-6"/>
                <w:sz w:val="24"/>
              </w:rPr>
              <w:t>沥青在密闭储罐中储存过程中产生的烟气以及出料产生的烟气通过负压收集系统集中收集（收集效率95%，环保设施的最大总风量为40000m</w:t>
            </w:r>
            <w:r>
              <w:rPr>
                <w:rFonts w:hint="eastAsia" w:hAnsi="宋体"/>
                <w:bCs/>
                <w:color w:val="auto"/>
                <w:spacing w:val="-6"/>
                <w:sz w:val="24"/>
                <w:vertAlign w:val="superscript"/>
              </w:rPr>
              <w:t>3</w:t>
            </w:r>
            <w:r>
              <w:rPr>
                <w:rFonts w:hint="eastAsia" w:hAnsi="宋体"/>
                <w:bCs/>
                <w:color w:val="auto"/>
                <w:spacing w:val="-6"/>
                <w:sz w:val="24"/>
              </w:rPr>
              <w:t>/h），经气浮旋流塔+三维一体化废气处理设备（由电离子+光催化+高碘值碳吸附组成）（处理效率95%）处理后，经15m高沥青搅拌排气筒（DA003）排放</w:t>
            </w:r>
          </w:p>
        </w:tc>
        <w:tc>
          <w:tcPr>
            <w:tcW w:w="2509" w:type="dxa"/>
            <w:vAlign w:val="center"/>
          </w:tcPr>
          <w:p w14:paraId="6A04598A">
            <w:pPr>
              <w:adjustRightInd w:val="0"/>
              <w:snapToGrid w:val="0"/>
              <w:jc w:val="center"/>
              <w:rPr>
                <w:bCs/>
                <w:color w:val="auto"/>
                <w:sz w:val="24"/>
              </w:rPr>
            </w:pPr>
            <w:r>
              <w:rPr>
                <w:bCs/>
                <w:color w:val="auto"/>
                <w:sz w:val="24"/>
              </w:rPr>
              <w:t>《大气污染物综合排放标准》（GB16297-1996）表2中二级排放标准</w:t>
            </w:r>
          </w:p>
        </w:tc>
      </w:tr>
      <w:tr w14:paraId="6EDCC247">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994" w:type="dxa"/>
            <w:vMerge w:val="continue"/>
            <w:vAlign w:val="center"/>
          </w:tcPr>
          <w:p w14:paraId="005D2D60">
            <w:pPr>
              <w:adjustRightInd w:val="0"/>
              <w:snapToGrid w:val="0"/>
              <w:jc w:val="center"/>
              <w:rPr>
                <w:color w:val="auto"/>
                <w:sz w:val="24"/>
              </w:rPr>
            </w:pPr>
          </w:p>
        </w:tc>
        <w:tc>
          <w:tcPr>
            <w:tcW w:w="1560" w:type="dxa"/>
            <w:vMerge w:val="restart"/>
            <w:vAlign w:val="center"/>
          </w:tcPr>
          <w:p w14:paraId="7F81EBDE">
            <w:pPr>
              <w:adjustRightInd w:val="0"/>
              <w:snapToGrid w:val="0"/>
              <w:jc w:val="center"/>
              <w:rPr>
                <w:color w:val="auto"/>
                <w:sz w:val="24"/>
              </w:rPr>
            </w:pPr>
            <w:r>
              <w:rPr>
                <w:color w:val="auto"/>
                <w:sz w:val="24"/>
              </w:rPr>
              <w:t>无组织</w:t>
            </w:r>
          </w:p>
        </w:tc>
        <w:tc>
          <w:tcPr>
            <w:tcW w:w="1460" w:type="dxa"/>
            <w:vAlign w:val="center"/>
          </w:tcPr>
          <w:p w14:paraId="0ADD0E99">
            <w:pPr>
              <w:pStyle w:val="66"/>
              <w:adjustRightInd w:val="0"/>
              <w:snapToGrid w:val="0"/>
              <w:spacing w:line="0" w:lineRule="atLeast"/>
              <w:rPr>
                <w:rFonts w:ascii="Times New Roman" w:hAnsi="Times New Roman" w:eastAsia="宋体"/>
                <w:color w:val="auto"/>
              </w:rPr>
            </w:pPr>
            <w:r>
              <w:rPr>
                <w:rFonts w:ascii="Times New Roman" w:hAnsi="Times New Roman" w:eastAsia="宋体"/>
                <w:color w:val="auto"/>
              </w:rPr>
              <w:t>颗粒物、苯并[a]芘、沥青烟</w:t>
            </w:r>
          </w:p>
        </w:tc>
        <w:tc>
          <w:tcPr>
            <w:tcW w:w="3260" w:type="dxa"/>
            <w:vAlign w:val="center"/>
          </w:tcPr>
          <w:p w14:paraId="68E56580">
            <w:pPr>
              <w:contextualSpacing/>
              <w:jc w:val="center"/>
              <w:rPr>
                <w:color w:val="auto"/>
                <w:spacing w:val="-6"/>
                <w:sz w:val="24"/>
              </w:rPr>
            </w:pPr>
            <w:r>
              <w:rPr>
                <w:bCs/>
                <w:color w:val="auto"/>
                <w:spacing w:val="-6"/>
                <w:sz w:val="24"/>
              </w:rPr>
              <w:t>厂区设置防风抑尘网</w:t>
            </w:r>
            <w:r>
              <w:rPr>
                <w:rFonts w:hint="eastAsia" w:eastAsiaTheme="minorEastAsia"/>
                <w:bCs/>
                <w:color w:val="auto"/>
                <w:sz w:val="24"/>
              </w:rPr>
              <w:t>，</w:t>
            </w:r>
            <w:r>
              <w:rPr>
                <w:rFonts w:eastAsiaTheme="minorEastAsia"/>
                <w:bCs/>
                <w:color w:val="auto"/>
                <w:sz w:val="24"/>
              </w:rPr>
              <w:t>堆场</w:t>
            </w:r>
            <w:r>
              <w:rPr>
                <w:rFonts w:hint="eastAsia" w:eastAsiaTheme="minorEastAsia"/>
                <w:bCs/>
                <w:color w:val="auto"/>
                <w:sz w:val="24"/>
              </w:rPr>
              <w:t>每天洒水抑尘2次</w:t>
            </w:r>
            <w:r>
              <w:rPr>
                <w:rFonts w:eastAsiaTheme="minorEastAsia"/>
                <w:bCs/>
                <w:color w:val="auto"/>
                <w:sz w:val="24"/>
              </w:rPr>
              <w:t>，</w:t>
            </w:r>
            <w:r>
              <w:rPr>
                <w:bCs/>
                <w:color w:val="auto"/>
                <w:spacing w:val="-6"/>
                <w:sz w:val="24"/>
              </w:rPr>
              <w:t>铲装集堆及上料过程洒水喷淋</w:t>
            </w:r>
          </w:p>
        </w:tc>
        <w:tc>
          <w:tcPr>
            <w:tcW w:w="2509" w:type="dxa"/>
            <w:vAlign w:val="center"/>
          </w:tcPr>
          <w:p w14:paraId="3CCA6471">
            <w:pPr>
              <w:adjustRightInd w:val="0"/>
              <w:snapToGrid w:val="0"/>
              <w:jc w:val="center"/>
              <w:rPr>
                <w:color w:val="auto"/>
                <w:sz w:val="24"/>
              </w:rPr>
            </w:pPr>
            <w:r>
              <w:rPr>
                <w:bCs/>
                <w:color w:val="auto"/>
                <w:sz w:val="24"/>
              </w:rPr>
              <w:t>《大气污染物综合排放标准》（GB16297-1996）表2中无组织排放监控浓度限值</w:t>
            </w:r>
          </w:p>
        </w:tc>
      </w:tr>
      <w:tr w14:paraId="6DD0A74E">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994" w:type="dxa"/>
            <w:vMerge w:val="continue"/>
            <w:vAlign w:val="center"/>
          </w:tcPr>
          <w:p w14:paraId="3685A34A">
            <w:pPr>
              <w:adjustRightInd w:val="0"/>
              <w:snapToGrid w:val="0"/>
              <w:jc w:val="center"/>
              <w:rPr>
                <w:color w:val="auto"/>
                <w:sz w:val="24"/>
              </w:rPr>
            </w:pPr>
          </w:p>
        </w:tc>
        <w:tc>
          <w:tcPr>
            <w:tcW w:w="1560" w:type="dxa"/>
            <w:vMerge w:val="continue"/>
            <w:vAlign w:val="center"/>
          </w:tcPr>
          <w:p w14:paraId="03A79D32">
            <w:pPr>
              <w:adjustRightInd w:val="0"/>
              <w:snapToGrid w:val="0"/>
              <w:jc w:val="center"/>
              <w:rPr>
                <w:color w:val="auto"/>
                <w:sz w:val="24"/>
              </w:rPr>
            </w:pPr>
          </w:p>
        </w:tc>
        <w:tc>
          <w:tcPr>
            <w:tcW w:w="1460" w:type="dxa"/>
            <w:vAlign w:val="center"/>
          </w:tcPr>
          <w:p w14:paraId="11EA2811">
            <w:pPr>
              <w:pStyle w:val="66"/>
              <w:adjustRightInd w:val="0"/>
              <w:snapToGrid w:val="0"/>
              <w:spacing w:line="0" w:lineRule="atLeast"/>
              <w:rPr>
                <w:rFonts w:ascii="Times New Roman" w:hAnsi="Times New Roman" w:eastAsia="宋体"/>
                <w:color w:val="auto"/>
              </w:rPr>
            </w:pPr>
            <w:r>
              <w:rPr>
                <w:rFonts w:ascii="Times New Roman" w:hAnsi="Times New Roman" w:eastAsia="宋体"/>
                <w:color w:val="auto"/>
              </w:rPr>
              <w:t>非甲烷总烃</w:t>
            </w:r>
          </w:p>
        </w:tc>
        <w:tc>
          <w:tcPr>
            <w:tcW w:w="3260" w:type="dxa"/>
            <w:vAlign w:val="center"/>
          </w:tcPr>
          <w:p w14:paraId="31E2F310">
            <w:pPr>
              <w:contextualSpacing/>
              <w:jc w:val="center"/>
              <w:rPr>
                <w:bCs/>
                <w:color w:val="auto"/>
                <w:spacing w:val="-6"/>
                <w:sz w:val="24"/>
              </w:rPr>
            </w:pPr>
            <w:r>
              <w:rPr>
                <w:rFonts w:hint="eastAsia"/>
                <w:bCs/>
                <w:color w:val="auto"/>
                <w:spacing w:val="-6"/>
                <w:sz w:val="24"/>
              </w:rPr>
              <w:t>/</w:t>
            </w:r>
          </w:p>
        </w:tc>
        <w:tc>
          <w:tcPr>
            <w:tcW w:w="2509" w:type="dxa"/>
            <w:vAlign w:val="center"/>
          </w:tcPr>
          <w:p w14:paraId="61B0727D">
            <w:pPr>
              <w:adjustRightInd w:val="0"/>
              <w:snapToGrid w:val="0"/>
              <w:jc w:val="center"/>
              <w:rPr>
                <w:bCs/>
                <w:color w:val="auto"/>
                <w:sz w:val="24"/>
              </w:rPr>
            </w:pPr>
            <w:r>
              <w:rPr>
                <w:rFonts w:hint="eastAsia"/>
                <w:color w:val="auto"/>
                <w:sz w:val="24"/>
              </w:rPr>
              <w:t>厂区</w:t>
            </w:r>
            <w:r>
              <w:rPr>
                <w:color w:val="auto"/>
                <w:sz w:val="24"/>
              </w:rPr>
              <w:t>内非甲烷总烃执行《挥发性有机物无组织排放标准》（GB</w:t>
            </w:r>
            <w:r>
              <w:rPr>
                <w:rFonts w:hint="eastAsia"/>
                <w:color w:val="auto"/>
                <w:sz w:val="24"/>
              </w:rPr>
              <w:t>37822</w:t>
            </w:r>
            <w:r>
              <w:rPr>
                <w:color w:val="auto"/>
                <w:sz w:val="24"/>
              </w:rPr>
              <w:t>-20</w:t>
            </w:r>
            <w:r>
              <w:rPr>
                <w:rFonts w:hint="eastAsia"/>
                <w:color w:val="auto"/>
                <w:sz w:val="24"/>
              </w:rPr>
              <w:t>19</w:t>
            </w:r>
            <w:r>
              <w:rPr>
                <w:color w:val="auto"/>
                <w:sz w:val="24"/>
              </w:rPr>
              <w:t>）中表</w:t>
            </w:r>
            <w:r>
              <w:rPr>
                <w:rFonts w:hint="eastAsia"/>
                <w:color w:val="auto"/>
                <w:sz w:val="24"/>
              </w:rPr>
              <w:t>A.1无组织排放限值，厂界非甲烷总烃执行</w:t>
            </w:r>
            <w:r>
              <w:rPr>
                <w:bCs/>
                <w:color w:val="auto"/>
                <w:sz w:val="24"/>
              </w:rPr>
              <w:t>《大气污染物综合排放标准》</w:t>
            </w:r>
          </w:p>
        </w:tc>
      </w:tr>
      <w:tr w14:paraId="66A27216">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994" w:type="dxa"/>
            <w:vMerge w:val="restart"/>
            <w:vAlign w:val="center"/>
          </w:tcPr>
          <w:p w14:paraId="142DA975">
            <w:pPr>
              <w:adjustRightInd w:val="0"/>
              <w:snapToGrid w:val="0"/>
              <w:jc w:val="center"/>
              <w:rPr>
                <w:color w:val="auto"/>
                <w:sz w:val="24"/>
              </w:rPr>
            </w:pPr>
            <w:r>
              <w:rPr>
                <w:color w:val="auto"/>
                <w:sz w:val="24"/>
              </w:rPr>
              <w:t>地表水环境</w:t>
            </w:r>
          </w:p>
        </w:tc>
        <w:tc>
          <w:tcPr>
            <w:tcW w:w="1560" w:type="dxa"/>
            <w:vAlign w:val="center"/>
          </w:tcPr>
          <w:p w14:paraId="5B5700EC">
            <w:pPr>
              <w:adjustRightInd w:val="0"/>
              <w:snapToGrid w:val="0"/>
              <w:jc w:val="center"/>
              <w:rPr>
                <w:color w:val="auto"/>
                <w:sz w:val="24"/>
              </w:rPr>
            </w:pPr>
            <w:r>
              <w:rPr>
                <w:color w:val="auto"/>
                <w:sz w:val="24"/>
              </w:rPr>
              <w:t>生活污水</w:t>
            </w:r>
          </w:p>
        </w:tc>
        <w:tc>
          <w:tcPr>
            <w:tcW w:w="1460" w:type="dxa"/>
            <w:vAlign w:val="center"/>
          </w:tcPr>
          <w:p w14:paraId="3C8631B9">
            <w:pPr>
              <w:adjustRightInd w:val="0"/>
              <w:snapToGrid w:val="0"/>
              <w:jc w:val="center"/>
              <w:rPr>
                <w:color w:val="auto"/>
                <w:sz w:val="24"/>
              </w:rPr>
            </w:pPr>
            <w:r>
              <w:rPr>
                <w:color w:val="auto"/>
                <w:sz w:val="24"/>
              </w:rPr>
              <w:t>COD、氨氮、BOD</w:t>
            </w:r>
            <w:r>
              <w:rPr>
                <w:color w:val="auto"/>
                <w:sz w:val="24"/>
                <w:vertAlign w:val="subscript"/>
              </w:rPr>
              <w:t>5</w:t>
            </w:r>
            <w:r>
              <w:rPr>
                <w:color w:val="auto"/>
                <w:sz w:val="24"/>
              </w:rPr>
              <w:t>、SS、pH</w:t>
            </w:r>
          </w:p>
        </w:tc>
        <w:tc>
          <w:tcPr>
            <w:tcW w:w="3260" w:type="dxa"/>
            <w:vAlign w:val="center"/>
          </w:tcPr>
          <w:p w14:paraId="2F929AB3">
            <w:pPr>
              <w:contextualSpacing/>
              <w:jc w:val="center"/>
              <w:rPr>
                <w:bCs/>
                <w:color w:val="auto"/>
                <w:sz w:val="24"/>
              </w:rPr>
            </w:pPr>
            <w:r>
              <w:rPr>
                <w:bCs/>
                <w:color w:val="auto"/>
                <w:sz w:val="24"/>
              </w:rPr>
              <w:t>生活污水排入防渗旱厕，定期清掏，外运堆肥，不外排</w:t>
            </w:r>
          </w:p>
        </w:tc>
        <w:tc>
          <w:tcPr>
            <w:tcW w:w="2509" w:type="dxa"/>
            <w:vAlign w:val="center"/>
          </w:tcPr>
          <w:p w14:paraId="4871E2DF">
            <w:pPr>
              <w:adjustRightInd w:val="0"/>
              <w:snapToGrid w:val="0"/>
              <w:jc w:val="center"/>
              <w:rPr>
                <w:bCs/>
                <w:color w:val="auto"/>
                <w:sz w:val="24"/>
              </w:rPr>
            </w:pPr>
            <w:r>
              <w:rPr>
                <w:bCs/>
                <w:color w:val="auto"/>
                <w:sz w:val="24"/>
              </w:rPr>
              <w:t>/</w:t>
            </w:r>
          </w:p>
        </w:tc>
      </w:tr>
      <w:tr w14:paraId="2B5B36E0">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994" w:type="dxa"/>
            <w:vMerge w:val="continue"/>
            <w:vAlign w:val="center"/>
          </w:tcPr>
          <w:p w14:paraId="24A994B6">
            <w:pPr>
              <w:adjustRightInd w:val="0"/>
              <w:snapToGrid w:val="0"/>
              <w:jc w:val="center"/>
              <w:rPr>
                <w:color w:val="auto"/>
                <w:sz w:val="24"/>
              </w:rPr>
            </w:pPr>
          </w:p>
        </w:tc>
        <w:tc>
          <w:tcPr>
            <w:tcW w:w="1560" w:type="dxa"/>
            <w:vAlign w:val="center"/>
          </w:tcPr>
          <w:p w14:paraId="4998BD92">
            <w:pPr>
              <w:adjustRightInd w:val="0"/>
              <w:snapToGrid w:val="0"/>
              <w:jc w:val="center"/>
              <w:rPr>
                <w:color w:val="auto"/>
                <w:sz w:val="24"/>
              </w:rPr>
            </w:pPr>
            <w:r>
              <w:rPr>
                <w:color w:val="auto"/>
                <w:sz w:val="24"/>
              </w:rPr>
              <w:t>初期雨水</w:t>
            </w:r>
          </w:p>
        </w:tc>
        <w:tc>
          <w:tcPr>
            <w:tcW w:w="1460" w:type="dxa"/>
            <w:vAlign w:val="center"/>
          </w:tcPr>
          <w:p w14:paraId="5F8A7E57">
            <w:pPr>
              <w:adjustRightInd w:val="0"/>
              <w:snapToGrid w:val="0"/>
              <w:jc w:val="center"/>
              <w:rPr>
                <w:color w:val="auto"/>
                <w:sz w:val="24"/>
              </w:rPr>
            </w:pPr>
            <w:r>
              <w:rPr>
                <w:color w:val="auto"/>
                <w:sz w:val="24"/>
              </w:rPr>
              <w:t>SS、石油类</w:t>
            </w:r>
          </w:p>
        </w:tc>
        <w:tc>
          <w:tcPr>
            <w:tcW w:w="3260" w:type="dxa"/>
            <w:vAlign w:val="center"/>
          </w:tcPr>
          <w:p w14:paraId="57152FB2">
            <w:pPr>
              <w:contextualSpacing/>
              <w:jc w:val="center"/>
              <w:rPr>
                <w:bCs/>
                <w:color w:val="auto"/>
                <w:sz w:val="24"/>
              </w:rPr>
            </w:pPr>
            <w:r>
              <w:rPr>
                <w:color w:val="auto"/>
                <w:sz w:val="24"/>
              </w:rPr>
              <w:t>初期雨水经厂区四周排水沟汇入厂区初期雨水池隔油沉淀后，用于</w:t>
            </w:r>
            <w:r>
              <w:rPr>
                <w:rFonts w:hint="eastAsia"/>
                <w:color w:val="auto"/>
                <w:sz w:val="24"/>
              </w:rPr>
              <w:t>洒水</w:t>
            </w:r>
            <w:r>
              <w:rPr>
                <w:color w:val="auto"/>
                <w:sz w:val="24"/>
              </w:rPr>
              <w:t>降尘</w:t>
            </w:r>
            <w:r>
              <w:rPr>
                <w:rFonts w:hint="eastAsia"/>
                <w:color w:val="auto"/>
                <w:sz w:val="24"/>
              </w:rPr>
              <w:t>，不外排</w:t>
            </w:r>
            <w:r>
              <w:rPr>
                <w:color w:val="auto"/>
                <w:sz w:val="24"/>
              </w:rPr>
              <w:t>。</w:t>
            </w:r>
          </w:p>
        </w:tc>
        <w:tc>
          <w:tcPr>
            <w:tcW w:w="2509" w:type="dxa"/>
            <w:vAlign w:val="center"/>
          </w:tcPr>
          <w:p w14:paraId="0F99A0DD">
            <w:pPr>
              <w:adjustRightInd w:val="0"/>
              <w:snapToGrid w:val="0"/>
              <w:jc w:val="center"/>
              <w:rPr>
                <w:bCs/>
                <w:color w:val="auto"/>
                <w:sz w:val="24"/>
              </w:rPr>
            </w:pPr>
            <w:r>
              <w:rPr>
                <w:bCs/>
                <w:color w:val="auto"/>
                <w:sz w:val="24"/>
              </w:rPr>
              <w:t>/</w:t>
            </w:r>
          </w:p>
        </w:tc>
      </w:tr>
      <w:tr w14:paraId="605ABACE">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4" w:type="dxa"/>
            <w:vAlign w:val="center"/>
          </w:tcPr>
          <w:p w14:paraId="5049A876">
            <w:pPr>
              <w:adjustRightInd w:val="0"/>
              <w:snapToGrid w:val="0"/>
              <w:jc w:val="center"/>
              <w:rPr>
                <w:color w:val="auto"/>
                <w:sz w:val="24"/>
              </w:rPr>
            </w:pPr>
            <w:r>
              <w:rPr>
                <w:color w:val="auto"/>
                <w:sz w:val="24"/>
              </w:rPr>
              <w:t>声环境</w:t>
            </w:r>
          </w:p>
        </w:tc>
        <w:tc>
          <w:tcPr>
            <w:tcW w:w="1560" w:type="dxa"/>
            <w:vAlign w:val="center"/>
          </w:tcPr>
          <w:p w14:paraId="4DE3EF28">
            <w:pPr>
              <w:adjustRightInd w:val="0"/>
              <w:snapToGrid w:val="0"/>
              <w:jc w:val="center"/>
              <w:rPr>
                <w:color w:val="auto"/>
                <w:sz w:val="24"/>
              </w:rPr>
            </w:pPr>
            <w:r>
              <w:rPr>
                <w:color w:val="auto"/>
                <w:sz w:val="24"/>
              </w:rPr>
              <w:t>设备噪声</w:t>
            </w:r>
          </w:p>
        </w:tc>
        <w:tc>
          <w:tcPr>
            <w:tcW w:w="1460" w:type="dxa"/>
            <w:vAlign w:val="center"/>
          </w:tcPr>
          <w:p w14:paraId="1B96E854">
            <w:pPr>
              <w:adjustRightInd w:val="0"/>
              <w:snapToGrid w:val="0"/>
              <w:jc w:val="center"/>
              <w:rPr>
                <w:color w:val="auto"/>
                <w:sz w:val="24"/>
              </w:rPr>
            </w:pPr>
            <w:r>
              <w:rPr>
                <w:color w:val="auto"/>
                <w:sz w:val="24"/>
              </w:rPr>
              <w:t>噪声</w:t>
            </w:r>
          </w:p>
        </w:tc>
        <w:tc>
          <w:tcPr>
            <w:tcW w:w="3260" w:type="dxa"/>
            <w:vAlign w:val="center"/>
          </w:tcPr>
          <w:p w14:paraId="7B549DE5">
            <w:pPr>
              <w:adjustRightInd w:val="0"/>
              <w:snapToGrid w:val="0"/>
              <w:jc w:val="center"/>
              <w:rPr>
                <w:color w:val="auto"/>
                <w:sz w:val="24"/>
              </w:rPr>
            </w:pPr>
            <w:r>
              <w:rPr>
                <w:rFonts w:hint="eastAsia"/>
                <w:color w:val="auto"/>
                <w:sz w:val="24"/>
              </w:rPr>
              <w:t>基础减振设施，调整平面布置，高噪声设备远离厂界，选用低噪声设备，限速行驶、禁止鸣笛</w:t>
            </w:r>
          </w:p>
        </w:tc>
        <w:tc>
          <w:tcPr>
            <w:tcW w:w="2509" w:type="dxa"/>
            <w:vAlign w:val="center"/>
          </w:tcPr>
          <w:p w14:paraId="37B1D6AB">
            <w:pPr>
              <w:adjustRightInd w:val="0"/>
              <w:snapToGrid w:val="0"/>
              <w:jc w:val="center"/>
              <w:rPr>
                <w:color w:val="auto"/>
                <w:sz w:val="24"/>
              </w:rPr>
            </w:pPr>
            <w:r>
              <w:rPr>
                <w:bCs/>
                <w:color w:val="auto"/>
                <w:sz w:val="24"/>
              </w:rPr>
              <w:t>厂界噪声满足《工业企业厂界环境噪声排放标准》（GB12348-2008）中</w:t>
            </w:r>
            <w:r>
              <w:rPr>
                <w:rFonts w:hint="eastAsia"/>
                <w:bCs/>
                <w:color w:val="auto"/>
                <w:sz w:val="24"/>
              </w:rPr>
              <w:t>2</w:t>
            </w:r>
            <w:r>
              <w:rPr>
                <w:bCs/>
                <w:color w:val="auto"/>
                <w:sz w:val="24"/>
              </w:rPr>
              <w:t>类标准；</w:t>
            </w:r>
            <w:r>
              <w:rPr>
                <w:color w:val="auto"/>
                <w:sz w:val="24"/>
              </w:rPr>
              <w:t xml:space="preserve"> </w:t>
            </w:r>
          </w:p>
        </w:tc>
      </w:tr>
      <w:tr w14:paraId="2F45113D">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994" w:type="dxa"/>
            <w:vMerge w:val="restart"/>
            <w:vAlign w:val="center"/>
          </w:tcPr>
          <w:p w14:paraId="29D8DDBE">
            <w:pPr>
              <w:adjustRightInd w:val="0"/>
              <w:snapToGrid w:val="0"/>
              <w:jc w:val="center"/>
              <w:rPr>
                <w:color w:val="auto"/>
                <w:sz w:val="24"/>
              </w:rPr>
            </w:pPr>
            <w:r>
              <w:rPr>
                <w:color w:val="auto"/>
                <w:sz w:val="24"/>
              </w:rPr>
              <w:t>固体废物</w:t>
            </w:r>
          </w:p>
        </w:tc>
        <w:tc>
          <w:tcPr>
            <w:tcW w:w="1560" w:type="dxa"/>
            <w:vAlign w:val="center"/>
          </w:tcPr>
          <w:p w14:paraId="100858C6">
            <w:pPr>
              <w:adjustRightInd w:val="0"/>
              <w:snapToGrid w:val="0"/>
              <w:jc w:val="center"/>
              <w:rPr>
                <w:color w:val="auto"/>
                <w:sz w:val="24"/>
              </w:rPr>
            </w:pPr>
            <w:r>
              <w:rPr>
                <w:color w:val="auto"/>
                <w:sz w:val="24"/>
              </w:rPr>
              <w:t>生活</w:t>
            </w:r>
          </w:p>
        </w:tc>
        <w:tc>
          <w:tcPr>
            <w:tcW w:w="1460" w:type="dxa"/>
            <w:vAlign w:val="center"/>
          </w:tcPr>
          <w:p w14:paraId="2E05F689">
            <w:pPr>
              <w:adjustRightInd w:val="0"/>
              <w:snapToGrid w:val="0"/>
              <w:jc w:val="center"/>
              <w:rPr>
                <w:color w:val="auto"/>
                <w:sz w:val="24"/>
              </w:rPr>
            </w:pPr>
            <w:r>
              <w:rPr>
                <w:color w:val="auto"/>
                <w:sz w:val="24"/>
              </w:rPr>
              <w:t>生活垃圾</w:t>
            </w:r>
            <w:r>
              <w:rPr>
                <w:rFonts w:hint="eastAsia"/>
                <w:color w:val="auto"/>
                <w:sz w:val="24"/>
              </w:rPr>
              <w:t>（SW64代码900-099-S64）</w:t>
            </w:r>
          </w:p>
        </w:tc>
        <w:tc>
          <w:tcPr>
            <w:tcW w:w="5769" w:type="dxa"/>
            <w:gridSpan w:val="2"/>
            <w:vAlign w:val="center"/>
          </w:tcPr>
          <w:p w14:paraId="4A67E8B5">
            <w:pPr>
              <w:adjustRightInd w:val="0"/>
              <w:snapToGrid w:val="0"/>
              <w:jc w:val="center"/>
              <w:rPr>
                <w:bCs/>
                <w:color w:val="auto"/>
                <w:sz w:val="24"/>
              </w:rPr>
            </w:pPr>
            <w:r>
              <w:rPr>
                <w:color w:val="auto"/>
                <w:sz w:val="24"/>
              </w:rPr>
              <w:t>由市政环卫部门处理</w:t>
            </w:r>
          </w:p>
        </w:tc>
      </w:tr>
      <w:tr w14:paraId="47635CDF">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994" w:type="dxa"/>
            <w:vMerge w:val="continue"/>
            <w:vAlign w:val="center"/>
          </w:tcPr>
          <w:p w14:paraId="4E8FF2AE">
            <w:pPr>
              <w:adjustRightInd w:val="0"/>
              <w:snapToGrid w:val="0"/>
              <w:jc w:val="center"/>
              <w:rPr>
                <w:color w:val="auto"/>
                <w:sz w:val="24"/>
              </w:rPr>
            </w:pPr>
          </w:p>
        </w:tc>
        <w:tc>
          <w:tcPr>
            <w:tcW w:w="1560" w:type="dxa"/>
            <w:vMerge w:val="restart"/>
            <w:vAlign w:val="center"/>
          </w:tcPr>
          <w:p w14:paraId="15B80AFC">
            <w:pPr>
              <w:adjustRightInd w:val="0"/>
              <w:snapToGrid w:val="0"/>
              <w:jc w:val="center"/>
              <w:rPr>
                <w:color w:val="auto"/>
                <w:sz w:val="24"/>
              </w:rPr>
            </w:pPr>
            <w:r>
              <w:rPr>
                <w:rFonts w:hint="eastAsia"/>
                <w:color w:val="auto"/>
                <w:sz w:val="24"/>
              </w:rPr>
              <w:t>除尘系统</w:t>
            </w:r>
          </w:p>
        </w:tc>
        <w:tc>
          <w:tcPr>
            <w:tcW w:w="1460" w:type="dxa"/>
            <w:vAlign w:val="center"/>
          </w:tcPr>
          <w:p w14:paraId="2F290333">
            <w:pPr>
              <w:spacing w:line="0" w:lineRule="atLeast"/>
              <w:contextualSpacing/>
              <w:jc w:val="center"/>
              <w:rPr>
                <w:rFonts w:eastAsiaTheme="minorEastAsia"/>
                <w:color w:val="auto"/>
                <w:sz w:val="24"/>
              </w:rPr>
            </w:pPr>
            <w:r>
              <w:rPr>
                <w:rFonts w:eastAsiaTheme="minorEastAsia"/>
                <w:color w:val="auto"/>
                <w:sz w:val="24"/>
              </w:rPr>
              <w:t>除尘器收集的粉尘</w:t>
            </w:r>
            <w:r>
              <w:rPr>
                <w:rFonts w:hint="eastAsia"/>
                <w:color w:val="auto"/>
                <w:sz w:val="24"/>
              </w:rPr>
              <w:t>（SW59代码900-099-S59）</w:t>
            </w:r>
          </w:p>
        </w:tc>
        <w:tc>
          <w:tcPr>
            <w:tcW w:w="5769" w:type="dxa"/>
            <w:gridSpan w:val="2"/>
            <w:vAlign w:val="center"/>
          </w:tcPr>
          <w:p w14:paraId="30346063">
            <w:pPr>
              <w:adjustRightInd w:val="0"/>
              <w:snapToGrid w:val="0"/>
              <w:jc w:val="center"/>
              <w:rPr>
                <w:color w:val="auto"/>
                <w:sz w:val="24"/>
              </w:rPr>
            </w:pPr>
            <w:r>
              <w:rPr>
                <w:color w:val="auto"/>
                <w:sz w:val="24"/>
              </w:rPr>
              <w:t>集中收集，回用生产</w:t>
            </w:r>
          </w:p>
        </w:tc>
      </w:tr>
      <w:tr w14:paraId="73091C46">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994" w:type="dxa"/>
            <w:vMerge w:val="continue"/>
            <w:vAlign w:val="center"/>
          </w:tcPr>
          <w:p w14:paraId="04BE2D57">
            <w:pPr>
              <w:adjustRightInd w:val="0"/>
              <w:snapToGrid w:val="0"/>
              <w:jc w:val="center"/>
              <w:rPr>
                <w:color w:val="auto"/>
                <w:sz w:val="24"/>
              </w:rPr>
            </w:pPr>
          </w:p>
        </w:tc>
        <w:tc>
          <w:tcPr>
            <w:tcW w:w="1560" w:type="dxa"/>
            <w:vMerge w:val="continue"/>
            <w:vAlign w:val="center"/>
          </w:tcPr>
          <w:p w14:paraId="1F6993EF">
            <w:pPr>
              <w:adjustRightInd w:val="0"/>
              <w:snapToGrid w:val="0"/>
              <w:jc w:val="center"/>
              <w:rPr>
                <w:color w:val="auto"/>
                <w:sz w:val="24"/>
              </w:rPr>
            </w:pPr>
          </w:p>
        </w:tc>
        <w:tc>
          <w:tcPr>
            <w:tcW w:w="1460" w:type="dxa"/>
            <w:vAlign w:val="center"/>
          </w:tcPr>
          <w:p w14:paraId="31F22B4C">
            <w:pPr>
              <w:spacing w:line="0" w:lineRule="atLeast"/>
              <w:jc w:val="center"/>
              <w:rPr>
                <w:rFonts w:eastAsiaTheme="minorEastAsia"/>
                <w:color w:val="auto"/>
                <w:sz w:val="24"/>
              </w:rPr>
            </w:pPr>
            <w:r>
              <w:rPr>
                <w:rFonts w:eastAsiaTheme="minorEastAsia"/>
                <w:color w:val="auto"/>
                <w:sz w:val="24"/>
              </w:rPr>
              <w:t>废布袋</w:t>
            </w:r>
            <w:r>
              <w:rPr>
                <w:rFonts w:hint="eastAsia"/>
                <w:color w:val="auto"/>
                <w:sz w:val="24"/>
              </w:rPr>
              <w:t>（SW59代码900-009-S59）</w:t>
            </w:r>
          </w:p>
        </w:tc>
        <w:tc>
          <w:tcPr>
            <w:tcW w:w="5769" w:type="dxa"/>
            <w:gridSpan w:val="2"/>
            <w:vAlign w:val="center"/>
          </w:tcPr>
          <w:p w14:paraId="70852C0F">
            <w:pPr>
              <w:adjustRightInd w:val="0"/>
              <w:snapToGrid w:val="0"/>
              <w:jc w:val="center"/>
              <w:rPr>
                <w:color w:val="auto"/>
                <w:sz w:val="24"/>
              </w:rPr>
            </w:pPr>
            <w:r>
              <w:rPr>
                <w:color w:val="auto"/>
                <w:sz w:val="24"/>
              </w:rPr>
              <w:t>由市政环卫部门处理</w:t>
            </w:r>
          </w:p>
        </w:tc>
      </w:tr>
      <w:tr w14:paraId="2EC42D38">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994" w:type="dxa"/>
            <w:vMerge w:val="continue"/>
            <w:vAlign w:val="center"/>
          </w:tcPr>
          <w:p w14:paraId="0115E7AF">
            <w:pPr>
              <w:adjustRightInd w:val="0"/>
              <w:snapToGrid w:val="0"/>
              <w:jc w:val="center"/>
              <w:rPr>
                <w:color w:val="auto"/>
                <w:sz w:val="24"/>
              </w:rPr>
            </w:pPr>
          </w:p>
        </w:tc>
        <w:tc>
          <w:tcPr>
            <w:tcW w:w="1560" w:type="dxa"/>
            <w:vAlign w:val="center"/>
          </w:tcPr>
          <w:p w14:paraId="7B1F9205">
            <w:pPr>
              <w:adjustRightInd w:val="0"/>
              <w:snapToGrid w:val="0"/>
              <w:jc w:val="center"/>
              <w:rPr>
                <w:color w:val="auto"/>
                <w:sz w:val="24"/>
              </w:rPr>
            </w:pPr>
            <w:r>
              <w:rPr>
                <w:color w:val="auto"/>
                <w:sz w:val="24"/>
              </w:rPr>
              <w:t>实验室</w:t>
            </w:r>
          </w:p>
        </w:tc>
        <w:tc>
          <w:tcPr>
            <w:tcW w:w="1460" w:type="dxa"/>
            <w:vAlign w:val="center"/>
          </w:tcPr>
          <w:p w14:paraId="40FAE58D">
            <w:pPr>
              <w:spacing w:line="0" w:lineRule="atLeast"/>
              <w:jc w:val="center"/>
              <w:rPr>
                <w:rFonts w:eastAsiaTheme="minorEastAsia"/>
                <w:color w:val="auto"/>
                <w:sz w:val="24"/>
              </w:rPr>
            </w:pPr>
            <w:r>
              <w:rPr>
                <w:rFonts w:eastAsiaTheme="minorEastAsia"/>
                <w:color w:val="auto"/>
                <w:sz w:val="24"/>
              </w:rPr>
              <w:t>实验室弃块</w:t>
            </w:r>
            <w:r>
              <w:rPr>
                <w:rFonts w:hint="eastAsia" w:eastAsiaTheme="minorEastAsia"/>
                <w:color w:val="auto"/>
                <w:sz w:val="24"/>
              </w:rPr>
              <w:t>（SW92代码900-001-S92）</w:t>
            </w:r>
          </w:p>
        </w:tc>
        <w:tc>
          <w:tcPr>
            <w:tcW w:w="5769" w:type="dxa"/>
            <w:gridSpan w:val="2"/>
            <w:vAlign w:val="center"/>
          </w:tcPr>
          <w:p w14:paraId="442DAFFD">
            <w:pPr>
              <w:adjustRightInd w:val="0"/>
              <w:snapToGrid w:val="0"/>
              <w:jc w:val="center"/>
              <w:rPr>
                <w:color w:val="auto"/>
                <w:sz w:val="24"/>
              </w:rPr>
            </w:pPr>
            <w:r>
              <w:rPr>
                <w:color w:val="auto"/>
                <w:sz w:val="24"/>
              </w:rPr>
              <w:t>外运作为铺路材料</w:t>
            </w:r>
          </w:p>
        </w:tc>
      </w:tr>
      <w:tr w14:paraId="1582D95A">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994" w:type="dxa"/>
            <w:vMerge w:val="continue"/>
            <w:vAlign w:val="center"/>
          </w:tcPr>
          <w:p w14:paraId="1AD95B1A">
            <w:pPr>
              <w:adjustRightInd w:val="0"/>
              <w:snapToGrid w:val="0"/>
              <w:jc w:val="center"/>
              <w:rPr>
                <w:color w:val="auto"/>
                <w:sz w:val="24"/>
              </w:rPr>
            </w:pPr>
          </w:p>
        </w:tc>
        <w:tc>
          <w:tcPr>
            <w:tcW w:w="1560" w:type="dxa"/>
            <w:vAlign w:val="center"/>
          </w:tcPr>
          <w:p w14:paraId="1F0B77CE">
            <w:pPr>
              <w:adjustRightInd w:val="0"/>
              <w:snapToGrid w:val="0"/>
              <w:jc w:val="center"/>
              <w:rPr>
                <w:color w:val="auto"/>
                <w:sz w:val="24"/>
              </w:rPr>
            </w:pPr>
            <w:r>
              <w:rPr>
                <w:rFonts w:hint="eastAsia"/>
                <w:color w:val="auto"/>
                <w:sz w:val="24"/>
              </w:rPr>
              <w:t>气浮旋流塔+三维一体化废气处理设备</w:t>
            </w:r>
          </w:p>
        </w:tc>
        <w:tc>
          <w:tcPr>
            <w:tcW w:w="1460" w:type="dxa"/>
            <w:vAlign w:val="center"/>
          </w:tcPr>
          <w:p w14:paraId="2E65795D">
            <w:pPr>
              <w:spacing w:line="0" w:lineRule="atLeast"/>
              <w:contextualSpacing/>
              <w:jc w:val="center"/>
              <w:rPr>
                <w:rFonts w:eastAsiaTheme="minorEastAsia"/>
                <w:color w:val="auto"/>
                <w:sz w:val="24"/>
              </w:rPr>
            </w:pPr>
            <w:r>
              <w:rPr>
                <w:rFonts w:eastAsiaTheme="minorEastAsia"/>
                <w:bCs/>
                <w:color w:val="auto"/>
                <w:sz w:val="24"/>
              </w:rPr>
              <w:t>废活性炭（类别：HW49，代码：900-0</w:t>
            </w:r>
            <w:r>
              <w:rPr>
                <w:rFonts w:hint="eastAsia" w:eastAsiaTheme="minorEastAsia"/>
                <w:bCs/>
                <w:color w:val="auto"/>
                <w:sz w:val="24"/>
              </w:rPr>
              <w:t>39</w:t>
            </w:r>
            <w:r>
              <w:rPr>
                <w:rFonts w:eastAsiaTheme="minorEastAsia"/>
                <w:bCs/>
                <w:color w:val="auto"/>
                <w:sz w:val="24"/>
              </w:rPr>
              <w:t>-49）</w:t>
            </w:r>
          </w:p>
        </w:tc>
        <w:tc>
          <w:tcPr>
            <w:tcW w:w="5769" w:type="dxa"/>
            <w:gridSpan w:val="2"/>
            <w:vMerge w:val="restart"/>
            <w:vAlign w:val="center"/>
          </w:tcPr>
          <w:p w14:paraId="4C2F951A">
            <w:pPr>
              <w:adjustRightInd w:val="0"/>
              <w:snapToGrid w:val="0"/>
              <w:jc w:val="center"/>
              <w:rPr>
                <w:color w:val="auto"/>
                <w:sz w:val="24"/>
              </w:rPr>
            </w:pPr>
            <w:r>
              <w:rPr>
                <w:color w:val="auto"/>
                <w:sz w:val="24"/>
              </w:rPr>
              <w:t>集中收集就暂存于危废</w:t>
            </w:r>
            <w:r>
              <w:rPr>
                <w:rFonts w:hint="eastAsia"/>
                <w:color w:val="auto"/>
                <w:sz w:val="24"/>
              </w:rPr>
              <w:t>贮存</w:t>
            </w:r>
            <w:r>
              <w:rPr>
                <w:rFonts w:hint="eastAsia"/>
                <w:color w:val="auto"/>
                <w:kern w:val="0"/>
                <w:sz w:val="24"/>
                <w:lang w:val="en-US" w:eastAsia="zh-CN"/>
              </w:rPr>
              <w:t>点</w:t>
            </w:r>
            <w:r>
              <w:rPr>
                <w:color w:val="auto"/>
                <w:sz w:val="24"/>
              </w:rPr>
              <w:t>，交有资质单位处置</w:t>
            </w:r>
          </w:p>
        </w:tc>
      </w:tr>
      <w:tr w14:paraId="78F245C7">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94" w:type="dxa"/>
            <w:vMerge w:val="continue"/>
            <w:vAlign w:val="center"/>
          </w:tcPr>
          <w:p w14:paraId="2FBF540D">
            <w:pPr>
              <w:adjustRightInd w:val="0"/>
              <w:snapToGrid w:val="0"/>
              <w:jc w:val="center"/>
              <w:rPr>
                <w:color w:val="auto"/>
                <w:sz w:val="24"/>
              </w:rPr>
            </w:pPr>
          </w:p>
        </w:tc>
        <w:tc>
          <w:tcPr>
            <w:tcW w:w="1560" w:type="dxa"/>
            <w:vMerge w:val="restart"/>
            <w:vAlign w:val="center"/>
          </w:tcPr>
          <w:p w14:paraId="1B264E42">
            <w:pPr>
              <w:adjustRightInd w:val="0"/>
              <w:snapToGrid w:val="0"/>
              <w:jc w:val="center"/>
              <w:rPr>
                <w:color w:val="auto"/>
                <w:sz w:val="24"/>
              </w:rPr>
            </w:pPr>
            <w:r>
              <w:rPr>
                <w:color w:val="auto"/>
                <w:sz w:val="24"/>
              </w:rPr>
              <w:t>导热油炉</w:t>
            </w:r>
          </w:p>
        </w:tc>
        <w:tc>
          <w:tcPr>
            <w:tcW w:w="1460" w:type="dxa"/>
            <w:vAlign w:val="center"/>
          </w:tcPr>
          <w:p w14:paraId="004B39BA">
            <w:pPr>
              <w:spacing w:line="0" w:lineRule="atLeast"/>
              <w:contextualSpacing/>
              <w:jc w:val="center"/>
              <w:rPr>
                <w:rFonts w:eastAsiaTheme="minorEastAsia"/>
                <w:bCs/>
                <w:color w:val="auto"/>
                <w:sz w:val="24"/>
              </w:rPr>
            </w:pPr>
            <w:r>
              <w:rPr>
                <w:rFonts w:eastAsiaTheme="minorEastAsia"/>
                <w:color w:val="auto"/>
                <w:sz w:val="24"/>
              </w:rPr>
              <w:t>废</w:t>
            </w:r>
            <w:r>
              <w:rPr>
                <w:rFonts w:hint="eastAsia" w:eastAsiaTheme="minorEastAsia"/>
                <w:color w:val="auto"/>
                <w:sz w:val="24"/>
              </w:rPr>
              <w:t>导热油</w:t>
            </w:r>
            <w:r>
              <w:rPr>
                <w:rFonts w:eastAsiaTheme="minorEastAsia"/>
                <w:color w:val="auto"/>
                <w:sz w:val="24"/>
              </w:rPr>
              <w:t>（类别</w:t>
            </w:r>
            <w:r>
              <w:rPr>
                <w:rFonts w:eastAsiaTheme="minorEastAsia"/>
                <w:bCs/>
                <w:color w:val="auto"/>
                <w:sz w:val="24"/>
              </w:rPr>
              <w:t>HW08，代码：900-249-08</w:t>
            </w:r>
            <w:r>
              <w:rPr>
                <w:rFonts w:eastAsiaTheme="minorEastAsia"/>
                <w:color w:val="auto"/>
                <w:sz w:val="24"/>
              </w:rPr>
              <w:t>）</w:t>
            </w:r>
          </w:p>
        </w:tc>
        <w:tc>
          <w:tcPr>
            <w:tcW w:w="5769" w:type="dxa"/>
            <w:gridSpan w:val="2"/>
            <w:vMerge w:val="continue"/>
            <w:vAlign w:val="center"/>
          </w:tcPr>
          <w:p w14:paraId="5B2AA24A">
            <w:pPr>
              <w:adjustRightInd w:val="0"/>
              <w:snapToGrid w:val="0"/>
              <w:jc w:val="center"/>
              <w:rPr>
                <w:color w:val="auto"/>
                <w:sz w:val="24"/>
              </w:rPr>
            </w:pPr>
          </w:p>
        </w:tc>
      </w:tr>
      <w:tr w14:paraId="5E03D3D4">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994" w:type="dxa"/>
            <w:vMerge w:val="continue"/>
            <w:vAlign w:val="center"/>
          </w:tcPr>
          <w:p w14:paraId="0ECE9797">
            <w:pPr>
              <w:adjustRightInd w:val="0"/>
              <w:snapToGrid w:val="0"/>
              <w:jc w:val="center"/>
              <w:rPr>
                <w:color w:val="auto"/>
                <w:sz w:val="24"/>
              </w:rPr>
            </w:pPr>
          </w:p>
        </w:tc>
        <w:tc>
          <w:tcPr>
            <w:tcW w:w="1560" w:type="dxa"/>
            <w:vMerge w:val="continue"/>
            <w:vAlign w:val="center"/>
          </w:tcPr>
          <w:p w14:paraId="53852ACA">
            <w:pPr>
              <w:adjustRightInd w:val="0"/>
              <w:snapToGrid w:val="0"/>
              <w:jc w:val="center"/>
              <w:rPr>
                <w:color w:val="auto"/>
                <w:sz w:val="24"/>
              </w:rPr>
            </w:pPr>
          </w:p>
        </w:tc>
        <w:tc>
          <w:tcPr>
            <w:tcW w:w="1460" w:type="dxa"/>
            <w:vAlign w:val="center"/>
          </w:tcPr>
          <w:p w14:paraId="5CFFFF30">
            <w:pPr>
              <w:spacing w:line="0" w:lineRule="atLeast"/>
              <w:contextualSpacing/>
              <w:jc w:val="center"/>
              <w:rPr>
                <w:rFonts w:eastAsiaTheme="minorEastAsia"/>
                <w:color w:val="auto"/>
                <w:sz w:val="24"/>
              </w:rPr>
            </w:pPr>
            <w:r>
              <w:rPr>
                <w:rFonts w:eastAsiaTheme="minorEastAsia"/>
                <w:bCs/>
                <w:color w:val="auto"/>
                <w:sz w:val="24"/>
              </w:rPr>
              <w:t>废</w:t>
            </w:r>
            <w:r>
              <w:rPr>
                <w:rFonts w:hint="eastAsia" w:eastAsiaTheme="minorEastAsia"/>
                <w:bCs/>
                <w:color w:val="auto"/>
                <w:sz w:val="24"/>
              </w:rPr>
              <w:t>油桶</w:t>
            </w:r>
            <w:r>
              <w:rPr>
                <w:rFonts w:eastAsiaTheme="minorEastAsia"/>
                <w:bCs/>
                <w:color w:val="auto"/>
                <w:sz w:val="24"/>
              </w:rPr>
              <w:t>（类别：HW</w:t>
            </w:r>
            <w:r>
              <w:rPr>
                <w:rFonts w:hint="eastAsia" w:eastAsiaTheme="minorEastAsia"/>
                <w:bCs/>
                <w:color w:val="auto"/>
                <w:sz w:val="24"/>
              </w:rPr>
              <w:t>08</w:t>
            </w:r>
            <w:r>
              <w:rPr>
                <w:rFonts w:eastAsiaTheme="minorEastAsia"/>
                <w:bCs/>
                <w:color w:val="auto"/>
                <w:sz w:val="24"/>
              </w:rPr>
              <w:t>，代码：900-</w:t>
            </w:r>
            <w:r>
              <w:rPr>
                <w:rFonts w:hint="eastAsia" w:eastAsiaTheme="minorEastAsia"/>
                <w:bCs/>
                <w:color w:val="auto"/>
                <w:sz w:val="24"/>
              </w:rPr>
              <w:t>249</w:t>
            </w:r>
            <w:r>
              <w:rPr>
                <w:rFonts w:eastAsiaTheme="minorEastAsia"/>
                <w:bCs/>
                <w:color w:val="auto"/>
                <w:sz w:val="24"/>
              </w:rPr>
              <w:t>-</w:t>
            </w:r>
            <w:r>
              <w:rPr>
                <w:rFonts w:hint="eastAsia" w:eastAsiaTheme="minorEastAsia"/>
                <w:bCs/>
                <w:color w:val="auto"/>
                <w:sz w:val="24"/>
              </w:rPr>
              <w:t>08</w:t>
            </w:r>
            <w:r>
              <w:rPr>
                <w:rFonts w:eastAsiaTheme="minorEastAsia"/>
                <w:bCs/>
                <w:color w:val="auto"/>
                <w:sz w:val="24"/>
              </w:rPr>
              <w:t>）</w:t>
            </w:r>
          </w:p>
        </w:tc>
        <w:tc>
          <w:tcPr>
            <w:tcW w:w="5769" w:type="dxa"/>
            <w:gridSpan w:val="2"/>
            <w:vMerge w:val="continue"/>
            <w:vAlign w:val="center"/>
          </w:tcPr>
          <w:p w14:paraId="5678CAAF">
            <w:pPr>
              <w:adjustRightInd w:val="0"/>
              <w:snapToGrid w:val="0"/>
              <w:jc w:val="center"/>
              <w:rPr>
                <w:color w:val="auto"/>
                <w:sz w:val="24"/>
              </w:rPr>
            </w:pPr>
          </w:p>
        </w:tc>
      </w:tr>
      <w:tr w14:paraId="508062FD">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994" w:type="dxa"/>
            <w:vMerge w:val="continue"/>
            <w:vAlign w:val="center"/>
          </w:tcPr>
          <w:p w14:paraId="22B6551D">
            <w:pPr>
              <w:adjustRightInd w:val="0"/>
              <w:snapToGrid w:val="0"/>
              <w:jc w:val="center"/>
              <w:rPr>
                <w:color w:val="auto"/>
                <w:sz w:val="24"/>
              </w:rPr>
            </w:pPr>
          </w:p>
        </w:tc>
        <w:tc>
          <w:tcPr>
            <w:tcW w:w="1560" w:type="dxa"/>
            <w:vAlign w:val="center"/>
          </w:tcPr>
          <w:p w14:paraId="70EA3F41">
            <w:pPr>
              <w:adjustRightInd w:val="0"/>
              <w:snapToGrid w:val="0"/>
              <w:jc w:val="center"/>
              <w:rPr>
                <w:color w:val="auto"/>
                <w:sz w:val="24"/>
              </w:rPr>
            </w:pPr>
            <w:r>
              <w:rPr>
                <w:color w:val="auto"/>
                <w:sz w:val="24"/>
              </w:rPr>
              <w:t>初期雨水池</w:t>
            </w:r>
          </w:p>
        </w:tc>
        <w:tc>
          <w:tcPr>
            <w:tcW w:w="1460" w:type="dxa"/>
            <w:vAlign w:val="center"/>
          </w:tcPr>
          <w:p w14:paraId="10EE3C9C">
            <w:pPr>
              <w:spacing w:line="0" w:lineRule="atLeast"/>
              <w:contextualSpacing/>
              <w:jc w:val="center"/>
              <w:rPr>
                <w:rFonts w:eastAsiaTheme="minorEastAsia"/>
                <w:bCs/>
                <w:color w:val="auto"/>
                <w:sz w:val="24"/>
              </w:rPr>
            </w:pPr>
            <w:r>
              <w:rPr>
                <w:color w:val="auto"/>
                <w:sz w:val="24"/>
              </w:rPr>
              <w:t>初期雨水池油污</w:t>
            </w:r>
            <w:r>
              <w:rPr>
                <w:rFonts w:eastAsiaTheme="minorEastAsia"/>
                <w:bCs/>
                <w:color w:val="auto"/>
                <w:sz w:val="24"/>
              </w:rPr>
              <w:t>（类别：HW</w:t>
            </w:r>
            <w:r>
              <w:rPr>
                <w:rFonts w:hint="eastAsia" w:eastAsiaTheme="minorEastAsia"/>
                <w:bCs/>
                <w:color w:val="auto"/>
                <w:sz w:val="24"/>
              </w:rPr>
              <w:t>08</w:t>
            </w:r>
            <w:r>
              <w:rPr>
                <w:rFonts w:eastAsiaTheme="minorEastAsia"/>
                <w:bCs/>
                <w:color w:val="auto"/>
                <w:sz w:val="24"/>
              </w:rPr>
              <w:t>，代码：900-</w:t>
            </w:r>
            <w:r>
              <w:rPr>
                <w:rFonts w:hint="eastAsia" w:eastAsiaTheme="minorEastAsia"/>
                <w:bCs/>
                <w:color w:val="auto"/>
                <w:sz w:val="24"/>
              </w:rPr>
              <w:t>210</w:t>
            </w:r>
            <w:r>
              <w:rPr>
                <w:rFonts w:eastAsiaTheme="minorEastAsia"/>
                <w:bCs/>
                <w:color w:val="auto"/>
                <w:sz w:val="24"/>
              </w:rPr>
              <w:t>-</w:t>
            </w:r>
            <w:r>
              <w:rPr>
                <w:rFonts w:hint="eastAsia" w:eastAsiaTheme="minorEastAsia"/>
                <w:bCs/>
                <w:color w:val="auto"/>
                <w:sz w:val="24"/>
              </w:rPr>
              <w:t>08</w:t>
            </w:r>
            <w:r>
              <w:rPr>
                <w:rFonts w:eastAsiaTheme="minorEastAsia"/>
                <w:bCs/>
                <w:color w:val="auto"/>
                <w:sz w:val="24"/>
              </w:rPr>
              <w:t>）</w:t>
            </w:r>
          </w:p>
        </w:tc>
        <w:tc>
          <w:tcPr>
            <w:tcW w:w="5769" w:type="dxa"/>
            <w:gridSpan w:val="2"/>
            <w:vMerge w:val="continue"/>
            <w:vAlign w:val="center"/>
          </w:tcPr>
          <w:p w14:paraId="5E39545D">
            <w:pPr>
              <w:adjustRightInd w:val="0"/>
              <w:snapToGrid w:val="0"/>
              <w:jc w:val="center"/>
              <w:rPr>
                <w:color w:val="auto"/>
                <w:sz w:val="24"/>
              </w:rPr>
            </w:pPr>
          </w:p>
        </w:tc>
      </w:tr>
      <w:tr w14:paraId="020D3C6C">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94" w:type="dxa"/>
            <w:vAlign w:val="center"/>
          </w:tcPr>
          <w:p w14:paraId="2332D721">
            <w:pPr>
              <w:adjustRightInd w:val="0"/>
              <w:snapToGrid w:val="0"/>
              <w:jc w:val="center"/>
              <w:rPr>
                <w:color w:val="auto"/>
                <w:sz w:val="24"/>
              </w:rPr>
            </w:pPr>
            <w:r>
              <w:rPr>
                <w:color w:val="auto"/>
                <w:sz w:val="24"/>
              </w:rPr>
              <w:t>土壤及地下水污染防治措施</w:t>
            </w:r>
          </w:p>
        </w:tc>
        <w:tc>
          <w:tcPr>
            <w:tcW w:w="8789" w:type="dxa"/>
            <w:gridSpan w:val="4"/>
            <w:vAlign w:val="center"/>
          </w:tcPr>
          <w:p w14:paraId="397D2DFA">
            <w:pPr>
              <w:spacing w:line="360" w:lineRule="auto"/>
              <w:contextualSpacing/>
              <w:jc w:val="center"/>
              <w:rPr>
                <w:bCs/>
                <w:color w:val="auto"/>
                <w:sz w:val="24"/>
              </w:rPr>
            </w:pPr>
            <w:r>
              <w:rPr>
                <w:color w:val="auto"/>
                <w:kern w:val="0"/>
                <w:sz w:val="24"/>
              </w:rPr>
              <w:t>本项目无</w:t>
            </w:r>
            <w:r>
              <w:rPr>
                <w:color w:val="auto"/>
                <w:sz w:val="24"/>
              </w:rPr>
              <w:t>生产废水产生</w:t>
            </w:r>
            <w:r>
              <w:rPr>
                <w:color w:val="auto"/>
                <w:kern w:val="0"/>
                <w:sz w:val="24"/>
              </w:rPr>
              <w:t>，</w:t>
            </w:r>
            <w:r>
              <w:rPr>
                <w:color w:val="auto"/>
                <w:sz w:val="24"/>
              </w:rPr>
              <w:t>生活污水排入防渗旱厕，定期清掏，外运堆肥，不外排</w:t>
            </w:r>
            <w:r>
              <w:rPr>
                <w:color w:val="auto"/>
                <w:kern w:val="0"/>
                <w:sz w:val="24"/>
              </w:rPr>
              <w:t>；</w:t>
            </w:r>
            <w:r>
              <w:rPr>
                <w:rFonts w:eastAsiaTheme="minorEastAsia"/>
                <w:color w:val="auto"/>
                <w:sz w:val="24"/>
                <w:szCs w:val="20"/>
              </w:rPr>
              <w:t>本项目</w:t>
            </w:r>
            <w:r>
              <w:rPr>
                <w:color w:val="auto"/>
                <w:kern w:val="0"/>
                <w:sz w:val="24"/>
              </w:rPr>
              <w:t>沥青储罐位于地下，进行基础防渗。沥青储罐、</w:t>
            </w:r>
            <w:r>
              <w:rPr>
                <w:rFonts w:eastAsiaTheme="minorEastAsia"/>
                <w:color w:val="auto"/>
                <w:sz w:val="24"/>
                <w:szCs w:val="20"/>
              </w:rPr>
              <w:t>危废</w:t>
            </w:r>
            <w:r>
              <w:rPr>
                <w:rFonts w:hint="eastAsia" w:eastAsiaTheme="minorEastAsia"/>
                <w:color w:val="auto"/>
                <w:sz w:val="24"/>
                <w:szCs w:val="20"/>
              </w:rPr>
              <w:t>贮存</w:t>
            </w:r>
            <w:r>
              <w:rPr>
                <w:rFonts w:hint="eastAsia"/>
                <w:color w:val="auto"/>
                <w:kern w:val="0"/>
                <w:sz w:val="24"/>
                <w:lang w:val="en-US" w:eastAsia="zh-CN"/>
              </w:rPr>
              <w:t>点、</w:t>
            </w:r>
            <w:r>
              <w:rPr>
                <w:rFonts w:eastAsiaTheme="minorEastAsia"/>
                <w:color w:val="auto"/>
                <w:sz w:val="24"/>
                <w:szCs w:val="20"/>
              </w:rPr>
              <w:t>初期雨水池防渗层为至少1米厚粘土层（渗透系数≤10</w:t>
            </w:r>
            <w:r>
              <w:rPr>
                <w:rFonts w:eastAsiaTheme="minorEastAsia"/>
                <w:color w:val="auto"/>
                <w:sz w:val="24"/>
                <w:szCs w:val="20"/>
                <w:vertAlign w:val="superscript"/>
              </w:rPr>
              <w:t>-7</w:t>
            </w:r>
            <w:r>
              <w:rPr>
                <w:rFonts w:eastAsiaTheme="minorEastAsia"/>
                <w:bCs/>
                <w:color w:val="auto"/>
                <w:sz w:val="24"/>
                <w:szCs w:val="20"/>
              </w:rPr>
              <w:t xml:space="preserve"> cm/s</w:t>
            </w:r>
            <w:r>
              <w:rPr>
                <w:rFonts w:eastAsiaTheme="minorEastAsia"/>
                <w:color w:val="auto"/>
                <w:sz w:val="24"/>
                <w:szCs w:val="20"/>
              </w:rPr>
              <w:t>），或2mm高密度聚乙烯，或至少2mm厚的其它人工材料，渗透系数≤1×10</w:t>
            </w:r>
            <w:r>
              <w:rPr>
                <w:rFonts w:eastAsiaTheme="minorEastAsia"/>
                <w:color w:val="auto"/>
                <w:sz w:val="24"/>
                <w:szCs w:val="20"/>
                <w:vertAlign w:val="superscript"/>
              </w:rPr>
              <w:t>-10</w:t>
            </w:r>
            <w:r>
              <w:rPr>
                <w:rFonts w:eastAsiaTheme="minorEastAsia"/>
                <w:color w:val="auto"/>
                <w:sz w:val="24"/>
                <w:szCs w:val="20"/>
              </w:rPr>
              <w:t>cm/s，</w:t>
            </w:r>
            <w:r>
              <w:rPr>
                <w:rFonts w:hint="eastAsia"/>
                <w:color w:val="auto"/>
                <w:kern w:val="0"/>
                <w:sz w:val="24"/>
              </w:rPr>
              <w:t>废导热油储存区采取围堰措施，围堰地面及墙脚防渗，渗透系数</w:t>
            </w:r>
            <w:r>
              <w:rPr>
                <w:color w:val="auto"/>
                <w:kern w:val="0"/>
                <w:sz w:val="24"/>
              </w:rPr>
              <w:t>≤</w:t>
            </w:r>
            <w:r>
              <w:rPr>
                <w:rFonts w:hint="eastAsia"/>
                <w:color w:val="auto"/>
                <w:kern w:val="0"/>
                <w:sz w:val="24"/>
              </w:rPr>
              <w:t>10</w:t>
            </w:r>
            <w:r>
              <w:rPr>
                <w:rFonts w:hint="eastAsia"/>
                <w:color w:val="auto"/>
                <w:kern w:val="0"/>
                <w:sz w:val="24"/>
                <w:vertAlign w:val="superscript"/>
              </w:rPr>
              <w:t>-7</w:t>
            </w:r>
            <w:r>
              <w:rPr>
                <w:rFonts w:hint="eastAsia"/>
                <w:color w:val="auto"/>
                <w:kern w:val="0"/>
                <w:sz w:val="24"/>
              </w:rPr>
              <w:t>cm/s。</w:t>
            </w:r>
            <w:r>
              <w:rPr>
                <w:color w:val="auto"/>
                <w:kern w:val="0"/>
                <w:sz w:val="24"/>
              </w:rPr>
              <w:t>本项目天然气、沥青储罐、管道均为耐腐蚀均材质，天然气储罐周围设置50cm高围堰，围堰区域范围按储罐最大外形向外延伸0.8m，围堰内有效容积为240m³，围堰地面及墙脚防渗，渗透系数≤10</w:t>
            </w:r>
            <w:r>
              <w:rPr>
                <w:color w:val="auto"/>
                <w:kern w:val="0"/>
                <w:sz w:val="24"/>
                <w:vertAlign w:val="superscript"/>
              </w:rPr>
              <w:t>-7</w:t>
            </w:r>
            <w:r>
              <w:rPr>
                <w:color w:val="auto"/>
                <w:kern w:val="0"/>
                <w:sz w:val="24"/>
              </w:rPr>
              <w:t>cm/s。</w:t>
            </w:r>
            <w:r>
              <w:rPr>
                <w:rFonts w:hint="eastAsia"/>
                <w:color w:val="auto"/>
                <w:kern w:val="0"/>
                <w:sz w:val="24"/>
              </w:rPr>
              <w:t xml:space="preserve"> </w:t>
            </w:r>
            <w:r>
              <w:rPr>
                <w:color w:val="auto"/>
                <w:kern w:val="0"/>
                <w:sz w:val="24"/>
              </w:rPr>
              <w:t>厂区其他地面简单防渗，地面进行硬化处理，不会对地下水及厂区内土壤产生影响</w:t>
            </w:r>
            <w:r>
              <w:rPr>
                <w:rFonts w:eastAsiaTheme="minorEastAsia"/>
                <w:color w:val="auto"/>
                <w:sz w:val="24"/>
                <w:szCs w:val="20"/>
              </w:rPr>
              <w:t>。</w:t>
            </w:r>
          </w:p>
        </w:tc>
      </w:tr>
      <w:tr w14:paraId="6C8987E6">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94" w:type="dxa"/>
            <w:vAlign w:val="center"/>
          </w:tcPr>
          <w:p w14:paraId="59BC4DED">
            <w:pPr>
              <w:adjustRightInd w:val="0"/>
              <w:snapToGrid w:val="0"/>
              <w:jc w:val="center"/>
              <w:rPr>
                <w:color w:val="auto"/>
                <w:sz w:val="24"/>
              </w:rPr>
            </w:pPr>
            <w:r>
              <w:rPr>
                <w:color w:val="auto"/>
                <w:sz w:val="24"/>
              </w:rPr>
              <w:t>生态保护措施</w:t>
            </w:r>
          </w:p>
        </w:tc>
        <w:tc>
          <w:tcPr>
            <w:tcW w:w="8789" w:type="dxa"/>
            <w:gridSpan w:val="4"/>
            <w:vAlign w:val="center"/>
          </w:tcPr>
          <w:p w14:paraId="7CD34F29">
            <w:pPr>
              <w:adjustRightInd w:val="0"/>
              <w:snapToGrid w:val="0"/>
              <w:jc w:val="center"/>
              <w:rPr>
                <w:color w:val="auto"/>
                <w:sz w:val="24"/>
              </w:rPr>
            </w:pPr>
            <w:r>
              <w:rPr>
                <w:color w:val="auto"/>
                <w:sz w:val="24"/>
              </w:rPr>
              <w:t>无</w:t>
            </w:r>
          </w:p>
        </w:tc>
      </w:tr>
      <w:tr w14:paraId="2340129C">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1" w:hRule="atLeast"/>
          <w:jc w:val="center"/>
        </w:trPr>
        <w:tc>
          <w:tcPr>
            <w:tcW w:w="994" w:type="dxa"/>
            <w:vAlign w:val="center"/>
          </w:tcPr>
          <w:p w14:paraId="106BB3EE">
            <w:pPr>
              <w:adjustRightInd w:val="0"/>
              <w:snapToGrid w:val="0"/>
              <w:jc w:val="center"/>
              <w:rPr>
                <w:color w:val="auto"/>
                <w:sz w:val="24"/>
              </w:rPr>
            </w:pPr>
            <w:r>
              <w:rPr>
                <w:color w:val="auto"/>
                <w:sz w:val="24"/>
              </w:rPr>
              <w:t>环境风险防范措施</w:t>
            </w:r>
          </w:p>
        </w:tc>
        <w:tc>
          <w:tcPr>
            <w:tcW w:w="8789" w:type="dxa"/>
            <w:gridSpan w:val="4"/>
            <w:vAlign w:val="center"/>
          </w:tcPr>
          <w:p w14:paraId="297DF295">
            <w:pPr>
              <w:spacing w:line="360" w:lineRule="auto"/>
              <w:ind w:firstLine="480" w:firstLineChars="200"/>
              <w:contextualSpacing/>
              <w:rPr>
                <w:rFonts w:asciiTheme="minorEastAsia" w:hAnsiTheme="minorEastAsia" w:eastAsiaTheme="minorEastAsia"/>
                <w:color w:val="auto"/>
                <w:sz w:val="24"/>
              </w:rPr>
            </w:pPr>
            <w:r>
              <w:rPr>
                <w:rFonts w:asciiTheme="minorEastAsia" w:hAnsiTheme="minorEastAsia" w:eastAsiaTheme="minorEastAsia"/>
                <w:color w:val="auto"/>
                <w:sz w:val="24"/>
              </w:rPr>
              <w:t>①</w:t>
            </w:r>
            <w:r>
              <w:rPr>
                <w:rFonts w:asciiTheme="minorEastAsia" w:hAnsiTheme="minorEastAsia" w:eastAsiaTheme="minorEastAsia"/>
                <w:color w:val="auto"/>
                <w:sz w:val="24"/>
                <w:szCs w:val="20"/>
              </w:rPr>
              <w:t>企业应</w:t>
            </w:r>
            <w:r>
              <w:rPr>
                <w:rFonts w:hint="eastAsia" w:asciiTheme="minorEastAsia" w:hAnsiTheme="minorEastAsia" w:eastAsiaTheme="minorEastAsia"/>
                <w:color w:val="auto"/>
                <w:sz w:val="24"/>
                <w:szCs w:val="20"/>
              </w:rPr>
              <w:t>建立健全环境风险防控体系，制定环境风险应急预案，成立应急组织机构，建设突发事件应急物资储备库，并与当地环境风险应急预案联动</w:t>
            </w:r>
            <w:r>
              <w:rPr>
                <w:rFonts w:asciiTheme="minorEastAsia" w:hAnsiTheme="minorEastAsia" w:eastAsiaTheme="minorEastAsia"/>
                <w:color w:val="auto"/>
                <w:sz w:val="24"/>
                <w:szCs w:val="20"/>
              </w:rPr>
              <w:t>，加强危险源的的普査、管理，引入安全检査表，强化系统协调运作体系，加强危险源的的普査、管理，引入安全检査表，强化系统协调运作，提髙事故预防能力，确保安全生产</w:t>
            </w:r>
            <w:r>
              <w:rPr>
                <w:rFonts w:asciiTheme="minorEastAsia" w:hAnsiTheme="minorEastAsia" w:eastAsiaTheme="minorEastAsia"/>
                <w:color w:val="auto"/>
                <w:sz w:val="24"/>
              </w:rPr>
              <w:t>。</w:t>
            </w:r>
          </w:p>
          <w:p w14:paraId="69A67A11">
            <w:pPr>
              <w:spacing w:line="360" w:lineRule="auto"/>
              <w:ind w:firstLine="480" w:firstLineChars="200"/>
              <w:contextualSpacing/>
              <w:rPr>
                <w:rFonts w:asciiTheme="minorEastAsia" w:hAnsiTheme="minorEastAsia" w:eastAsiaTheme="minorEastAsia"/>
                <w:color w:val="auto"/>
                <w:sz w:val="24"/>
              </w:rPr>
            </w:pPr>
            <w:r>
              <w:rPr>
                <w:rFonts w:asciiTheme="minorEastAsia" w:hAnsiTheme="minorEastAsia" w:eastAsiaTheme="minorEastAsia"/>
                <w:color w:val="auto"/>
                <w:sz w:val="24"/>
              </w:rPr>
              <w:t>②总图布置进行功能分区，分区内部和相互之间保持一定通道和间距；贮存和生产设施的布置应保证生产人员安全操作及疏散方便；厂区围墙两侧建筑物之间应满足消防主管部门规定的防火间距要求；建、构筑物之间的防火间距应符合有关规定；电力线路不应跨越装置区。</w:t>
            </w:r>
          </w:p>
          <w:p w14:paraId="4A0B72AA">
            <w:pPr>
              <w:spacing w:line="360" w:lineRule="auto"/>
              <w:ind w:firstLine="480" w:firstLineChars="200"/>
              <w:contextualSpacing/>
              <w:rPr>
                <w:rFonts w:asciiTheme="minorEastAsia" w:hAnsiTheme="minorEastAsia" w:eastAsiaTheme="minorEastAsia"/>
                <w:color w:val="auto"/>
                <w:sz w:val="24"/>
              </w:rPr>
            </w:pPr>
            <w:r>
              <w:rPr>
                <w:rFonts w:asciiTheme="minorEastAsia" w:hAnsiTheme="minorEastAsia" w:eastAsiaTheme="minorEastAsia"/>
                <w:color w:val="auto"/>
                <w:sz w:val="24"/>
              </w:rPr>
              <w:t>③运行过程中对导热油密闭管路进行定期检查，导热油管路设置紧急切断转换电动阀门，一旦发生泄漏后及时紧急关闭，以减少油品泄漏量。</w:t>
            </w:r>
          </w:p>
          <w:p w14:paraId="27C8DD1C">
            <w:pPr>
              <w:spacing w:line="360" w:lineRule="auto"/>
              <w:ind w:firstLine="480" w:firstLineChars="200"/>
              <w:contextualSpacing/>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4 \* GB3 </w:instrText>
            </w:r>
            <w:r>
              <w:rPr>
                <w:rFonts w:asciiTheme="minorEastAsia" w:hAnsiTheme="minorEastAsia" w:eastAsiaTheme="minorEastAsia"/>
                <w:color w:val="auto"/>
                <w:sz w:val="24"/>
              </w:rPr>
              <w:fldChar w:fldCharType="separate"/>
            </w:r>
            <w:r>
              <w:rPr>
                <w:rFonts w:asciiTheme="minorEastAsia" w:hAnsiTheme="minorEastAsia" w:eastAsiaTheme="minorEastAsia"/>
                <w:color w:val="auto"/>
                <w:sz w:val="24"/>
              </w:rPr>
              <w:t>④</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组织周期性巡回检查，定期进行设备检修和阀门检测，及时发现跑冒滴漏或其他异常现象并及时检修，防患未然。</w:t>
            </w:r>
          </w:p>
          <w:p w14:paraId="3A02C325">
            <w:pPr>
              <w:spacing w:line="360" w:lineRule="auto"/>
              <w:ind w:firstLine="480" w:firstLineChars="200"/>
              <w:contextualSpacing/>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5 \* GB3 </w:instrText>
            </w:r>
            <w:r>
              <w:rPr>
                <w:rFonts w:asciiTheme="minorEastAsia" w:hAnsiTheme="minorEastAsia" w:eastAsiaTheme="minorEastAsia"/>
                <w:color w:val="auto"/>
                <w:sz w:val="24"/>
              </w:rPr>
              <w:fldChar w:fldCharType="separate"/>
            </w:r>
            <w:r>
              <w:rPr>
                <w:rFonts w:asciiTheme="minorEastAsia" w:hAnsiTheme="minorEastAsia" w:eastAsiaTheme="minorEastAsia"/>
                <w:color w:val="auto"/>
                <w:sz w:val="24"/>
              </w:rPr>
              <w:t>⑤</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当发生火灾等恶性事故时，立即切断电源，迅速转移人员，减少物资损失和人员伤亡，同时拨打火灾报警电话。组织业余消防队员利用一切可能的消防器材，全力灭火抢险，抢险灭火人员要戴正压式空气呼吸器，穿防火服，从上风向接近火源。</w:t>
            </w:r>
          </w:p>
          <w:p w14:paraId="7EAA0465">
            <w:pPr>
              <w:spacing w:line="360" w:lineRule="auto"/>
              <w:ind w:firstLine="480" w:firstLineChars="200"/>
              <w:contextualSpacing/>
              <w:rPr>
                <w:rFonts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6 \* GB3 </w:instrText>
            </w:r>
            <w:r>
              <w:rPr>
                <w:rFonts w:asciiTheme="minorEastAsia" w:hAnsiTheme="minorEastAsia" w:eastAsiaTheme="minorEastAsia"/>
                <w:color w:val="auto"/>
                <w:sz w:val="24"/>
              </w:rPr>
              <w:fldChar w:fldCharType="separate"/>
            </w:r>
            <w:r>
              <w:rPr>
                <w:rFonts w:asciiTheme="minorEastAsia" w:hAnsiTheme="minorEastAsia" w:eastAsiaTheme="minorEastAsia"/>
                <w:color w:val="auto"/>
                <w:sz w:val="24"/>
              </w:rPr>
              <w:t>⑥</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在油品管道周围设置事故围堰，要求事故围堰的底部、四周按相关要求进行防腐、防渗漏处理，一旦发生溢出与渗漏事故，油类物质将控制在事故围堰内，发生火灾或者爆炸事故时产生消防废水、初期雨水可围截在事故围堰内，将污染控制厂区范围内，可有效防控泄露物质进入或者污染周边环境。事故状态下产生的消防废水以及事故废水，应交由具备处理资质单位进行处置，禁止直接排放环境。</w:t>
            </w:r>
          </w:p>
        </w:tc>
      </w:tr>
      <w:tr w14:paraId="2F9579EA">
        <w:tblPrEx>
          <w:tblBorders>
            <w:top w:val="single" w:color="auto" w:sz="12"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6" w:hRule="atLeast"/>
          <w:jc w:val="center"/>
        </w:trPr>
        <w:tc>
          <w:tcPr>
            <w:tcW w:w="994" w:type="dxa"/>
            <w:vAlign w:val="center"/>
          </w:tcPr>
          <w:p w14:paraId="639FAEF0">
            <w:pPr>
              <w:adjustRightInd w:val="0"/>
              <w:snapToGrid w:val="0"/>
              <w:spacing w:line="360" w:lineRule="auto"/>
              <w:jc w:val="center"/>
              <w:rPr>
                <w:color w:val="auto"/>
                <w:sz w:val="24"/>
              </w:rPr>
            </w:pPr>
            <w:r>
              <w:rPr>
                <w:color w:val="auto"/>
                <w:sz w:val="24"/>
              </w:rPr>
              <w:t>其他环境管理要求</w:t>
            </w:r>
          </w:p>
        </w:tc>
        <w:tc>
          <w:tcPr>
            <w:tcW w:w="8789" w:type="dxa"/>
            <w:gridSpan w:val="4"/>
          </w:tcPr>
          <w:p w14:paraId="01B096F8">
            <w:pPr>
              <w:adjustRightInd w:val="0"/>
              <w:snapToGrid w:val="0"/>
              <w:spacing w:line="360" w:lineRule="auto"/>
              <w:ind w:firstLine="480" w:firstLineChars="200"/>
              <w:rPr>
                <w:color w:val="auto"/>
                <w:sz w:val="24"/>
              </w:rPr>
            </w:pPr>
            <w:r>
              <w:rPr>
                <w:color w:val="auto"/>
                <w:sz w:val="24"/>
              </w:rPr>
              <w:t>企业应按《排污许可证申请与核发技术规范</w:t>
            </w:r>
            <w:r>
              <w:rPr>
                <w:rFonts w:hint="eastAsia"/>
                <w:color w:val="auto"/>
                <w:sz w:val="24"/>
              </w:rPr>
              <w:t xml:space="preserve"> </w:t>
            </w:r>
            <w:r>
              <w:rPr>
                <w:rFonts w:hint="eastAsia"/>
                <w:bCs/>
                <w:color w:val="auto"/>
                <w:sz w:val="24"/>
              </w:rPr>
              <w:t>石墨及其他非金属矿物制品制造》（HJ1119-2020）</w:t>
            </w:r>
            <w:r>
              <w:rPr>
                <w:color w:val="auto"/>
                <w:sz w:val="24"/>
              </w:rPr>
              <w:t>，定期开展自行监测，并上传至全国污染源监测数据管理与共享系统；建立环境管理台账制度，落实环境管理台账记录的责任部门和责任人，明确工作职责，并对环境管理台账的真实性、完整性和规范性负责，在全国排污许可证管理信息平台申报环境管理台账记录；排污单位按照排污许可证规定的时间提交执行报告，应提交年度执行报告；按照排污许可证要求定期开展信息公开。</w:t>
            </w:r>
          </w:p>
        </w:tc>
      </w:tr>
    </w:tbl>
    <w:p w14:paraId="397D16C2">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20" w:name="_Toc68775757"/>
      <w:r>
        <w:rPr>
          <w:rFonts w:ascii="Times New Roman" w:hAnsi="Times New Roman" w:eastAsia="黑体"/>
          <w:snapToGrid w:val="0"/>
          <w:color w:val="auto"/>
          <w:sz w:val="30"/>
          <w:szCs w:val="30"/>
        </w:rPr>
        <w:t>六、结论</w:t>
      </w:r>
      <w:bookmarkEnd w:id="20"/>
    </w:p>
    <w:tbl>
      <w:tblPr>
        <w:tblStyle w:val="27"/>
        <w:tblW w:w="0" w:type="auto"/>
        <w:jc w:val="center"/>
        <w:tblBorders>
          <w:top w:val="single" w:color="auto" w:sz="4"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603D6EBA">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op w:val="single" w:color="auto" w:sz="6" w:space="0"/>
              <w:bottom w:val="single" w:color="auto" w:sz="8" w:space="0"/>
            </w:tcBorders>
          </w:tcPr>
          <w:p w14:paraId="74F80CEB">
            <w:pPr>
              <w:widowControl/>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本项目符合国家相关产业政策，项目在运营期产生的污染物在按本报告表中所</w:t>
            </w:r>
          </w:p>
          <w:p w14:paraId="0442C792">
            <w:pPr>
              <w:widowControl/>
              <w:spacing w:line="360" w:lineRule="auto"/>
              <w:rPr>
                <w:rFonts w:ascii="宋体" w:hAnsi="宋体" w:cs="宋体"/>
                <w:color w:val="auto"/>
                <w:kern w:val="0"/>
                <w:sz w:val="24"/>
              </w:rPr>
            </w:pPr>
            <w:r>
              <w:rPr>
                <w:rFonts w:hint="eastAsia" w:ascii="宋体" w:hAnsi="宋体" w:cs="宋体"/>
                <w:color w:val="auto"/>
                <w:kern w:val="0"/>
                <w:sz w:val="24"/>
              </w:rPr>
              <w:t>提出的措施及方案进行治理、控制，并加强内部管理，实现环保设施的稳定运行，</w:t>
            </w:r>
          </w:p>
          <w:p w14:paraId="246E217F">
            <w:pPr>
              <w:widowControl/>
              <w:spacing w:line="360" w:lineRule="auto"/>
              <w:rPr>
                <w:rFonts w:ascii="宋体" w:hAnsi="宋体" w:cs="宋体"/>
                <w:color w:val="auto"/>
                <w:kern w:val="0"/>
                <w:sz w:val="24"/>
              </w:rPr>
            </w:pPr>
            <w:r>
              <w:rPr>
                <w:rFonts w:hint="eastAsia" w:ascii="宋体" w:hAnsi="宋体" w:cs="宋体"/>
                <w:color w:val="auto"/>
                <w:kern w:val="0"/>
                <w:sz w:val="24"/>
              </w:rPr>
              <w:t>确保污染物达标排放和风险可控的前提下，项目对周围环境影响可接受。从环境保</w:t>
            </w:r>
          </w:p>
          <w:p w14:paraId="00BAD292">
            <w:pPr>
              <w:widowControl/>
              <w:spacing w:line="360" w:lineRule="auto"/>
              <w:rPr>
                <w:color w:val="auto"/>
              </w:rPr>
            </w:pPr>
            <w:r>
              <w:rPr>
                <w:rFonts w:hint="eastAsia" w:ascii="宋体" w:hAnsi="宋体" w:cs="宋体"/>
                <w:color w:val="auto"/>
                <w:kern w:val="0"/>
                <w:sz w:val="24"/>
              </w:rPr>
              <w:t>护角度而言，该项目是可行的。</w:t>
            </w:r>
          </w:p>
          <w:p w14:paraId="48EC4C2C">
            <w:pPr>
              <w:spacing w:line="360" w:lineRule="auto"/>
              <w:ind w:firstLine="480" w:firstLineChars="200"/>
              <w:contextualSpacing/>
              <w:rPr>
                <w:color w:val="auto"/>
                <w:sz w:val="24"/>
              </w:rPr>
            </w:pPr>
          </w:p>
        </w:tc>
      </w:tr>
    </w:tbl>
    <w:p w14:paraId="7828945C">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CC8354E">
      <w:pPr>
        <w:pStyle w:val="22"/>
        <w:adjustRightInd w:val="0"/>
        <w:snapToGrid w:val="0"/>
        <w:spacing w:before="0" w:beforeAutospacing="0" w:after="0" w:afterAutospacing="0" w:line="0" w:lineRule="atLeast"/>
        <w:outlineLvl w:val="0"/>
        <w:rPr>
          <w:rFonts w:ascii="Times New Roman" w:hAnsi="Times New Roman" w:eastAsia="黑体"/>
          <w:snapToGrid w:val="0"/>
          <w:color w:val="auto"/>
          <w:sz w:val="32"/>
          <w:szCs w:val="32"/>
        </w:rPr>
      </w:pPr>
      <w:bookmarkStart w:id="21" w:name="_Toc68775758"/>
      <w:r>
        <w:rPr>
          <w:rFonts w:ascii="Times New Roman" w:hAnsi="Times New Roman" w:eastAsia="黑体"/>
          <w:snapToGrid w:val="0"/>
          <w:color w:val="auto"/>
          <w:sz w:val="32"/>
          <w:szCs w:val="32"/>
        </w:rPr>
        <w:t>附表</w:t>
      </w:r>
      <w:bookmarkEnd w:id="21"/>
    </w:p>
    <w:p w14:paraId="16C1F0EA">
      <w:pPr>
        <w:pStyle w:val="22"/>
        <w:adjustRightInd w:val="0"/>
        <w:snapToGrid w:val="0"/>
        <w:spacing w:before="0" w:beforeAutospacing="0" w:after="0" w:afterAutospacing="0" w:line="0" w:lineRule="atLeast"/>
        <w:jc w:val="center"/>
        <w:outlineLvl w:val="0"/>
        <w:rPr>
          <w:rFonts w:ascii="Times New Roman" w:hAnsi="Times New Roman" w:eastAsia="方正小标宋_GBK"/>
          <w:snapToGrid w:val="0"/>
          <w:color w:val="auto"/>
          <w:sz w:val="38"/>
          <w:szCs w:val="38"/>
        </w:rPr>
      </w:pPr>
      <w:bookmarkStart w:id="22" w:name="_Toc68775759"/>
      <w:r>
        <w:rPr>
          <w:rFonts w:ascii="Times New Roman" w:hAnsi="Times New Roman" w:eastAsia="方正小标宋_GBK"/>
          <w:snapToGrid w:val="0"/>
          <w:color w:val="auto"/>
          <w:sz w:val="38"/>
          <w:szCs w:val="38"/>
        </w:rPr>
        <w:t>建设项目污染物排放量汇总表</w:t>
      </w:r>
      <w:bookmarkEnd w:id="22"/>
    </w:p>
    <w:tbl>
      <w:tblPr>
        <w:tblStyle w:val="27"/>
        <w:tblW w:w="14318" w:type="dxa"/>
        <w:tblInd w:w="-39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985"/>
        <w:gridCol w:w="1701"/>
        <w:gridCol w:w="1134"/>
        <w:gridCol w:w="1842"/>
        <w:gridCol w:w="1560"/>
        <w:gridCol w:w="1842"/>
        <w:gridCol w:w="1843"/>
        <w:gridCol w:w="1276"/>
      </w:tblGrid>
      <w:tr w14:paraId="50543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35" w:type="dxa"/>
            <w:tcBorders>
              <w:tl2br w:val="single" w:color="auto" w:sz="4" w:space="0"/>
            </w:tcBorders>
            <w:tcMar>
              <w:left w:w="28" w:type="dxa"/>
              <w:right w:w="28" w:type="dxa"/>
            </w:tcMar>
            <w:vAlign w:val="center"/>
          </w:tcPr>
          <w:p w14:paraId="51AEF700">
            <w:pPr>
              <w:pStyle w:val="48"/>
              <w:adjustRightInd/>
              <w:snapToGrid/>
              <w:spacing w:beforeLines="0" w:afterLines="0" w:line="0" w:lineRule="atLeast"/>
              <w:contextualSpacing/>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14:paraId="7F35BBE8">
            <w:pPr>
              <w:pStyle w:val="48"/>
              <w:adjustRightInd/>
              <w:snapToGrid/>
              <w:spacing w:beforeLines="0" w:afterLines="0" w:line="0" w:lineRule="atLeast"/>
              <w:contextualSpacing/>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985" w:type="dxa"/>
            <w:tcMar>
              <w:left w:w="28" w:type="dxa"/>
              <w:right w:w="28" w:type="dxa"/>
            </w:tcMar>
            <w:vAlign w:val="center"/>
          </w:tcPr>
          <w:p w14:paraId="68684AEB">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14:paraId="234694D7">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2729D5FE">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排放量t/a（固体废物产生量）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color w:val="auto"/>
                <w:kern w:val="2"/>
                <w:szCs w:val="21"/>
              </w:rPr>
              <w:t>①</w:t>
            </w:r>
            <w:r>
              <w:rPr>
                <w:rFonts w:ascii="Times New Roman" w:eastAsia="黑体"/>
                <w:snapToGrid w:val="0"/>
                <w:color w:val="auto"/>
                <w:spacing w:val="-6"/>
                <w:kern w:val="21"/>
                <w:szCs w:val="21"/>
              </w:rPr>
              <w:fldChar w:fldCharType="end"/>
            </w:r>
          </w:p>
        </w:tc>
        <w:tc>
          <w:tcPr>
            <w:tcW w:w="1134" w:type="dxa"/>
            <w:tcMar>
              <w:left w:w="28" w:type="dxa"/>
              <w:right w:w="28" w:type="dxa"/>
            </w:tcMar>
            <w:vAlign w:val="center"/>
          </w:tcPr>
          <w:p w14:paraId="45E91BD3">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52D4C50F">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许可排放量t/a</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snapToGrid w:val="0"/>
                <w:color w:val="auto"/>
                <w:spacing w:val="-6"/>
                <w:kern w:val="21"/>
                <w:szCs w:val="21"/>
              </w:rPr>
              <w:t>②</w:t>
            </w:r>
            <w:r>
              <w:rPr>
                <w:rFonts w:ascii="Times New Roman" w:eastAsia="黑体"/>
                <w:snapToGrid w:val="0"/>
                <w:color w:val="auto"/>
                <w:spacing w:val="-6"/>
                <w:kern w:val="21"/>
                <w:szCs w:val="21"/>
              </w:rPr>
              <w:fldChar w:fldCharType="end"/>
            </w:r>
          </w:p>
        </w:tc>
        <w:tc>
          <w:tcPr>
            <w:tcW w:w="1842" w:type="dxa"/>
            <w:tcMar>
              <w:left w:w="28" w:type="dxa"/>
              <w:right w:w="28" w:type="dxa"/>
            </w:tcMar>
            <w:vAlign w:val="center"/>
          </w:tcPr>
          <w:p w14:paraId="72B52817">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55091036">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排放量t/a（固体废物产生量）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color w:val="auto"/>
                <w:kern w:val="2"/>
                <w:szCs w:val="21"/>
              </w:rPr>
              <w:t>③</w:t>
            </w:r>
            <w:r>
              <w:rPr>
                <w:rFonts w:ascii="Times New Roman" w:eastAsia="黑体"/>
                <w:snapToGrid w:val="0"/>
                <w:color w:val="auto"/>
                <w:spacing w:val="-6"/>
                <w:kern w:val="21"/>
                <w:szCs w:val="21"/>
              </w:rPr>
              <w:fldChar w:fldCharType="end"/>
            </w:r>
          </w:p>
        </w:tc>
        <w:tc>
          <w:tcPr>
            <w:tcW w:w="1560" w:type="dxa"/>
            <w:tcMar>
              <w:left w:w="28" w:type="dxa"/>
              <w:right w:w="28" w:type="dxa"/>
            </w:tcMar>
            <w:vAlign w:val="center"/>
          </w:tcPr>
          <w:p w14:paraId="668E8FAB">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14:paraId="39AC2C14">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排放量t/a（固体废物产生量）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color w:val="auto"/>
                <w:kern w:val="2"/>
                <w:szCs w:val="21"/>
              </w:rPr>
              <w:t>④</w:t>
            </w:r>
            <w:r>
              <w:rPr>
                <w:rFonts w:ascii="Times New Roman" w:eastAsia="黑体"/>
                <w:snapToGrid w:val="0"/>
                <w:color w:val="auto"/>
                <w:spacing w:val="-6"/>
                <w:kern w:val="21"/>
                <w:szCs w:val="21"/>
              </w:rPr>
              <w:fldChar w:fldCharType="end"/>
            </w:r>
          </w:p>
        </w:tc>
        <w:tc>
          <w:tcPr>
            <w:tcW w:w="1842" w:type="dxa"/>
            <w:tcMar>
              <w:left w:w="28" w:type="dxa"/>
              <w:right w:w="28" w:type="dxa"/>
            </w:tcMar>
            <w:vAlign w:val="center"/>
          </w:tcPr>
          <w:p w14:paraId="5190F118">
            <w:pPr>
              <w:pStyle w:val="48"/>
              <w:adjustRightInd/>
              <w:snapToGrid/>
              <w:spacing w:beforeLines="0" w:afterLines="0" w:line="0" w:lineRule="atLeast"/>
              <w:contextualSpacing/>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r>
              <w:rPr>
                <w:rFonts w:ascii="Times New Roman" w:eastAsia="黑体"/>
                <w:snapToGrid w:val="0"/>
                <w:color w:val="auto"/>
                <w:spacing w:val="-6"/>
                <w:kern w:val="21"/>
                <w:szCs w:val="21"/>
              </w:rPr>
              <w:t>t/a</w:t>
            </w:r>
          </w:p>
          <w:p w14:paraId="6C002367">
            <w:pPr>
              <w:pStyle w:val="48"/>
              <w:adjustRightInd/>
              <w:snapToGrid/>
              <w:spacing w:beforeLines="0" w:afterLines="0" w:line="0" w:lineRule="atLeast"/>
              <w:contextualSpacing/>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color w:val="auto"/>
                <w:kern w:val="2"/>
                <w:szCs w:val="21"/>
              </w:rPr>
              <w:t>⑤</w:t>
            </w:r>
            <w:r>
              <w:rPr>
                <w:rFonts w:ascii="Times New Roman" w:eastAsia="黑体"/>
                <w:snapToGrid w:val="0"/>
                <w:color w:val="auto"/>
                <w:spacing w:val="-16"/>
                <w:kern w:val="21"/>
                <w:szCs w:val="21"/>
              </w:rPr>
              <w:fldChar w:fldCharType="end"/>
            </w:r>
          </w:p>
        </w:tc>
        <w:tc>
          <w:tcPr>
            <w:tcW w:w="1843" w:type="dxa"/>
            <w:tcMar>
              <w:left w:w="28" w:type="dxa"/>
              <w:right w:w="28" w:type="dxa"/>
            </w:tcMar>
            <w:vAlign w:val="center"/>
          </w:tcPr>
          <w:p w14:paraId="609F2F31">
            <w:pPr>
              <w:pStyle w:val="48"/>
              <w:adjustRightInd/>
              <w:snapToGrid/>
              <w:spacing w:beforeLines="0" w:afterLines="0" w:line="0" w:lineRule="atLeast"/>
              <w:contextualSpacing/>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14:paraId="6A00B806">
            <w:pPr>
              <w:pStyle w:val="48"/>
              <w:adjustRightInd/>
              <w:snapToGrid/>
              <w:spacing w:beforeLines="0" w:afterLines="0" w:line="0" w:lineRule="atLeast"/>
              <w:contextualSpacing/>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w:t>
            </w:r>
            <w:r>
              <w:rPr>
                <w:rFonts w:ascii="Times New Roman" w:eastAsia="黑体"/>
                <w:snapToGrid w:val="0"/>
                <w:color w:val="auto"/>
                <w:spacing w:val="-6"/>
                <w:kern w:val="21"/>
                <w:szCs w:val="21"/>
              </w:rPr>
              <w:t>t/a</w:t>
            </w:r>
            <w:r>
              <w:rPr>
                <w:rFonts w:ascii="Times New Roman" w:eastAsia="黑体"/>
                <w:snapToGrid w:val="0"/>
                <w:color w:val="auto"/>
                <w:spacing w:val="-16"/>
                <w:kern w:val="21"/>
                <w:szCs w:val="21"/>
              </w:rPr>
              <w:t>（固体废物产生量）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color w:val="auto"/>
                <w:kern w:val="2"/>
                <w:szCs w:val="21"/>
              </w:rPr>
              <w:t>⑥</w:t>
            </w:r>
            <w:r>
              <w:rPr>
                <w:rFonts w:ascii="Times New Roman" w:eastAsia="黑体"/>
                <w:snapToGrid w:val="0"/>
                <w:color w:val="auto"/>
                <w:spacing w:val="-16"/>
                <w:kern w:val="21"/>
                <w:szCs w:val="21"/>
              </w:rPr>
              <w:fldChar w:fldCharType="end"/>
            </w:r>
          </w:p>
        </w:tc>
        <w:tc>
          <w:tcPr>
            <w:tcW w:w="1276" w:type="dxa"/>
            <w:tcMar>
              <w:left w:w="28" w:type="dxa"/>
              <w:right w:w="28" w:type="dxa"/>
            </w:tcMar>
            <w:vAlign w:val="center"/>
          </w:tcPr>
          <w:p w14:paraId="0DF9D89C">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变化量t/a</w:t>
            </w:r>
          </w:p>
          <w:p w14:paraId="2672021C">
            <w:pPr>
              <w:pStyle w:val="48"/>
              <w:adjustRightInd/>
              <w:snapToGrid/>
              <w:spacing w:beforeLines="0" w:afterLines="0" w:line="0" w:lineRule="atLeast"/>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color w:val="auto"/>
                <w:kern w:val="2"/>
                <w:szCs w:val="21"/>
              </w:rPr>
              <w:t>⑦</w:t>
            </w:r>
            <w:r>
              <w:rPr>
                <w:rFonts w:ascii="Times New Roman" w:eastAsia="黑体"/>
                <w:snapToGrid w:val="0"/>
                <w:color w:val="auto"/>
                <w:spacing w:val="-6"/>
                <w:kern w:val="21"/>
                <w:szCs w:val="21"/>
              </w:rPr>
              <w:fldChar w:fldCharType="end"/>
            </w:r>
          </w:p>
        </w:tc>
      </w:tr>
      <w:tr w14:paraId="663BE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restart"/>
            <w:vAlign w:val="center"/>
          </w:tcPr>
          <w:p w14:paraId="19ACD93C">
            <w:pPr>
              <w:pStyle w:val="48"/>
              <w:adjustRightInd/>
              <w:snapToGrid/>
              <w:spacing w:beforeLines="0" w:afterLines="0" w:line="0" w:lineRule="atLeast"/>
              <w:contextualSpacing/>
              <w:rPr>
                <w:rFonts w:ascii="Times New Roman"/>
                <w:snapToGrid w:val="0"/>
                <w:color w:val="auto"/>
                <w:kern w:val="21"/>
                <w:szCs w:val="21"/>
              </w:rPr>
            </w:pPr>
            <w:r>
              <w:rPr>
                <w:rFonts w:ascii="Times New Roman"/>
                <w:snapToGrid w:val="0"/>
                <w:color w:val="auto"/>
                <w:kern w:val="21"/>
                <w:szCs w:val="21"/>
              </w:rPr>
              <w:t>废气</w:t>
            </w:r>
          </w:p>
        </w:tc>
        <w:tc>
          <w:tcPr>
            <w:tcW w:w="1985" w:type="dxa"/>
            <w:vAlign w:val="center"/>
          </w:tcPr>
          <w:p w14:paraId="3188FACC">
            <w:pPr>
              <w:jc w:val="center"/>
              <w:rPr>
                <w:rFonts w:eastAsiaTheme="minorEastAsia"/>
                <w:color w:val="auto"/>
                <w:szCs w:val="21"/>
              </w:rPr>
            </w:pPr>
            <w:r>
              <w:rPr>
                <w:rFonts w:eastAsiaTheme="minorEastAsia"/>
                <w:color w:val="auto"/>
                <w:szCs w:val="21"/>
              </w:rPr>
              <w:t>颗粒物</w:t>
            </w:r>
          </w:p>
        </w:tc>
        <w:tc>
          <w:tcPr>
            <w:tcW w:w="1701" w:type="dxa"/>
            <w:vAlign w:val="center"/>
          </w:tcPr>
          <w:p w14:paraId="06FA14DB">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304DF778">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7308A97C">
            <w:pPr>
              <w:pStyle w:val="48"/>
              <w:adjustRightInd/>
              <w:snapToGrid/>
              <w:spacing w:beforeLines="0" w:afterLines="0" w:line="0" w:lineRule="atLeast"/>
              <w:contextualSpacing/>
              <w:rPr>
                <w:rFonts w:ascii="Times New Roman"/>
                <w:snapToGrid w:val="0"/>
                <w:color w:val="auto"/>
                <w:kern w:val="21"/>
                <w:szCs w:val="21"/>
              </w:rPr>
            </w:pPr>
          </w:p>
        </w:tc>
        <w:tc>
          <w:tcPr>
            <w:tcW w:w="1560" w:type="dxa"/>
            <w:shd w:val="clear" w:color="auto" w:fill="auto"/>
            <w:vAlign w:val="center"/>
          </w:tcPr>
          <w:p w14:paraId="475D58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4.6719</w:t>
            </w:r>
          </w:p>
        </w:tc>
        <w:tc>
          <w:tcPr>
            <w:tcW w:w="1842" w:type="dxa"/>
            <w:vAlign w:val="center"/>
          </w:tcPr>
          <w:p w14:paraId="5C61C463">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39739DAF">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4.6719</w:t>
            </w:r>
          </w:p>
        </w:tc>
        <w:tc>
          <w:tcPr>
            <w:tcW w:w="1276" w:type="dxa"/>
            <w:vAlign w:val="center"/>
          </w:tcPr>
          <w:p w14:paraId="5AC7611E">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4.6719</w:t>
            </w:r>
          </w:p>
        </w:tc>
      </w:tr>
      <w:tr w14:paraId="5C9CC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continue"/>
            <w:vAlign w:val="center"/>
          </w:tcPr>
          <w:p w14:paraId="20912799">
            <w:pPr>
              <w:pStyle w:val="48"/>
              <w:adjustRightInd/>
              <w:snapToGrid/>
              <w:spacing w:beforeLines="0" w:afterLines="0" w:line="0" w:lineRule="atLeast"/>
              <w:contextualSpacing/>
              <w:rPr>
                <w:rFonts w:ascii="Times New Roman"/>
                <w:snapToGrid w:val="0"/>
                <w:color w:val="auto"/>
                <w:kern w:val="21"/>
                <w:szCs w:val="21"/>
              </w:rPr>
            </w:pPr>
          </w:p>
        </w:tc>
        <w:tc>
          <w:tcPr>
            <w:tcW w:w="1985" w:type="dxa"/>
            <w:vAlign w:val="center"/>
          </w:tcPr>
          <w:p w14:paraId="1D95761D">
            <w:pPr>
              <w:jc w:val="center"/>
              <w:rPr>
                <w:rFonts w:eastAsiaTheme="minorEastAsia"/>
                <w:color w:val="auto"/>
                <w:szCs w:val="21"/>
              </w:rPr>
            </w:pPr>
            <w:r>
              <w:rPr>
                <w:rFonts w:eastAsiaTheme="minorEastAsia"/>
                <w:color w:val="auto"/>
                <w:szCs w:val="21"/>
              </w:rPr>
              <w:t>SO</w:t>
            </w:r>
            <w:r>
              <w:rPr>
                <w:rFonts w:eastAsiaTheme="minorEastAsia"/>
                <w:color w:val="auto"/>
                <w:szCs w:val="21"/>
                <w:vertAlign w:val="subscript"/>
              </w:rPr>
              <w:t>2</w:t>
            </w:r>
          </w:p>
        </w:tc>
        <w:tc>
          <w:tcPr>
            <w:tcW w:w="1701" w:type="dxa"/>
            <w:vAlign w:val="center"/>
          </w:tcPr>
          <w:p w14:paraId="5BD29CD4">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75E621C0">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0A1ACCA9">
            <w:pPr>
              <w:pStyle w:val="48"/>
              <w:adjustRightInd/>
              <w:snapToGrid/>
              <w:spacing w:beforeLines="0" w:afterLines="0" w:line="0" w:lineRule="atLeast"/>
              <w:contextualSpacing/>
              <w:rPr>
                <w:rFonts w:ascii="Times New Roman"/>
                <w:snapToGrid w:val="0"/>
                <w:color w:val="auto"/>
                <w:kern w:val="21"/>
                <w:szCs w:val="21"/>
              </w:rPr>
            </w:pPr>
          </w:p>
        </w:tc>
        <w:tc>
          <w:tcPr>
            <w:tcW w:w="1560" w:type="dxa"/>
            <w:shd w:val="clear" w:color="auto" w:fill="auto"/>
            <w:vAlign w:val="center"/>
          </w:tcPr>
          <w:p w14:paraId="2DE9F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0.0117</w:t>
            </w:r>
          </w:p>
        </w:tc>
        <w:tc>
          <w:tcPr>
            <w:tcW w:w="1842" w:type="dxa"/>
            <w:vAlign w:val="center"/>
          </w:tcPr>
          <w:p w14:paraId="54811237">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7ED11BE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0.0117</w:t>
            </w:r>
          </w:p>
        </w:tc>
        <w:tc>
          <w:tcPr>
            <w:tcW w:w="1276" w:type="dxa"/>
            <w:vAlign w:val="center"/>
          </w:tcPr>
          <w:p w14:paraId="0F449E3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0.0117</w:t>
            </w:r>
          </w:p>
        </w:tc>
      </w:tr>
      <w:tr w14:paraId="6902B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continue"/>
            <w:vAlign w:val="center"/>
          </w:tcPr>
          <w:p w14:paraId="359F4CED">
            <w:pPr>
              <w:pStyle w:val="48"/>
              <w:adjustRightInd/>
              <w:snapToGrid/>
              <w:spacing w:beforeLines="0" w:afterLines="0" w:line="0" w:lineRule="atLeast"/>
              <w:contextualSpacing/>
              <w:rPr>
                <w:rFonts w:ascii="Times New Roman"/>
                <w:snapToGrid w:val="0"/>
                <w:color w:val="auto"/>
                <w:kern w:val="21"/>
                <w:szCs w:val="21"/>
              </w:rPr>
            </w:pPr>
          </w:p>
        </w:tc>
        <w:tc>
          <w:tcPr>
            <w:tcW w:w="1985" w:type="dxa"/>
            <w:vAlign w:val="center"/>
          </w:tcPr>
          <w:p w14:paraId="540292B7">
            <w:pPr>
              <w:jc w:val="center"/>
              <w:rPr>
                <w:rFonts w:eastAsiaTheme="minorEastAsia"/>
                <w:color w:val="auto"/>
                <w:szCs w:val="21"/>
              </w:rPr>
            </w:pPr>
            <w:r>
              <w:rPr>
                <w:rFonts w:eastAsiaTheme="minorEastAsia"/>
                <w:color w:val="auto"/>
                <w:szCs w:val="21"/>
              </w:rPr>
              <w:t>NO</w:t>
            </w:r>
            <w:r>
              <w:rPr>
                <w:rFonts w:eastAsiaTheme="minorEastAsia"/>
                <w:color w:val="auto"/>
                <w:szCs w:val="21"/>
                <w:vertAlign w:val="subscript"/>
              </w:rPr>
              <w:t>X</w:t>
            </w:r>
          </w:p>
        </w:tc>
        <w:tc>
          <w:tcPr>
            <w:tcW w:w="1701" w:type="dxa"/>
            <w:vAlign w:val="center"/>
          </w:tcPr>
          <w:p w14:paraId="4982B927">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2D819281">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62523DD6">
            <w:pPr>
              <w:pStyle w:val="48"/>
              <w:adjustRightInd/>
              <w:snapToGrid/>
              <w:spacing w:beforeLines="0" w:afterLines="0" w:line="0" w:lineRule="atLeast"/>
              <w:contextualSpacing/>
              <w:rPr>
                <w:rFonts w:ascii="Times New Roman"/>
                <w:snapToGrid w:val="0"/>
                <w:color w:val="auto"/>
                <w:kern w:val="21"/>
                <w:szCs w:val="21"/>
              </w:rPr>
            </w:pPr>
          </w:p>
        </w:tc>
        <w:tc>
          <w:tcPr>
            <w:tcW w:w="1560" w:type="dxa"/>
            <w:shd w:val="clear" w:color="auto" w:fill="auto"/>
            <w:vAlign w:val="center"/>
          </w:tcPr>
          <w:p w14:paraId="58184EE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3.078</w:t>
            </w:r>
          </w:p>
        </w:tc>
        <w:tc>
          <w:tcPr>
            <w:tcW w:w="1842" w:type="dxa"/>
            <w:vAlign w:val="center"/>
          </w:tcPr>
          <w:p w14:paraId="09CD555E">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7E1EC6D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3.078</w:t>
            </w:r>
          </w:p>
        </w:tc>
        <w:tc>
          <w:tcPr>
            <w:tcW w:w="1276" w:type="dxa"/>
            <w:vAlign w:val="center"/>
          </w:tcPr>
          <w:p w14:paraId="6042E53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3.078</w:t>
            </w:r>
          </w:p>
        </w:tc>
      </w:tr>
      <w:tr w14:paraId="35594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continue"/>
            <w:vAlign w:val="center"/>
          </w:tcPr>
          <w:p w14:paraId="21B87C1E">
            <w:pPr>
              <w:pStyle w:val="48"/>
              <w:adjustRightInd/>
              <w:snapToGrid/>
              <w:spacing w:beforeLines="0" w:afterLines="0" w:line="0" w:lineRule="atLeast"/>
              <w:contextualSpacing/>
              <w:rPr>
                <w:rFonts w:ascii="Times New Roman"/>
                <w:snapToGrid w:val="0"/>
                <w:color w:val="auto"/>
                <w:kern w:val="21"/>
                <w:szCs w:val="21"/>
              </w:rPr>
            </w:pPr>
          </w:p>
        </w:tc>
        <w:tc>
          <w:tcPr>
            <w:tcW w:w="1985" w:type="dxa"/>
            <w:shd w:val="clear" w:color="auto" w:fill="auto"/>
            <w:vAlign w:val="center"/>
          </w:tcPr>
          <w:p w14:paraId="7C37233C">
            <w:pPr>
              <w:jc w:val="center"/>
              <w:rPr>
                <w:rFonts w:hint="eastAsia" w:ascii="Times New Roman" w:hAnsi="Times New Roman" w:cs="Times New Roman" w:eastAsiaTheme="minorEastAsia"/>
                <w:color w:val="auto"/>
                <w:kern w:val="2"/>
                <w:sz w:val="21"/>
                <w:szCs w:val="21"/>
                <w:lang w:val="en-US" w:eastAsia="zh-CN" w:bidi="ar-SA"/>
              </w:rPr>
            </w:pPr>
            <w:r>
              <w:rPr>
                <w:rFonts w:eastAsiaTheme="minorEastAsia"/>
                <w:color w:val="auto"/>
                <w:szCs w:val="21"/>
              </w:rPr>
              <w:t>非甲烷总烃</w:t>
            </w:r>
          </w:p>
        </w:tc>
        <w:tc>
          <w:tcPr>
            <w:tcW w:w="1701" w:type="dxa"/>
            <w:shd w:val="clear" w:color="auto" w:fill="auto"/>
            <w:vAlign w:val="center"/>
          </w:tcPr>
          <w:p w14:paraId="71197E27">
            <w:pPr>
              <w:pStyle w:val="48"/>
              <w:adjustRightInd/>
              <w:snapToGrid/>
              <w:spacing w:beforeLines="0" w:afterLines="0" w:line="0" w:lineRule="atLeast"/>
              <w:contextualSpacing/>
              <w:rPr>
                <w:rFonts w:ascii="Times New Roman" w:hAnsi="Times New Roman" w:eastAsia="宋体" w:cs="Times New Roman"/>
                <w:snapToGrid w:val="0"/>
                <w:color w:val="auto"/>
                <w:kern w:val="21"/>
                <w:sz w:val="21"/>
                <w:szCs w:val="21"/>
                <w:lang w:val="en-US" w:eastAsia="zh-CN" w:bidi="ar-SA"/>
              </w:rPr>
            </w:pPr>
          </w:p>
        </w:tc>
        <w:tc>
          <w:tcPr>
            <w:tcW w:w="1134" w:type="dxa"/>
            <w:shd w:val="clear" w:color="auto" w:fill="auto"/>
            <w:vAlign w:val="center"/>
          </w:tcPr>
          <w:p w14:paraId="77F04E64">
            <w:pPr>
              <w:pStyle w:val="48"/>
              <w:adjustRightInd/>
              <w:snapToGrid/>
              <w:spacing w:beforeLines="0" w:afterLines="0" w:line="0" w:lineRule="atLeast"/>
              <w:contextualSpacing/>
              <w:rPr>
                <w:rFonts w:ascii="Times New Roman" w:hAnsi="Times New Roman" w:eastAsia="宋体" w:cs="Times New Roman"/>
                <w:snapToGrid w:val="0"/>
                <w:color w:val="auto"/>
                <w:kern w:val="21"/>
                <w:sz w:val="21"/>
                <w:szCs w:val="21"/>
                <w:lang w:val="en-US" w:eastAsia="zh-CN" w:bidi="ar-SA"/>
              </w:rPr>
            </w:pPr>
          </w:p>
        </w:tc>
        <w:tc>
          <w:tcPr>
            <w:tcW w:w="1842" w:type="dxa"/>
            <w:shd w:val="clear" w:color="auto" w:fill="auto"/>
            <w:vAlign w:val="center"/>
          </w:tcPr>
          <w:p w14:paraId="6AA33BC1">
            <w:pPr>
              <w:pStyle w:val="48"/>
              <w:adjustRightInd/>
              <w:snapToGrid/>
              <w:spacing w:beforeLines="0" w:afterLines="0" w:line="0" w:lineRule="atLeast"/>
              <w:contextualSpacing/>
              <w:rPr>
                <w:rFonts w:ascii="Times New Roman" w:hAnsi="Times New Roman" w:eastAsia="宋体" w:cs="Times New Roman"/>
                <w:snapToGrid w:val="0"/>
                <w:color w:val="auto"/>
                <w:kern w:val="21"/>
                <w:sz w:val="21"/>
                <w:szCs w:val="21"/>
                <w:lang w:val="en-US" w:eastAsia="zh-CN" w:bidi="ar-SA"/>
              </w:rPr>
            </w:pPr>
          </w:p>
        </w:tc>
        <w:tc>
          <w:tcPr>
            <w:tcW w:w="1560" w:type="dxa"/>
            <w:shd w:val="clear" w:color="auto" w:fill="auto"/>
            <w:vAlign w:val="center"/>
          </w:tcPr>
          <w:p w14:paraId="2192B621">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087</w:t>
            </w:r>
          </w:p>
        </w:tc>
        <w:tc>
          <w:tcPr>
            <w:tcW w:w="1842" w:type="dxa"/>
            <w:shd w:val="clear" w:color="auto" w:fill="auto"/>
            <w:vAlign w:val="center"/>
          </w:tcPr>
          <w:p w14:paraId="7B9B5A90">
            <w:pPr>
              <w:pStyle w:val="48"/>
              <w:adjustRightInd/>
              <w:snapToGrid/>
              <w:spacing w:beforeLines="0" w:afterLines="0" w:line="0" w:lineRule="atLeast"/>
              <w:contextualSpacing/>
              <w:rPr>
                <w:rFonts w:ascii="Times New Roman" w:hAnsi="Times New Roman" w:eastAsia="宋体" w:cs="Times New Roman"/>
                <w:snapToGrid w:val="0"/>
                <w:color w:val="auto"/>
                <w:kern w:val="21"/>
                <w:sz w:val="21"/>
                <w:szCs w:val="21"/>
                <w:lang w:val="en-US" w:eastAsia="zh-CN" w:bidi="ar-SA"/>
              </w:rPr>
            </w:pPr>
          </w:p>
        </w:tc>
        <w:tc>
          <w:tcPr>
            <w:tcW w:w="1843" w:type="dxa"/>
            <w:shd w:val="clear" w:color="auto" w:fill="auto"/>
            <w:vAlign w:val="center"/>
          </w:tcPr>
          <w:p w14:paraId="6EB45BFF">
            <w:pPr>
              <w:contextualSpacing/>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087</w:t>
            </w:r>
          </w:p>
        </w:tc>
        <w:tc>
          <w:tcPr>
            <w:tcW w:w="1276" w:type="dxa"/>
            <w:shd w:val="clear" w:color="auto" w:fill="auto"/>
            <w:vAlign w:val="center"/>
          </w:tcPr>
          <w:p w14:paraId="2E39DCF8">
            <w:pPr>
              <w:contextualSpacing/>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087</w:t>
            </w:r>
          </w:p>
        </w:tc>
      </w:tr>
      <w:tr w14:paraId="5A8CE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continue"/>
            <w:vAlign w:val="center"/>
          </w:tcPr>
          <w:p w14:paraId="511FED3B">
            <w:pPr>
              <w:pStyle w:val="48"/>
              <w:adjustRightInd/>
              <w:snapToGrid/>
              <w:spacing w:beforeLines="0" w:afterLines="0" w:line="0" w:lineRule="atLeast"/>
              <w:contextualSpacing/>
              <w:rPr>
                <w:rFonts w:ascii="Times New Roman"/>
                <w:snapToGrid w:val="0"/>
                <w:color w:val="auto"/>
                <w:kern w:val="21"/>
                <w:szCs w:val="21"/>
              </w:rPr>
            </w:pPr>
          </w:p>
        </w:tc>
        <w:tc>
          <w:tcPr>
            <w:tcW w:w="1985" w:type="dxa"/>
            <w:vAlign w:val="center"/>
          </w:tcPr>
          <w:p w14:paraId="40C663EB">
            <w:pPr>
              <w:jc w:val="center"/>
              <w:rPr>
                <w:rFonts w:eastAsiaTheme="minorEastAsia"/>
                <w:color w:val="auto"/>
                <w:szCs w:val="21"/>
              </w:rPr>
            </w:pPr>
          </w:p>
        </w:tc>
        <w:tc>
          <w:tcPr>
            <w:tcW w:w="1701" w:type="dxa"/>
            <w:vAlign w:val="center"/>
          </w:tcPr>
          <w:p w14:paraId="463D125E">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03CD8FCC">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00D0219D">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36FEB61D">
            <w:pPr>
              <w:contextualSpacing/>
              <w:jc w:val="center"/>
              <w:rPr>
                <w:rFonts w:hint="default" w:ascii="Times New Roman" w:hAnsi="Times New Roman" w:eastAsia="宋体" w:cs="Times New Roman"/>
                <w:color w:val="auto"/>
                <w:sz w:val="21"/>
                <w:szCs w:val="21"/>
                <w:lang w:val="en-US" w:eastAsia="zh-CN"/>
              </w:rPr>
            </w:pPr>
          </w:p>
        </w:tc>
        <w:tc>
          <w:tcPr>
            <w:tcW w:w="1842" w:type="dxa"/>
            <w:vAlign w:val="center"/>
          </w:tcPr>
          <w:p w14:paraId="61DEAFEC">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0C859917">
            <w:pPr>
              <w:contextualSpacing/>
              <w:jc w:val="center"/>
              <w:rPr>
                <w:color w:val="auto"/>
                <w:szCs w:val="21"/>
              </w:rPr>
            </w:pPr>
          </w:p>
        </w:tc>
        <w:tc>
          <w:tcPr>
            <w:tcW w:w="1276" w:type="dxa"/>
            <w:vAlign w:val="center"/>
          </w:tcPr>
          <w:p w14:paraId="3B9AA3D9">
            <w:pPr>
              <w:contextualSpacing/>
              <w:jc w:val="center"/>
              <w:rPr>
                <w:color w:val="auto"/>
                <w:szCs w:val="21"/>
              </w:rPr>
            </w:pPr>
          </w:p>
        </w:tc>
      </w:tr>
      <w:tr w14:paraId="29331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Align w:val="center"/>
          </w:tcPr>
          <w:p w14:paraId="2A989703">
            <w:pPr>
              <w:pStyle w:val="48"/>
              <w:adjustRightInd/>
              <w:snapToGrid/>
              <w:spacing w:beforeLines="0" w:afterLines="0" w:line="0" w:lineRule="atLeast"/>
              <w:contextualSpacing/>
              <w:rPr>
                <w:rFonts w:ascii="Times New Roman"/>
                <w:snapToGrid w:val="0"/>
                <w:color w:val="auto"/>
                <w:kern w:val="21"/>
                <w:szCs w:val="21"/>
              </w:rPr>
            </w:pPr>
            <w:r>
              <w:rPr>
                <w:rFonts w:ascii="Times New Roman"/>
                <w:snapToGrid w:val="0"/>
                <w:color w:val="auto"/>
                <w:kern w:val="21"/>
                <w:szCs w:val="21"/>
              </w:rPr>
              <w:t>废水</w:t>
            </w:r>
          </w:p>
        </w:tc>
        <w:tc>
          <w:tcPr>
            <w:tcW w:w="1985" w:type="dxa"/>
            <w:vAlign w:val="center"/>
          </w:tcPr>
          <w:p w14:paraId="2D666E51">
            <w:pPr>
              <w:pStyle w:val="48"/>
              <w:adjustRightInd/>
              <w:snapToGrid/>
              <w:spacing w:beforeLines="0" w:afterLines="0" w:line="0" w:lineRule="atLeast"/>
              <w:contextualSpacing/>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14:paraId="06104CAC">
            <w:pPr>
              <w:spacing w:line="0" w:lineRule="atLeast"/>
              <w:contextualSpacing/>
              <w:jc w:val="center"/>
              <w:rPr>
                <w:color w:val="auto"/>
                <w:szCs w:val="21"/>
              </w:rPr>
            </w:pPr>
          </w:p>
        </w:tc>
        <w:tc>
          <w:tcPr>
            <w:tcW w:w="1134" w:type="dxa"/>
            <w:vAlign w:val="center"/>
          </w:tcPr>
          <w:p w14:paraId="2BE1BBD3">
            <w:pPr>
              <w:spacing w:line="0" w:lineRule="atLeast"/>
              <w:contextualSpacing/>
              <w:jc w:val="center"/>
              <w:rPr>
                <w:rFonts w:eastAsiaTheme="minorEastAsia"/>
                <w:color w:val="auto"/>
                <w:szCs w:val="21"/>
              </w:rPr>
            </w:pPr>
          </w:p>
        </w:tc>
        <w:tc>
          <w:tcPr>
            <w:tcW w:w="1842" w:type="dxa"/>
            <w:vAlign w:val="center"/>
          </w:tcPr>
          <w:p w14:paraId="1F5827CF">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254A84EE">
            <w:pPr>
              <w:autoSpaceDE w:val="0"/>
              <w:autoSpaceDN w:val="0"/>
              <w:spacing w:line="0" w:lineRule="atLeast"/>
              <w:contextualSpacing/>
              <w:jc w:val="center"/>
              <w:rPr>
                <w:bCs/>
                <w:color w:val="auto"/>
                <w:szCs w:val="21"/>
              </w:rPr>
            </w:pPr>
          </w:p>
        </w:tc>
        <w:tc>
          <w:tcPr>
            <w:tcW w:w="1842" w:type="dxa"/>
            <w:vAlign w:val="center"/>
          </w:tcPr>
          <w:p w14:paraId="026CEF00">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21880F53">
            <w:pPr>
              <w:autoSpaceDE w:val="0"/>
              <w:autoSpaceDN w:val="0"/>
              <w:spacing w:line="0" w:lineRule="atLeast"/>
              <w:contextualSpacing/>
              <w:jc w:val="center"/>
              <w:rPr>
                <w:bCs/>
                <w:color w:val="auto"/>
                <w:szCs w:val="21"/>
              </w:rPr>
            </w:pPr>
          </w:p>
        </w:tc>
        <w:tc>
          <w:tcPr>
            <w:tcW w:w="1276" w:type="dxa"/>
            <w:vAlign w:val="center"/>
          </w:tcPr>
          <w:p w14:paraId="3788FA4A">
            <w:pPr>
              <w:autoSpaceDE w:val="0"/>
              <w:autoSpaceDN w:val="0"/>
              <w:spacing w:line="0" w:lineRule="atLeast"/>
              <w:contextualSpacing/>
              <w:jc w:val="center"/>
              <w:rPr>
                <w:bCs/>
                <w:color w:val="auto"/>
                <w:szCs w:val="21"/>
              </w:rPr>
            </w:pPr>
          </w:p>
        </w:tc>
      </w:tr>
      <w:tr w14:paraId="17B16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restart"/>
            <w:vAlign w:val="center"/>
          </w:tcPr>
          <w:p w14:paraId="0F23E433">
            <w:pPr>
              <w:pStyle w:val="48"/>
              <w:adjustRightInd/>
              <w:snapToGrid/>
              <w:spacing w:beforeLines="0" w:afterLines="0" w:line="0" w:lineRule="atLeast"/>
              <w:contextualSpacing/>
              <w:rPr>
                <w:rFonts w:ascii="Times New Roman"/>
                <w:snapToGrid w:val="0"/>
                <w:color w:val="auto"/>
                <w:kern w:val="21"/>
                <w:szCs w:val="21"/>
              </w:rPr>
            </w:pPr>
            <w:r>
              <w:rPr>
                <w:rFonts w:ascii="Times New Roman"/>
                <w:snapToGrid w:val="0"/>
                <w:color w:val="auto"/>
                <w:kern w:val="21"/>
                <w:szCs w:val="21"/>
              </w:rPr>
              <w:t>一般工业</w:t>
            </w:r>
          </w:p>
          <w:p w14:paraId="6DA7855B">
            <w:pPr>
              <w:pStyle w:val="48"/>
              <w:adjustRightInd/>
              <w:snapToGrid/>
              <w:spacing w:beforeLines="0" w:afterLines="0" w:line="0" w:lineRule="atLeast"/>
              <w:contextualSpacing/>
              <w:rPr>
                <w:rFonts w:ascii="Times New Roman"/>
                <w:snapToGrid w:val="0"/>
                <w:color w:val="auto"/>
                <w:kern w:val="21"/>
                <w:szCs w:val="21"/>
              </w:rPr>
            </w:pPr>
            <w:r>
              <w:rPr>
                <w:rFonts w:ascii="Times New Roman"/>
                <w:snapToGrid w:val="0"/>
                <w:color w:val="auto"/>
                <w:kern w:val="21"/>
                <w:szCs w:val="21"/>
              </w:rPr>
              <w:t>固体废物</w:t>
            </w:r>
          </w:p>
        </w:tc>
        <w:tc>
          <w:tcPr>
            <w:tcW w:w="1985" w:type="dxa"/>
            <w:vAlign w:val="center"/>
          </w:tcPr>
          <w:p w14:paraId="75D0DC36">
            <w:pPr>
              <w:spacing w:line="0" w:lineRule="atLeast"/>
              <w:contextualSpacing/>
              <w:jc w:val="center"/>
              <w:rPr>
                <w:rFonts w:eastAsiaTheme="minorEastAsia"/>
                <w:color w:val="auto"/>
                <w:szCs w:val="21"/>
              </w:rPr>
            </w:pPr>
            <w:r>
              <w:rPr>
                <w:rFonts w:eastAsiaTheme="minorEastAsia"/>
                <w:color w:val="auto"/>
                <w:szCs w:val="21"/>
              </w:rPr>
              <w:t>除尘器收集的粉尘</w:t>
            </w:r>
          </w:p>
        </w:tc>
        <w:tc>
          <w:tcPr>
            <w:tcW w:w="1701" w:type="dxa"/>
            <w:vAlign w:val="center"/>
          </w:tcPr>
          <w:p w14:paraId="603CEEC1">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2B4E19BD">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4C7889B0">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737974E0">
            <w:pPr>
              <w:spacing w:line="0" w:lineRule="atLeast"/>
              <w:jc w:val="center"/>
              <w:rPr>
                <w:rFonts w:hint="default" w:eastAsiaTheme="minorEastAsia"/>
                <w:color w:val="auto"/>
                <w:szCs w:val="21"/>
                <w:lang w:val="en-US" w:eastAsia="zh-CN"/>
              </w:rPr>
            </w:pPr>
            <w:r>
              <w:rPr>
                <w:rFonts w:hint="eastAsia" w:eastAsiaTheme="minorEastAsia"/>
                <w:color w:val="auto"/>
                <w:szCs w:val="21"/>
                <w:lang w:val="en-US" w:eastAsia="zh-CN"/>
              </w:rPr>
              <w:t>400.2</w:t>
            </w:r>
          </w:p>
        </w:tc>
        <w:tc>
          <w:tcPr>
            <w:tcW w:w="1842" w:type="dxa"/>
            <w:vAlign w:val="center"/>
          </w:tcPr>
          <w:p w14:paraId="15B012DF">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57862484">
            <w:pPr>
              <w:spacing w:line="0" w:lineRule="atLeast"/>
              <w:jc w:val="center"/>
              <w:rPr>
                <w:rFonts w:eastAsiaTheme="minorEastAsia"/>
                <w:color w:val="auto"/>
                <w:szCs w:val="21"/>
              </w:rPr>
            </w:pPr>
            <w:r>
              <w:rPr>
                <w:rFonts w:hint="eastAsia" w:eastAsiaTheme="minorEastAsia"/>
                <w:color w:val="auto"/>
                <w:szCs w:val="21"/>
                <w:lang w:val="en-US" w:eastAsia="zh-CN"/>
              </w:rPr>
              <w:t>400.2</w:t>
            </w:r>
          </w:p>
        </w:tc>
        <w:tc>
          <w:tcPr>
            <w:tcW w:w="1276" w:type="dxa"/>
            <w:vAlign w:val="center"/>
          </w:tcPr>
          <w:p w14:paraId="56D3FD76">
            <w:pPr>
              <w:spacing w:line="0" w:lineRule="atLeast"/>
              <w:jc w:val="center"/>
              <w:rPr>
                <w:rFonts w:eastAsiaTheme="minorEastAsia"/>
                <w:color w:val="auto"/>
                <w:szCs w:val="21"/>
              </w:rPr>
            </w:pPr>
            <w:r>
              <w:rPr>
                <w:rFonts w:hint="eastAsia" w:eastAsiaTheme="minorEastAsia"/>
                <w:color w:val="auto"/>
                <w:szCs w:val="21"/>
                <w:lang w:val="en-US" w:eastAsia="zh-CN"/>
              </w:rPr>
              <w:t>400.2</w:t>
            </w:r>
          </w:p>
        </w:tc>
      </w:tr>
      <w:tr w14:paraId="023E8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continue"/>
            <w:vAlign w:val="center"/>
          </w:tcPr>
          <w:p w14:paraId="684D0BF6">
            <w:pPr>
              <w:pStyle w:val="48"/>
              <w:adjustRightInd/>
              <w:snapToGrid/>
              <w:spacing w:beforeLines="0" w:afterLines="0" w:line="0" w:lineRule="atLeast"/>
              <w:contextualSpacing/>
              <w:rPr>
                <w:rFonts w:ascii="Times New Roman"/>
                <w:snapToGrid w:val="0"/>
                <w:color w:val="auto"/>
                <w:kern w:val="21"/>
                <w:szCs w:val="21"/>
              </w:rPr>
            </w:pPr>
          </w:p>
        </w:tc>
        <w:tc>
          <w:tcPr>
            <w:tcW w:w="1985" w:type="dxa"/>
            <w:vAlign w:val="center"/>
          </w:tcPr>
          <w:p w14:paraId="602F044E">
            <w:pPr>
              <w:spacing w:line="0" w:lineRule="atLeast"/>
              <w:jc w:val="center"/>
              <w:rPr>
                <w:rFonts w:eastAsiaTheme="minorEastAsia"/>
                <w:color w:val="auto"/>
                <w:szCs w:val="21"/>
              </w:rPr>
            </w:pPr>
            <w:r>
              <w:rPr>
                <w:rFonts w:eastAsiaTheme="minorEastAsia"/>
                <w:color w:val="auto"/>
                <w:szCs w:val="21"/>
              </w:rPr>
              <w:t>废布袋</w:t>
            </w:r>
          </w:p>
        </w:tc>
        <w:tc>
          <w:tcPr>
            <w:tcW w:w="1701" w:type="dxa"/>
            <w:vAlign w:val="center"/>
          </w:tcPr>
          <w:p w14:paraId="07A376AD">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7000CC4E">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28CB0571">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329315F4">
            <w:pPr>
              <w:spacing w:line="0" w:lineRule="atLeast"/>
              <w:jc w:val="center"/>
              <w:rPr>
                <w:rFonts w:eastAsiaTheme="minorEastAsia"/>
                <w:color w:val="auto"/>
                <w:szCs w:val="21"/>
              </w:rPr>
            </w:pPr>
            <w:r>
              <w:rPr>
                <w:rFonts w:eastAsiaTheme="minorEastAsia"/>
                <w:color w:val="auto"/>
                <w:szCs w:val="21"/>
              </w:rPr>
              <w:t>0.2t/3a</w:t>
            </w:r>
          </w:p>
        </w:tc>
        <w:tc>
          <w:tcPr>
            <w:tcW w:w="1842" w:type="dxa"/>
            <w:vAlign w:val="center"/>
          </w:tcPr>
          <w:p w14:paraId="75A5213D">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3B3F792E">
            <w:pPr>
              <w:spacing w:line="0" w:lineRule="atLeast"/>
              <w:jc w:val="center"/>
              <w:rPr>
                <w:rFonts w:eastAsiaTheme="minorEastAsia"/>
                <w:color w:val="auto"/>
                <w:szCs w:val="21"/>
              </w:rPr>
            </w:pPr>
            <w:r>
              <w:rPr>
                <w:rFonts w:eastAsiaTheme="minorEastAsia"/>
                <w:color w:val="auto"/>
                <w:szCs w:val="21"/>
              </w:rPr>
              <w:t>0.2t/3a</w:t>
            </w:r>
          </w:p>
        </w:tc>
        <w:tc>
          <w:tcPr>
            <w:tcW w:w="1276" w:type="dxa"/>
            <w:vAlign w:val="center"/>
          </w:tcPr>
          <w:p w14:paraId="38929D57">
            <w:pPr>
              <w:spacing w:line="0" w:lineRule="atLeast"/>
              <w:jc w:val="center"/>
              <w:rPr>
                <w:rFonts w:eastAsiaTheme="minorEastAsia"/>
                <w:color w:val="auto"/>
                <w:szCs w:val="21"/>
              </w:rPr>
            </w:pPr>
            <w:r>
              <w:rPr>
                <w:rFonts w:eastAsiaTheme="minorEastAsia"/>
                <w:color w:val="auto"/>
                <w:szCs w:val="21"/>
              </w:rPr>
              <w:t>0.2t/3a</w:t>
            </w:r>
          </w:p>
        </w:tc>
      </w:tr>
      <w:tr w14:paraId="5EFDA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35" w:type="dxa"/>
            <w:vMerge w:val="continue"/>
            <w:vAlign w:val="center"/>
          </w:tcPr>
          <w:p w14:paraId="52134388">
            <w:pPr>
              <w:pStyle w:val="48"/>
              <w:adjustRightInd/>
              <w:snapToGrid/>
              <w:spacing w:beforeLines="0" w:afterLines="0" w:line="0" w:lineRule="atLeast"/>
              <w:contextualSpacing/>
              <w:rPr>
                <w:rFonts w:ascii="Times New Roman"/>
                <w:snapToGrid w:val="0"/>
                <w:color w:val="auto"/>
                <w:kern w:val="21"/>
                <w:szCs w:val="21"/>
              </w:rPr>
            </w:pPr>
          </w:p>
        </w:tc>
        <w:tc>
          <w:tcPr>
            <w:tcW w:w="1985" w:type="dxa"/>
            <w:vAlign w:val="center"/>
          </w:tcPr>
          <w:p w14:paraId="10D039DC">
            <w:pPr>
              <w:spacing w:line="0" w:lineRule="atLeast"/>
              <w:jc w:val="center"/>
              <w:rPr>
                <w:rFonts w:eastAsiaTheme="minorEastAsia"/>
                <w:color w:val="auto"/>
                <w:szCs w:val="21"/>
              </w:rPr>
            </w:pPr>
            <w:r>
              <w:rPr>
                <w:rFonts w:eastAsiaTheme="minorEastAsia"/>
                <w:color w:val="auto"/>
                <w:szCs w:val="21"/>
              </w:rPr>
              <w:t>实验室弃块</w:t>
            </w:r>
          </w:p>
        </w:tc>
        <w:tc>
          <w:tcPr>
            <w:tcW w:w="1701" w:type="dxa"/>
            <w:vAlign w:val="center"/>
          </w:tcPr>
          <w:p w14:paraId="61C1FECF">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2B1C70AE">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19FD81D0">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59DCE879">
            <w:pPr>
              <w:spacing w:line="0" w:lineRule="atLeast"/>
              <w:jc w:val="center"/>
              <w:rPr>
                <w:rFonts w:eastAsiaTheme="minorEastAsia"/>
                <w:color w:val="auto"/>
                <w:szCs w:val="21"/>
              </w:rPr>
            </w:pPr>
            <w:r>
              <w:rPr>
                <w:rFonts w:hint="eastAsia" w:eastAsiaTheme="minorEastAsia"/>
                <w:color w:val="auto"/>
                <w:szCs w:val="21"/>
              </w:rPr>
              <w:t>0.1</w:t>
            </w:r>
          </w:p>
        </w:tc>
        <w:tc>
          <w:tcPr>
            <w:tcW w:w="1842" w:type="dxa"/>
            <w:vAlign w:val="center"/>
          </w:tcPr>
          <w:p w14:paraId="5DF26F5E">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7FDEB13A">
            <w:pPr>
              <w:spacing w:line="0" w:lineRule="atLeast"/>
              <w:jc w:val="center"/>
              <w:rPr>
                <w:rFonts w:eastAsiaTheme="minorEastAsia"/>
                <w:color w:val="auto"/>
                <w:szCs w:val="21"/>
              </w:rPr>
            </w:pPr>
            <w:r>
              <w:rPr>
                <w:rFonts w:hint="eastAsia" w:eastAsiaTheme="minorEastAsia"/>
                <w:color w:val="auto"/>
                <w:szCs w:val="21"/>
              </w:rPr>
              <w:t>0.1</w:t>
            </w:r>
          </w:p>
        </w:tc>
        <w:tc>
          <w:tcPr>
            <w:tcW w:w="1276" w:type="dxa"/>
            <w:vAlign w:val="center"/>
          </w:tcPr>
          <w:p w14:paraId="1A37B31D">
            <w:pPr>
              <w:spacing w:line="0" w:lineRule="atLeast"/>
              <w:jc w:val="center"/>
              <w:rPr>
                <w:rFonts w:eastAsiaTheme="minorEastAsia"/>
                <w:color w:val="auto"/>
                <w:szCs w:val="21"/>
              </w:rPr>
            </w:pPr>
            <w:r>
              <w:rPr>
                <w:rFonts w:hint="eastAsia" w:eastAsiaTheme="minorEastAsia"/>
                <w:color w:val="auto"/>
                <w:szCs w:val="21"/>
              </w:rPr>
              <w:t>0.1</w:t>
            </w:r>
          </w:p>
        </w:tc>
      </w:tr>
      <w:tr w14:paraId="3E40F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35" w:type="dxa"/>
            <w:vMerge w:val="restart"/>
            <w:vAlign w:val="center"/>
          </w:tcPr>
          <w:p w14:paraId="29C3B8DF">
            <w:pPr>
              <w:pStyle w:val="48"/>
              <w:spacing w:before="24" w:after="24" w:line="0" w:lineRule="atLeast"/>
              <w:contextualSpacing/>
              <w:rPr>
                <w:rFonts w:ascii="Times New Roman"/>
                <w:snapToGrid w:val="0"/>
                <w:color w:val="auto"/>
                <w:kern w:val="21"/>
                <w:szCs w:val="21"/>
              </w:rPr>
            </w:pPr>
            <w:r>
              <w:rPr>
                <w:rFonts w:ascii="Times New Roman"/>
                <w:snapToGrid w:val="0"/>
                <w:color w:val="auto"/>
                <w:kern w:val="21"/>
                <w:szCs w:val="21"/>
              </w:rPr>
              <w:t>危险废物</w:t>
            </w:r>
          </w:p>
        </w:tc>
        <w:tc>
          <w:tcPr>
            <w:tcW w:w="1985" w:type="dxa"/>
            <w:vAlign w:val="center"/>
          </w:tcPr>
          <w:p w14:paraId="5B977F0A">
            <w:pPr>
              <w:spacing w:line="0" w:lineRule="atLeast"/>
              <w:contextualSpacing/>
              <w:jc w:val="center"/>
              <w:rPr>
                <w:rFonts w:eastAsiaTheme="minorEastAsia"/>
                <w:color w:val="auto"/>
                <w:szCs w:val="21"/>
              </w:rPr>
            </w:pPr>
            <w:r>
              <w:rPr>
                <w:rFonts w:eastAsiaTheme="minorEastAsia"/>
                <w:bCs/>
                <w:color w:val="auto"/>
                <w:szCs w:val="21"/>
              </w:rPr>
              <w:t>废活性炭</w:t>
            </w:r>
          </w:p>
        </w:tc>
        <w:tc>
          <w:tcPr>
            <w:tcW w:w="1701" w:type="dxa"/>
            <w:vAlign w:val="center"/>
          </w:tcPr>
          <w:p w14:paraId="0337EECE">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1C49A324">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46B1B301">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5DA4E0D1">
            <w:pPr>
              <w:spacing w:line="0" w:lineRule="atLeast"/>
              <w:jc w:val="center"/>
              <w:rPr>
                <w:rFonts w:eastAsiaTheme="minorEastAsia"/>
                <w:color w:val="auto"/>
                <w:szCs w:val="21"/>
              </w:rPr>
            </w:pPr>
            <w:r>
              <w:rPr>
                <w:rFonts w:hint="eastAsia" w:eastAsiaTheme="minorEastAsia"/>
                <w:color w:val="auto"/>
                <w:szCs w:val="21"/>
              </w:rPr>
              <w:t>3.6</w:t>
            </w:r>
          </w:p>
        </w:tc>
        <w:tc>
          <w:tcPr>
            <w:tcW w:w="1842" w:type="dxa"/>
            <w:vAlign w:val="center"/>
          </w:tcPr>
          <w:p w14:paraId="75DA5675">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3C1671D9">
            <w:pPr>
              <w:spacing w:line="0" w:lineRule="atLeast"/>
              <w:jc w:val="center"/>
              <w:rPr>
                <w:rFonts w:eastAsiaTheme="minorEastAsia"/>
                <w:color w:val="auto"/>
                <w:szCs w:val="21"/>
              </w:rPr>
            </w:pPr>
            <w:r>
              <w:rPr>
                <w:rFonts w:hint="eastAsia" w:eastAsiaTheme="minorEastAsia"/>
                <w:color w:val="auto"/>
                <w:szCs w:val="21"/>
              </w:rPr>
              <w:t>3.6</w:t>
            </w:r>
          </w:p>
        </w:tc>
        <w:tc>
          <w:tcPr>
            <w:tcW w:w="1276" w:type="dxa"/>
            <w:vAlign w:val="center"/>
          </w:tcPr>
          <w:p w14:paraId="518E17BB">
            <w:pPr>
              <w:spacing w:line="0" w:lineRule="atLeast"/>
              <w:jc w:val="center"/>
              <w:rPr>
                <w:rFonts w:eastAsiaTheme="minorEastAsia"/>
                <w:color w:val="auto"/>
                <w:szCs w:val="21"/>
              </w:rPr>
            </w:pPr>
            <w:r>
              <w:rPr>
                <w:rFonts w:hint="eastAsia" w:eastAsiaTheme="minorEastAsia"/>
                <w:color w:val="auto"/>
                <w:szCs w:val="21"/>
              </w:rPr>
              <w:t>3.6</w:t>
            </w:r>
          </w:p>
        </w:tc>
      </w:tr>
      <w:tr w14:paraId="35EA7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35" w:type="dxa"/>
            <w:vMerge w:val="continue"/>
            <w:vAlign w:val="center"/>
          </w:tcPr>
          <w:p w14:paraId="12DEA00A">
            <w:pPr>
              <w:pStyle w:val="48"/>
              <w:spacing w:before="24" w:after="24" w:line="0" w:lineRule="atLeast"/>
              <w:contextualSpacing/>
              <w:rPr>
                <w:rFonts w:ascii="Times New Roman"/>
                <w:snapToGrid w:val="0"/>
                <w:color w:val="auto"/>
                <w:kern w:val="21"/>
                <w:szCs w:val="21"/>
              </w:rPr>
            </w:pPr>
          </w:p>
        </w:tc>
        <w:tc>
          <w:tcPr>
            <w:tcW w:w="1985" w:type="dxa"/>
            <w:vAlign w:val="center"/>
          </w:tcPr>
          <w:p w14:paraId="360EF7E9">
            <w:pPr>
              <w:spacing w:line="0" w:lineRule="atLeast"/>
              <w:contextualSpacing/>
              <w:jc w:val="center"/>
              <w:rPr>
                <w:rFonts w:eastAsiaTheme="minorEastAsia"/>
                <w:bCs/>
                <w:color w:val="auto"/>
                <w:szCs w:val="21"/>
              </w:rPr>
            </w:pPr>
            <w:r>
              <w:rPr>
                <w:rFonts w:eastAsiaTheme="minorEastAsia"/>
                <w:color w:val="auto"/>
                <w:szCs w:val="21"/>
              </w:rPr>
              <w:t>废</w:t>
            </w:r>
            <w:r>
              <w:rPr>
                <w:rFonts w:hint="eastAsia" w:eastAsiaTheme="minorEastAsia"/>
                <w:color w:val="auto"/>
                <w:szCs w:val="21"/>
              </w:rPr>
              <w:t>导热油</w:t>
            </w:r>
          </w:p>
        </w:tc>
        <w:tc>
          <w:tcPr>
            <w:tcW w:w="1701" w:type="dxa"/>
            <w:vAlign w:val="center"/>
          </w:tcPr>
          <w:p w14:paraId="1EF26F3B">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2663EC67">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0DAA6808">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363555FF">
            <w:pPr>
              <w:spacing w:line="0" w:lineRule="atLeast"/>
              <w:jc w:val="center"/>
              <w:rPr>
                <w:rFonts w:eastAsiaTheme="minorEastAsia"/>
                <w:color w:val="auto"/>
                <w:szCs w:val="21"/>
              </w:rPr>
            </w:pPr>
            <w:r>
              <w:rPr>
                <w:rFonts w:hint="eastAsia" w:eastAsiaTheme="minorEastAsia"/>
                <w:color w:val="auto"/>
                <w:szCs w:val="21"/>
              </w:rPr>
              <w:t>3t/3a</w:t>
            </w:r>
          </w:p>
        </w:tc>
        <w:tc>
          <w:tcPr>
            <w:tcW w:w="1842" w:type="dxa"/>
            <w:vAlign w:val="center"/>
          </w:tcPr>
          <w:p w14:paraId="39A9BD61">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4DAA912E">
            <w:pPr>
              <w:spacing w:line="0" w:lineRule="atLeast"/>
              <w:jc w:val="center"/>
              <w:rPr>
                <w:rFonts w:eastAsiaTheme="minorEastAsia"/>
                <w:color w:val="auto"/>
                <w:szCs w:val="21"/>
              </w:rPr>
            </w:pPr>
            <w:r>
              <w:rPr>
                <w:rFonts w:hint="eastAsia" w:eastAsiaTheme="minorEastAsia"/>
                <w:color w:val="auto"/>
                <w:szCs w:val="21"/>
              </w:rPr>
              <w:t>3t/3a</w:t>
            </w:r>
          </w:p>
        </w:tc>
        <w:tc>
          <w:tcPr>
            <w:tcW w:w="1276" w:type="dxa"/>
            <w:vAlign w:val="center"/>
          </w:tcPr>
          <w:p w14:paraId="46F3AC1B">
            <w:pPr>
              <w:spacing w:line="0" w:lineRule="atLeast"/>
              <w:jc w:val="center"/>
              <w:rPr>
                <w:rFonts w:eastAsiaTheme="minorEastAsia"/>
                <w:b/>
                <w:color w:val="auto"/>
                <w:szCs w:val="21"/>
              </w:rPr>
            </w:pPr>
            <w:r>
              <w:rPr>
                <w:rFonts w:hint="eastAsia" w:eastAsiaTheme="minorEastAsia"/>
                <w:color w:val="auto"/>
                <w:szCs w:val="21"/>
              </w:rPr>
              <w:t>3t/3a</w:t>
            </w:r>
          </w:p>
        </w:tc>
      </w:tr>
      <w:tr w14:paraId="3B561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35" w:type="dxa"/>
            <w:vMerge w:val="continue"/>
            <w:vAlign w:val="center"/>
          </w:tcPr>
          <w:p w14:paraId="01F43690">
            <w:pPr>
              <w:pStyle w:val="48"/>
              <w:spacing w:before="24" w:after="24" w:line="0" w:lineRule="atLeast"/>
              <w:contextualSpacing/>
              <w:rPr>
                <w:rFonts w:ascii="Times New Roman"/>
                <w:snapToGrid w:val="0"/>
                <w:color w:val="auto"/>
                <w:kern w:val="21"/>
                <w:szCs w:val="21"/>
              </w:rPr>
            </w:pPr>
          </w:p>
        </w:tc>
        <w:tc>
          <w:tcPr>
            <w:tcW w:w="1985" w:type="dxa"/>
            <w:vAlign w:val="center"/>
          </w:tcPr>
          <w:p w14:paraId="5F650EDB">
            <w:pPr>
              <w:spacing w:line="0" w:lineRule="atLeast"/>
              <w:contextualSpacing/>
              <w:jc w:val="center"/>
              <w:rPr>
                <w:rFonts w:eastAsiaTheme="minorEastAsia"/>
                <w:color w:val="auto"/>
                <w:szCs w:val="21"/>
              </w:rPr>
            </w:pPr>
            <w:r>
              <w:rPr>
                <w:rFonts w:eastAsiaTheme="minorEastAsia"/>
                <w:bCs/>
                <w:color w:val="auto"/>
                <w:szCs w:val="21"/>
              </w:rPr>
              <w:t>废</w:t>
            </w:r>
            <w:r>
              <w:rPr>
                <w:rFonts w:hint="eastAsia" w:eastAsiaTheme="minorEastAsia"/>
                <w:bCs/>
                <w:color w:val="auto"/>
                <w:szCs w:val="21"/>
              </w:rPr>
              <w:t>油桶</w:t>
            </w:r>
          </w:p>
        </w:tc>
        <w:tc>
          <w:tcPr>
            <w:tcW w:w="1701" w:type="dxa"/>
            <w:vAlign w:val="center"/>
          </w:tcPr>
          <w:p w14:paraId="0F6DEE05">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4C83C0DF">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13D0A1F4">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46773475">
            <w:pPr>
              <w:spacing w:line="0" w:lineRule="atLeast"/>
              <w:jc w:val="center"/>
              <w:rPr>
                <w:rFonts w:eastAsiaTheme="minorEastAsia"/>
                <w:color w:val="auto"/>
                <w:szCs w:val="21"/>
              </w:rPr>
            </w:pPr>
            <w:r>
              <w:rPr>
                <w:rFonts w:hint="eastAsia" w:eastAsiaTheme="minorEastAsia"/>
                <w:color w:val="auto"/>
                <w:szCs w:val="21"/>
              </w:rPr>
              <w:t>0.01 t/3a</w:t>
            </w:r>
          </w:p>
        </w:tc>
        <w:tc>
          <w:tcPr>
            <w:tcW w:w="1842" w:type="dxa"/>
            <w:vAlign w:val="center"/>
          </w:tcPr>
          <w:p w14:paraId="1C111D46">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4C64C567">
            <w:pPr>
              <w:spacing w:line="0" w:lineRule="atLeast"/>
              <w:jc w:val="center"/>
              <w:rPr>
                <w:rFonts w:eastAsiaTheme="minorEastAsia"/>
                <w:color w:val="auto"/>
                <w:szCs w:val="21"/>
              </w:rPr>
            </w:pPr>
            <w:r>
              <w:rPr>
                <w:rFonts w:hint="eastAsia" w:eastAsiaTheme="minorEastAsia"/>
                <w:color w:val="auto"/>
                <w:szCs w:val="21"/>
              </w:rPr>
              <w:t>0.01 t/3a</w:t>
            </w:r>
          </w:p>
        </w:tc>
        <w:tc>
          <w:tcPr>
            <w:tcW w:w="1276" w:type="dxa"/>
            <w:vAlign w:val="center"/>
          </w:tcPr>
          <w:p w14:paraId="3CFC8ED8">
            <w:pPr>
              <w:spacing w:line="0" w:lineRule="atLeast"/>
              <w:jc w:val="center"/>
              <w:rPr>
                <w:rFonts w:eastAsiaTheme="minorEastAsia"/>
                <w:color w:val="auto"/>
                <w:szCs w:val="21"/>
              </w:rPr>
            </w:pPr>
            <w:r>
              <w:rPr>
                <w:rFonts w:hint="eastAsia" w:eastAsiaTheme="minorEastAsia"/>
                <w:color w:val="auto"/>
                <w:szCs w:val="21"/>
              </w:rPr>
              <w:t>0.01 t/3a</w:t>
            </w:r>
          </w:p>
        </w:tc>
      </w:tr>
      <w:tr w14:paraId="730F0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35" w:type="dxa"/>
            <w:vMerge w:val="continue"/>
            <w:vAlign w:val="center"/>
          </w:tcPr>
          <w:p w14:paraId="71A1CFFC">
            <w:pPr>
              <w:pStyle w:val="48"/>
              <w:spacing w:before="24" w:after="24" w:line="0" w:lineRule="atLeast"/>
              <w:contextualSpacing/>
              <w:rPr>
                <w:rFonts w:ascii="Times New Roman"/>
                <w:snapToGrid w:val="0"/>
                <w:color w:val="auto"/>
                <w:kern w:val="21"/>
                <w:szCs w:val="21"/>
              </w:rPr>
            </w:pPr>
          </w:p>
        </w:tc>
        <w:tc>
          <w:tcPr>
            <w:tcW w:w="1985" w:type="dxa"/>
            <w:vAlign w:val="center"/>
          </w:tcPr>
          <w:p w14:paraId="779F7408">
            <w:pPr>
              <w:spacing w:line="0" w:lineRule="atLeast"/>
              <w:contextualSpacing/>
              <w:jc w:val="center"/>
              <w:rPr>
                <w:rFonts w:eastAsiaTheme="minorEastAsia"/>
                <w:bCs/>
                <w:color w:val="auto"/>
                <w:szCs w:val="21"/>
              </w:rPr>
            </w:pPr>
            <w:r>
              <w:rPr>
                <w:rFonts w:eastAsiaTheme="minorEastAsia"/>
                <w:bCs/>
                <w:color w:val="auto"/>
                <w:szCs w:val="21"/>
              </w:rPr>
              <w:t>初期雨水池油污</w:t>
            </w:r>
          </w:p>
        </w:tc>
        <w:tc>
          <w:tcPr>
            <w:tcW w:w="1701" w:type="dxa"/>
            <w:vAlign w:val="center"/>
          </w:tcPr>
          <w:p w14:paraId="27B67FEC">
            <w:pPr>
              <w:pStyle w:val="48"/>
              <w:adjustRightInd/>
              <w:snapToGrid/>
              <w:spacing w:beforeLines="0" w:afterLines="0" w:line="0" w:lineRule="atLeast"/>
              <w:contextualSpacing/>
              <w:rPr>
                <w:rFonts w:ascii="Times New Roman"/>
                <w:snapToGrid w:val="0"/>
                <w:color w:val="auto"/>
                <w:kern w:val="21"/>
                <w:szCs w:val="21"/>
              </w:rPr>
            </w:pPr>
          </w:p>
        </w:tc>
        <w:tc>
          <w:tcPr>
            <w:tcW w:w="1134" w:type="dxa"/>
            <w:vAlign w:val="center"/>
          </w:tcPr>
          <w:p w14:paraId="6B61CCE4">
            <w:pPr>
              <w:pStyle w:val="48"/>
              <w:adjustRightInd/>
              <w:snapToGrid/>
              <w:spacing w:beforeLines="0" w:afterLines="0" w:line="0" w:lineRule="atLeast"/>
              <w:contextualSpacing/>
              <w:rPr>
                <w:rFonts w:ascii="Times New Roman"/>
                <w:snapToGrid w:val="0"/>
                <w:color w:val="auto"/>
                <w:kern w:val="21"/>
                <w:szCs w:val="21"/>
              </w:rPr>
            </w:pPr>
          </w:p>
        </w:tc>
        <w:tc>
          <w:tcPr>
            <w:tcW w:w="1842" w:type="dxa"/>
            <w:vAlign w:val="center"/>
          </w:tcPr>
          <w:p w14:paraId="6AE85A21">
            <w:pPr>
              <w:pStyle w:val="48"/>
              <w:adjustRightInd/>
              <w:snapToGrid/>
              <w:spacing w:beforeLines="0" w:afterLines="0" w:line="0" w:lineRule="atLeast"/>
              <w:contextualSpacing/>
              <w:rPr>
                <w:rFonts w:ascii="Times New Roman"/>
                <w:snapToGrid w:val="0"/>
                <w:color w:val="auto"/>
                <w:kern w:val="21"/>
                <w:szCs w:val="21"/>
              </w:rPr>
            </w:pPr>
          </w:p>
        </w:tc>
        <w:tc>
          <w:tcPr>
            <w:tcW w:w="1560" w:type="dxa"/>
            <w:vAlign w:val="center"/>
          </w:tcPr>
          <w:p w14:paraId="6239E74C">
            <w:pPr>
              <w:spacing w:line="0" w:lineRule="atLeast"/>
              <w:jc w:val="center"/>
              <w:rPr>
                <w:rFonts w:eastAsiaTheme="minorEastAsia"/>
                <w:color w:val="auto"/>
                <w:szCs w:val="21"/>
              </w:rPr>
            </w:pPr>
            <w:r>
              <w:rPr>
                <w:rFonts w:hint="eastAsia" w:eastAsiaTheme="minorEastAsia"/>
                <w:color w:val="auto"/>
                <w:szCs w:val="21"/>
              </w:rPr>
              <w:t>0.001 t/a</w:t>
            </w:r>
          </w:p>
        </w:tc>
        <w:tc>
          <w:tcPr>
            <w:tcW w:w="1842" w:type="dxa"/>
            <w:vAlign w:val="center"/>
          </w:tcPr>
          <w:p w14:paraId="2F77922D">
            <w:pPr>
              <w:pStyle w:val="48"/>
              <w:adjustRightInd/>
              <w:snapToGrid/>
              <w:spacing w:beforeLines="0" w:afterLines="0" w:line="0" w:lineRule="atLeast"/>
              <w:contextualSpacing/>
              <w:rPr>
                <w:rFonts w:ascii="Times New Roman"/>
                <w:snapToGrid w:val="0"/>
                <w:color w:val="auto"/>
                <w:kern w:val="21"/>
                <w:szCs w:val="21"/>
              </w:rPr>
            </w:pPr>
          </w:p>
        </w:tc>
        <w:tc>
          <w:tcPr>
            <w:tcW w:w="1843" w:type="dxa"/>
            <w:vAlign w:val="center"/>
          </w:tcPr>
          <w:p w14:paraId="12DD6F02">
            <w:pPr>
              <w:spacing w:line="0" w:lineRule="atLeast"/>
              <w:jc w:val="center"/>
              <w:rPr>
                <w:rFonts w:eastAsiaTheme="minorEastAsia"/>
                <w:color w:val="auto"/>
                <w:szCs w:val="21"/>
              </w:rPr>
            </w:pPr>
            <w:r>
              <w:rPr>
                <w:rFonts w:hint="eastAsia" w:eastAsiaTheme="minorEastAsia"/>
                <w:color w:val="auto"/>
                <w:szCs w:val="21"/>
              </w:rPr>
              <w:t>0.001 t/a</w:t>
            </w:r>
          </w:p>
        </w:tc>
        <w:tc>
          <w:tcPr>
            <w:tcW w:w="1276" w:type="dxa"/>
            <w:vAlign w:val="center"/>
          </w:tcPr>
          <w:p w14:paraId="1C57E3F4">
            <w:pPr>
              <w:spacing w:line="0" w:lineRule="atLeast"/>
              <w:jc w:val="center"/>
              <w:rPr>
                <w:rFonts w:eastAsiaTheme="minorEastAsia"/>
                <w:color w:val="auto"/>
                <w:szCs w:val="21"/>
              </w:rPr>
            </w:pPr>
            <w:r>
              <w:rPr>
                <w:rFonts w:hint="eastAsia" w:eastAsiaTheme="minorEastAsia"/>
                <w:color w:val="auto"/>
                <w:szCs w:val="21"/>
              </w:rPr>
              <w:t>0.001 t/a</w:t>
            </w:r>
          </w:p>
        </w:tc>
      </w:tr>
    </w:tbl>
    <w:p w14:paraId="5CB949F8">
      <w:pPr>
        <w:pStyle w:val="48"/>
        <w:spacing w:beforeLines="80" w:after="24"/>
        <w:jc w:val="left"/>
        <w:rPr>
          <w:rFonts w:ascii="Times New Roman"/>
          <w:snapToGrid w:val="0"/>
          <w:color w:val="auto"/>
          <w:spacing w:val="-6"/>
          <w:kern w:val="21"/>
          <w:szCs w:val="21"/>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color w:val="auto"/>
          <w:szCs w:val="21"/>
        </w:rPr>
        <w:t>①</w:t>
      </w:r>
      <w:r>
        <w:rPr>
          <w:rFonts w:ascii="Times New Roman"/>
          <w:snapToGrid w:val="0"/>
          <w:color w:val="auto"/>
          <w:spacing w:val="-6"/>
          <w:kern w:val="21"/>
          <w:szCs w:val="21"/>
        </w:rPr>
        <w:fldChar w:fldCharType="end"/>
      </w:r>
    </w:p>
    <w:p w14:paraId="0C917BEB">
      <w:pPr>
        <w:outlineLvl w:val="0"/>
        <w:rPr>
          <w:rFonts w:hAnsiTheme="minorEastAsia"/>
          <w:color w:val="auto"/>
          <w:sz w:val="24"/>
        </w:rPr>
      </w:pPr>
      <w:r>
        <w:rPr>
          <w:rFonts w:hAnsiTheme="minorEastAsia"/>
          <w:color w:val="auto"/>
          <w:sz w:val="24"/>
        </w:rPr>
        <w:t>附件</w:t>
      </w:r>
      <w:r>
        <w:rPr>
          <w:color w:val="auto"/>
          <w:sz w:val="24"/>
        </w:rPr>
        <w:t xml:space="preserve">1 </w:t>
      </w:r>
      <w:r>
        <w:rPr>
          <w:rFonts w:hAnsiTheme="minorEastAsia"/>
          <w:color w:val="auto"/>
          <w:sz w:val="24"/>
        </w:rPr>
        <w:t>营业执照</w:t>
      </w:r>
    </w:p>
    <w:p w14:paraId="6CAF47B9">
      <w:pPr>
        <w:pStyle w:val="9"/>
        <w:rPr>
          <w:color w:val="auto"/>
        </w:rPr>
      </w:pPr>
      <w:r>
        <w:rPr>
          <w:rFonts w:hint="eastAsia"/>
          <w:b/>
          <w:bCs/>
          <w:color w:val="auto"/>
          <w:sz w:val="32"/>
          <w:szCs w:val="40"/>
          <w:lang w:eastAsia="zh-CN"/>
        </w:rPr>
        <w:drawing>
          <wp:anchor distT="0" distB="0" distL="114300" distR="114300" simplePos="0" relativeHeight="251667456" behindDoc="0" locked="0" layoutInCell="1" allowOverlap="1">
            <wp:simplePos x="0" y="0"/>
            <wp:positionH relativeFrom="column">
              <wp:posOffset>-104140</wp:posOffset>
            </wp:positionH>
            <wp:positionV relativeFrom="paragraph">
              <wp:posOffset>163830</wp:posOffset>
            </wp:positionV>
            <wp:extent cx="5532755" cy="3021330"/>
            <wp:effectExtent l="0" t="0" r="10795" b="7620"/>
            <wp:wrapSquare wrapText="bothSides"/>
            <wp:docPr id="6" name="图片 818" descr="C:\Users\Administrator\Desktop\资质\2020营业执照（正本）.jpg2020营业执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18" descr="C:\Users\Administrator\Desktop\资质\2020营业执照（正本）.jpg2020营业执照（正本）"/>
                    <pic:cNvPicPr>
                      <a:picLocks noChangeAspect="1"/>
                    </pic:cNvPicPr>
                  </pic:nvPicPr>
                  <pic:blipFill>
                    <a:blip r:embed="rId23"/>
                    <a:stretch>
                      <a:fillRect/>
                    </a:stretch>
                  </pic:blipFill>
                  <pic:spPr>
                    <a:xfrm>
                      <a:off x="0" y="0"/>
                      <a:ext cx="5532755" cy="3021330"/>
                    </a:xfrm>
                    <a:prstGeom prst="rect">
                      <a:avLst/>
                    </a:prstGeom>
                    <a:noFill/>
                    <a:ln>
                      <a:noFill/>
                    </a:ln>
                  </pic:spPr>
                </pic:pic>
              </a:graphicData>
            </a:graphic>
          </wp:anchor>
        </w:drawing>
      </w:r>
    </w:p>
    <w:p w14:paraId="0304FF0F">
      <w:pPr>
        <w:pStyle w:val="9"/>
        <w:rPr>
          <w:color w:val="auto"/>
        </w:rPr>
      </w:pPr>
    </w:p>
    <w:p w14:paraId="31F5B1BB">
      <w:pPr>
        <w:rPr>
          <w:color w:val="auto"/>
          <w:sz w:val="2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D8B7230">
      <w:pPr>
        <w:outlineLvl w:val="0"/>
        <w:rPr>
          <w:rFonts w:hint="default" w:eastAsia="宋体"/>
          <w:color w:val="auto"/>
          <w:sz w:val="24"/>
          <w:lang w:val="en-US" w:eastAsia="zh-CN"/>
        </w:rPr>
      </w:pPr>
      <w:r>
        <w:rPr>
          <w:rFonts w:hAnsiTheme="minorEastAsia"/>
          <w:color w:val="auto"/>
          <w:sz w:val="24"/>
        </w:rPr>
        <w:t>附件</w:t>
      </w:r>
      <w:r>
        <w:rPr>
          <w:color w:val="auto"/>
          <w:sz w:val="24"/>
        </w:rPr>
        <w:t xml:space="preserve">2 </w:t>
      </w:r>
      <w:r>
        <w:rPr>
          <w:rFonts w:hint="eastAsia"/>
          <w:color w:val="auto"/>
          <w:sz w:val="24"/>
          <w:lang w:val="en-US" w:eastAsia="zh-CN"/>
        </w:rPr>
        <w:t>临时用地手续</w:t>
      </w:r>
    </w:p>
    <w:p w14:paraId="22FCA1B5">
      <w:pPr>
        <w:rPr>
          <w:color w:val="auto"/>
          <w:sz w:val="24"/>
        </w:rPr>
      </w:pPr>
      <w:r>
        <w:rPr>
          <w:color w:val="auto"/>
        </w:rPr>
        <w:drawing>
          <wp:anchor distT="0" distB="0" distL="114300" distR="114300" simplePos="0" relativeHeight="251666432" behindDoc="0" locked="0" layoutInCell="1" allowOverlap="1">
            <wp:simplePos x="0" y="0"/>
            <wp:positionH relativeFrom="column">
              <wp:posOffset>-99695</wp:posOffset>
            </wp:positionH>
            <wp:positionV relativeFrom="paragraph">
              <wp:posOffset>104775</wp:posOffset>
            </wp:positionV>
            <wp:extent cx="5877560" cy="7234555"/>
            <wp:effectExtent l="0" t="0" r="8890" b="4445"/>
            <wp:wrapSquare wrapText="bothSides"/>
            <wp:docPr id="2"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16"/>
                    <pic:cNvPicPr>
                      <a:picLocks noChangeAspect="1"/>
                    </pic:cNvPicPr>
                  </pic:nvPicPr>
                  <pic:blipFill>
                    <a:blip r:embed="rId24"/>
                    <a:stretch>
                      <a:fillRect/>
                    </a:stretch>
                  </pic:blipFill>
                  <pic:spPr>
                    <a:xfrm>
                      <a:off x="0" y="0"/>
                      <a:ext cx="5877560" cy="7234555"/>
                    </a:xfrm>
                    <a:prstGeom prst="rect">
                      <a:avLst/>
                    </a:prstGeom>
                    <a:noFill/>
                    <a:ln>
                      <a:noFill/>
                    </a:ln>
                  </pic:spPr>
                </pic:pic>
              </a:graphicData>
            </a:graphic>
          </wp:anchor>
        </w:drawing>
      </w:r>
    </w:p>
    <w:p w14:paraId="382F6628">
      <w:pPr>
        <w:rPr>
          <w:color w:val="auto"/>
          <w:sz w:val="24"/>
        </w:rPr>
      </w:pPr>
    </w:p>
    <w:p w14:paraId="1ACCC2A7">
      <w:pPr>
        <w:rPr>
          <w:color w:val="auto"/>
          <w:sz w:val="24"/>
        </w:rPr>
      </w:pPr>
    </w:p>
    <w:p w14:paraId="19DD2D35">
      <w:pPr>
        <w:rPr>
          <w:color w:val="auto"/>
          <w:sz w:val="24"/>
        </w:rPr>
      </w:pPr>
    </w:p>
    <w:p w14:paraId="7F934CAA">
      <w:pPr>
        <w:rPr>
          <w:color w:val="auto"/>
          <w:sz w:val="24"/>
        </w:rPr>
      </w:pPr>
    </w:p>
    <w:p w14:paraId="4B8BA0E2">
      <w:pPr>
        <w:rPr>
          <w:color w:val="auto"/>
          <w:sz w:val="24"/>
        </w:rPr>
      </w:pPr>
    </w:p>
    <w:p w14:paraId="5C90BFD4">
      <w:pPr>
        <w:rPr>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6DAEA14">
      <w:pPr>
        <w:outlineLvl w:val="0"/>
        <w:rPr>
          <w:color w:val="auto"/>
          <w:sz w:val="24"/>
        </w:rPr>
      </w:pPr>
      <w:r>
        <w:rPr>
          <w:rFonts w:hAnsiTheme="minorEastAsia"/>
          <w:color w:val="auto"/>
          <w:sz w:val="24"/>
        </w:rPr>
        <w:t>附件</w:t>
      </w:r>
      <w:r>
        <w:rPr>
          <w:rFonts w:hint="eastAsia"/>
          <w:color w:val="auto"/>
          <w:sz w:val="24"/>
          <w:lang w:val="en-US" w:eastAsia="zh-CN"/>
        </w:rPr>
        <w:t>3</w:t>
      </w:r>
      <w:r>
        <w:rPr>
          <w:color w:val="auto"/>
          <w:sz w:val="24"/>
        </w:rPr>
        <w:t xml:space="preserve"> </w:t>
      </w:r>
      <w:r>
        <w:rPr>
          <w:rFonts w:hint="eastAsia" w:hAnsiTheme="minorEastAsia"/>
          <w:color w:val="auto"/>
          <w:sz w:val="24"/>
        </w:rPr>
        <w:t>燃料</w:t>
      </w:r>
      <w:r>
        <w:rPr>
          <w:rFonts w:hAnsiTheme="minorEastAsia"/>
          <w:color w:val="auto"/>
          <w:sz w:val="24"/>
        </w:rPr>
        <w:t>分析报告</w:t>
      </w:r>
    </w:p>
    <w:p w14:paraId="7D260E55">
      <w:pPr>
        <w:rPr>
          <w:color w:val="auto"/>
          <w:sz w:val="24"/>
        </w:rPr>
      </w:pPr>
      <w:r>
        <w:rPr>
          <w:color w:val="auto"/>
        </w:rPr>
        <w:drawing>
          <wp:inline distT="0" distB="0" distL="0" distR="0">
            <wp:extent cx="5274310" cy="7800340"/>
            <wp:effectExtent l="19050" t="0" r="2540" b="0"/>
            <wp:docPr id="15" name="图片 1" descr="f2b840a08c2e6cbf33e6ae10c71f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f2b840a08c2e6cbf33e6ae10c71fd27"/>
                    <pic:cNvPicPr>
                      <a:picLocks noChangeAspect="1" noChangeArrowheads="1"/>
                    </pic:cNvPicPr>
                  </pic:nvPicPr>
                  <pic:blipFill>
                    <a:blip r:embed="rId25"/>
                    <a:srcRect t="13625" r="8838" b="10573"/>
                    <a:stretch>
                      <a:fillRect/>
                    </a:stretch>
                  </pic:blipFill>
                  <pic:spPr>
                    <a:xfrm>
                      <a:off x="0" y="0"/>
                      <a:ext cx="5274310" cy="7800885"/>
                    </a:xfrm>
                    <a:prstGeom prst="rect">
                      <a:avLst/>
                    </a:prstGeom>
                    <a:noFill/>
                    <a:ln w="9525">
                      <a:noFill/>
                      <a:miter lim="800000"/>
                      <a:headEnd/>
                      <a:tailEnd/>
                    </a:ln>
                  </pic:spPr>
                </pic:pic>
              </a:graphicData>
            </a:graphic>
          </wp:inline>
        </w:drawing>
      </w:r>
    </w:p>
    <w:p w14:paraId="20061DA0">
      <w:pPr>
        <w:rPr>
          <w:color w:val="auto"/>
          <w:sz w:val="24"/>
        </w:rPr>
      </w:pPr>
    </w:p>
    <w:p w14:paraId="15AE5460">
      <w:pPr>
        <w:rPr>
          <w:color w:val="auto"/>
          <w:sz w:val="24"/>
        </w:rPr>
      </w:pPr>
    </w:p>
    <w:p w14:paraId="76E6FF38">
      <w:pPr>
        <w:rPr>
          <w:color w:val="auto"/>
          <w:sz w:val="24"/>
        </w:rPr>
      </w:pPr>
    </w:p>
    <w:p w14:paraId="532FB6F9">
      <w:pPr>
        <w:outlineLvl w:val="0"/>
        <w:rPr>
          <w:color w:val="auto"/>
          <w:sz w:val="24"/>
        </w:rPr>
      </w:pPr>
      <w:r>
        <w:rPr>
          <w:rFonts w:hAnsiTheme="minorEastAsia"/>
          <w:color w:val="auto"/>
          <w:sz w:val="24"/>
        </w:rPr>
        <w:t>附件</w:t>
      </w:r>
      <w:r>
        <w:rPr>
          <w:rFonts w:hint="eastAsia"/>
          <w:color w:val="auto"/>
          <w:sz w:val="24"/>
          <w:lang w:val="en-US" w:eastAsia="zh-CN"/>
        </w:rPr>
        <w:t>4</w:t>
      </w:r>
      <w:r>
        <w:rPr>
          <w:color w:val="auto"/>
          <w:sz w:val="24"/>
        </w:rPr>
        <w:t xml:space="preserve"> </w:t>
      </w:r>
      <w:r>
        <w:rPr>
          <w:rFonts w:hint="eastAsia" w:hAnsiTheme="minorEastAsia"/>
          <w:color w:val="auto"/>
          <w:sz w:val="24"/>
        </w:rPr>
        <w:t>现状检测</w:t>
      </w:r>
      <w:r>
        <w:rPr>
          <w:rFonts w:hAnsiTheme="minorEastAsia"/>
          <w:color w:val="auto"/>
          <w:sz w:val="24"/>
        </w:rPr>
        <w:t>报告</w:t>
      </w:r>
    </w:p>
    <w:p w14:paraId="1E3A038E">
      <w:pPr>
        <w:rPr>
          <w:color w:val="auto"/>
          <w:sz w:val="24"/>
        </w:rPr>
      </w:pPr>
    </w:p>
    <w:p w14:paraId="544D2FCA">
      <w:pPr>
        <w:rPr>
          <w:color w:val="auto"/>
          <w:sz w:val="24"/>
        </w:rPr>
      </w:pPr>
    </w:p>
    <w:p w14:paraId="443D4FD7">
      <w:pPr>
        <w:rPr>
          <w:color w:val="auto"/>
          <w:sz w:val="24"/>
        </w:rPr>
      </w:pPr>
    </w:p>
    <w:p w14:paraId="1B01E0C6">
      <w:pPr>
        <w:rPr>
          <w:color w:val="auto"/>
          <w:sz w:val="24"/>
        </w:rPr>
      </w:pPr>
    </w:p>
    <w:p w14:paraId="1D2BA1A7">
      <w:pPr>
        <w:rPr>
          <w:color w:val="auto"/>
          <w:sz w:val="24"/>
        </w:rPr>
      </w:pPr>
    </w:p>
    <w:p w14:paraId="66ED2228">
      <w:pPr>
        <w:rPr>
          <w:color w:val="auto"/>
          <w:sz w:val="24"/>
        </w:rPr>
      </w:pPr>
    </w:p>
    <w:p w14:paraId="5427C156">
      <w:pPr>
        <w:rPr>
          <w:color w:val="auto"/>
          <w:sz w:val="24"/>
        </w:rPr>
      </w:pPr>
    </w:p>
    <w:p w14:paraId="78E7D3CC">
      <w:pPr>
        <w:rPr>
          <w:color w:val="auto"/>
          <w:sz w:val="24"/>
        </w:rPr>
      </w:pPr>
    </w:p>
    <w:p w14:paraId="6A47E6A0">
      <w:pPr>
        <w:rPr>
          <w:color w:val="auto"/>
          <w:sz w:val="24"/>
        </w:rPr>
      </w:pPr>
    </w:p>
    <w:p w14:paraId="4E459C53">
      <w:pPr>
        <w:rPr>
          <w:color w:val="auto"/>
          <w:sz w:val="24"/>
        </w:rPr>
      </w:pPr>
    </w:p>
    <w:p w14:paraId="61A501F6">
      <w:pPr>
        <w:rPr>
          <w:color w:val="auto"/>
          <w:sz w:val="24"/>
        </w:rPr>
      </w:pPr>
    </w:p>
    <w:p w14:paraId="095DC629">
      <w:pPr>
        <w:rPr>
          <w:color w:val="auto"/>
          <w:sz w:val="24"/>
        </w:rPr>
      </w:pPr>
    </w:p>
    <w:p w14:paraId="2C173C0E">
      <w:pPr>
        <w:rPr>
          <w:color w:val="auto"/>
          <w:sz w:val="24"/>
        </w:rPr>
      </w:pPr>
    </w:p>
    <w:p w14:paraId="0BB2D697">
      <w:pPr>
        <w:rPr>
          <w:color w:val="auto"/>
          <w:sz w:val="24"/>
        </w:rPr>
      </w:pPr>
    </w:p>
    <w:p w14:paraId="7B9A85E8">
      <w:pPr>
        <w:rPr>
          <w:color w:val="auto"/>
          <w:sz w:val="24"/>
        </w:rPr>
      </w:pPr>
    </w:p>
    <w:p w14:paraId="08E41817">
      <w:pPr>
        <w:rPr>
          <w:color w:val="auto"/>
          <w:sz w:val="24"/>
        </w:rPr>
      </w:pPr>
    </w:p>
    <w:p w14:paraId="13D397B6">
      <w:pPr>
        <w:rPr>
          <w:color w:val="auto"/>
          <w:sz w:val="24"/>
        </w:rPr>
      </w:pPr>
    </w:p>
    <w:p w14:paraId="10C3B0CC">
      <w:pPr>
        <w:rPr>
          <w:color w:val="auto"/>
          <w:sz w:val="24"/>
        </w:rPr>
      </w:pPr>
    </w:p>
    <w:p w14:paraId="5A4F41B4">
      <w:pPr>
        <w:rPr>
          <w:color w:val="auto"/>
          <w:sz w:val="24"/>
        </w:rPr>
      </w:pPr>
    </w:p>
    <w:p w14:paraId="4D6DB2C1">
      <w:pPr>
        <w:rPr>
          <w:color w:val="auto"/>
          <w:sz w:val="24"/>
        </w:rPr>
      </w:pPr>
    </w:p>
    <w:p w14:paraId="5F8E48E1">
      <w:pPr>
        <w:rPr>
          <w:color w:val="auto"/>
          <w:sz w:val="24"/>
        </w:rPr>
      </w:pPr>
    </w:p>
    <w:p w14:paraId="4B783668">
      <w:pPr>
        <w:rPr>
          <w:color w:val="auto"/>
          <w:sz w:val="24"/>
        </w:rPr>
      </w:pPr>
    </w:p>
    <w:p w14:paraId="49531CEF">
      <w:pPr>
        <w:rPr>
          <w:color w:val="auto"/>
          <w:sz w:val="24"/>
        </w:rPr>
      </w:pPr>
    </w:p>
    <w:p w14:paraId="17BA3663">
      <w:pPr>
        <w:rPr>
          <w:color w:val="auto"/>
          <w:sz w:val="24"/>
        </w:rPr>
      </w:pPr>
    </w:p>
    <w:p w14:paraId="036B49D3">
      <w:pPr>
        <w:rPr>
          <w:color w:val="auto"/>
          <w:sz w:val="24"/>
        </w:rPr>
      </w:pPr>
    </w:p>
    <w:p w14:paraId="58366A5E">
      <w:pPr>
        <w:rPr>
          <w:color w:val="auto"/>
          <w:sz w:val="24"/>
        </w:rPr>
      </w:pPr>
    </w:p>
    <w:p w14:paraId="7577919D">
      <w:pPr>
        <w:rPr>
          <w:color w:val="auto"/>
          <w:sz w:val="24"/>
        </w:rPr>
      </w:pPr>
    </w:p>
    <w:p w14:paraId="0087E8A2">
      <w:pPr>
        <w:rPr>
          <w:color w:val="auto"/>
          <w:sz w:val="24"/>
        </w:rPr>
      </w:pPr>
    </w:p>
    <w:p w14:paraId="1CD6854A">
      <w:pPr>
        <w:rPr>
          <w:color w:val="auto"/>
          <w:sz w:val="24"/>
        </w:rPr>
      </w:pPr>
    </w:p>
    <w:p w14:paraId="18CF669D">
      <w:pPr>
        <w:rPr>
          <w:color w:val="auto"/>
          <w:sz w:val="24"/>
        </w:rPr>
      </w:pPr>
    </w:p>
    <w:p w14:paraId="581C91B6">
      <w:pPr>
        <w:rPr>
          <w:color w:val="auto"/>
          <w:sz w:val="24"/>
        </w:rPr>
      </w:pPr>
    </w:p>
    <w:p w14:paraId="6A37E4ED">
      <w:pPr>
        <w:rPr>
          <w:color w:val="auto"/>
          <w:sz w:val="24"/>
        </w:rPr>
      </w:pPr>
    </w:p>
    <w:p w14:paraId="67DDE3F9">
      <w:pPr>
        <w:rPr>
          <w:color w:val="auto"/>
          <w:sz w:val="24"/>
        </w:rPr>
      </w:pPr>
    </w:p>
    <w:p w14:paraId="7F0577FB">
      <w:pPr>
        <w:rPr>
          <w:color w:val="auto"/>
          <w:sz w:val="24"/>
        </w:rPr>
      </w:pPr>
    </w:p>
    <w:p w14:paraId="5BC247C4">
      <w:pPr>
        <w:rPr>
          <w:color w:val="auto"/>
          <w:sz w:val="24"/>
        </w:rPr>
      </w:pPr>
    </w:p>
    <w:p w14:paraId="367CF35D">
      <w:pPr>
        <w:rPr>
          <w:color w:val="auto"/>
          <w:sz w:val="24"/>
        </w:rPr>
      </w:pPr>
    </w:p>
    <w:p w14:paraId="7817FA98">
      <w:pPr>
        <w:rPr>
          <w:color w:val="auto"/>
          <w:sz w:val="24"/>
        </w:rPr>
      </w:pPr>
    </w:p>
    <w:p w14:paraId="04A77297">
      <w:pPr>
        <w:rPr>
          <w:color w:val="auto"/>
          <w:sz w:val="24"/>
        </w:rPr>
      </w:pPr>
    </w:p>
    <w:p w14:paraId="2F5373F2">
      <w:pPr>
        <w:rPr>
          <w:color w:val="auto"/>
          <w:sz w:val="24"/>
        </w:rPr>
      </w:pPr>
    </w:p>
    <w:p w14:paraId="5D8AD5E7">
      <w:pPr>
        <w:rPr>
          <w:color w:val="auto"/>
          <w:sz w:val="24"/>
        </w:rPr>
      </w:pPr>
    </w:p>
    <w:p w14:paraId="31C97735">
      <w:pPr>
        <w:rPr>
          <w:color w:val="auto"/>
          <w:sz w:val="24"/>
        </w:rPr>
      </w:pPr>
    </w:p>
    <w:p w14:paraId="1C6ECAA8">
      <w:pPr>
        <w:rPr>
          <w:color w:val="auto"/>
          <w:sz w:val="24"/>
        </w:rPr>
      </w:pPr>
    </w:p>
    <w:p w14:paraId="78871B77">
      <w:pPr>
        <w:rPr>
          <w:color w:val="auto"/>
          <w:sz w:val="24"/>
        </w:rPr>
      </w:pPr>
    </w:p>
    <w:p w14:paraId="02F41E8E">
      <w:pPr>
        <w:rPr>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A4DA6F7">
      <w:pPr>
        <w:jc w:val="center"/>
        <w:rPr>
          <w:color w:val="auto"/>
        </w:rPr>
      </w:pPr>
      <w:r>
        <w:rPr>
          <w:color w:val="auto"/>
          <w:sz w:val="21"/>
        </w:rPr>
        <w:pict>
          <v:shape id="_x0000_s2290" o:spid="_x0000_s2290" o:spt="61" type="#_x0000_t61" style="position:absolute;left:0pt;margin-left:261.75pt;margin-top:139.8pt;height:27.75pt;width:80.25pt;z-index:251673600;mso-width-relative:page;mso-height-relative:page;" fillcolor="#FFFFFF" filled="t" stroked="t" coordsize="21600,21600" adj="-6728,28839">
            <v:path/>
            <v:fill on="t" color2="#FFFFFF" focussize="0,0"/>
            <v:stroke color="#000000"/>
            <v:imagedata o:title=""/>
            <o:lock v:ext="edit" aspectratio="f"/>
            <v:textbox>
              <w:txbxContent>
                <w:p w14:paraId="2898A3A8">
                  <w:pPr>
                    <w:rPr>
                      <w:rFonts w:hint="default" w:eastAsia="宋体"/>
                      <w:lang w:val="en-US" w:eastAsia="zh-CN"/>
                    </w:rPr>
                  </w:pPr>
                  <w:r>
                    <w:rPr>
                      <w:rFonts w:hint="eastAsia"/>
                      <w:lang w:val="en-US" w:eastAsia="zh-CN"/>
                    </w:rPr>
                    <w:t>本项目</w:t>
                  </w:r>
                </w:p>
              </w:txbxContent>
            </v:textbox>
          </v:shape>
        </w:pict>
      </w:r>
      <w:r>
        <w:rPr>
          <w:rFonts w:hint="eastAsia" w:ascii="华文中宋" w:hAnsi="华文中宋" w:eastAsia="华文中宋" w:cs="华文中宋"/>
          <w:b/>
          <w:bCs/>
          <w:color w:val="auto"/>
          <w:lang w:eastAsia="zh-CN"/>
        </w:rPr>
        <w:drawing>
          <wp:anchor distT="0" distB="0" distL="114300" distR="114300" simplePos="0" relativeHeight="251674624" behindDoc="0" locked="0" layoutInCell="1" allowOverlap="1">
            <wp:simplePos x="0" y="0"/>
            <wp:positionH relativeFrom="column">
              <wp:posOffset>4912995</wp:posOffset>
            </wp:positionH>
            <wp:positionV relativeFrom="paragraph">
              <wp:posOffset>92710</wp:posOffset>
            </wp:positionV>
            <wp:extent cx="790575" cy="757555"/>
            <wp:effectExtent l="0" t="0" r="9525" b="4445"/>
            <wp:wrapNone/>
            <wp:docPr id="23" name="图片 23" descr="17136895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3689577780"/>
                    <pic:cNvPicPr>
                      <a:picLocks noChangeAspect="1"/>
                    </pic:cNvPicPr>
                  </pic:nvPicPr>
                  <pic:blipFill>
                    <a:blip r:embed="rId26"/>
                    <a:stretch>
                      <a:fillRect/>
                    </a:stretch>
                  </pic:blipFill>
                  <pic:spPr>
                    <a:xfrm>
                      <a:off x="0" y="0"/>
                      <a:ext cx="790575" cy="757555"/>
                    </a:xfrm>
                    <a:prstGeom prst="rect">
                      <a:avLst/>
                    </a:prstGeom>
                    <a:noFill/>
                    <a:ln>
                      <a:noFill/>
                    </a:ln>
                  </pic:spPr>
                </pic:pic>
              </a:graphicData>
            </a:graphic>
          </wp:anchor>
        </w:drawing>
      </w:r>
      <w:r>
        <w:rPr>
          <w:color w:val="auto"/>
        </w:rPr>
        <w:drawing>
          <wp:inline distT="0" distB="0" distL="114300" distR="114300">
            <wp:extent cx="5487035" cy="5692775"/>
            <wp:effectExtent l="0" t="0" r="18415" b="3175"/>
            <wp:docPr id="7" name="图片 7" descr="173009288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0092880248"/>
                    <pic:cNvPicPr>
                      <a:picLocks noChangeAspect="1"/>
                    </pic:cNvPicPr>
                  </pic:nvPicPr>
                  <pic:blipFill>
                    <a:blip r:embed="rId27"/>
                    <a:stretch>
                      <a:fillRect/>
                    </a:stretch>
                  </pic:blipFill>
                  <pic:spPr>
                    <a:xfrm>
                      <a:off x="0" y="0"/>
                      <a:ext cx="5487035" cy="5692775"/>
                    </a:xfrm>
                    <a:prstGeom prst="rect">
                      <a:avLst/>
                    </a:prstGeom>
                  </pic:spPr>
                </pic:pic>
              </a:graphicData>
            </a:graphic>
          </wp:inline>
        </w:drawing>
      </w:r>
    </w:p>
    <w:p w14:paraId="50DE1FBE">
      <w:pPr>
        <w:spacing w:line="360" w:lineRule="auto"/>
        <w:jc w:val="center"/>
        <w:rPr>
          <w:b/>
          <w:color w:val="auto"/>
          <w:sz w:val="24"/>
        </w:rPr>
        <w:sectPr>
          <w:pgSz w:w="11906" w:h="16838"/>
          <w:pgMar w:top="1440" w:right="1236" w:bottom="1440" w:left="1236" w:header="851" w:footer="992" w:gutter="0"/>
          <w:pgBorders>
            <w:top w:val="none" w:sz="0" w:space="0"/>
            <w:left w:val="none" w:sz="0" w:space="0"/>
            <w:bottom w:val="none" w:sz="0" w:space="0"/>
            <w:right w:val="none" w:sz="0" w:space="0"/>
          </w:pgBorders>
          <w:cols w:space="0" w:num="1"/>
          <w:docGrid w:type="lines" w:linePitch="319" w:charSpace="0"/>
        </w:sectPr>
      </w:pPr>
      <w:r>
        <w:rPr>
          <w:b/>
          <w:color w:val="auto"/>
          <w:sz w:val="24"/>
        </w:rPr>
        <w:t>附图1 项目地理位置图</w:t>
      </w:r>
    </w:p>
    <w:p w14:paraId="448A1B78">
      <w:pPr>
        <w:spacing w:line="360" w:lineRule="auto"/>
        <w:jc w:val="center"/>
        <w:rPr>
          <w:rFonts w:hint="eastAsia" w:eastAsia="宋体"/>
          <w:color w:val="auto"/>
          <w:sz w:val="24"/>
          <w:lang w:eastAsia="zh-CN"/>
        </w:rPr>
      </w:pPr>
      <w:r>
        <w:rPr>
          <w:rFonts w:hint="eastAsia" w:eastAsia="宋体"/>
          <w:color w:val="auto"/>
          <w:sz w:val="24"/>
          <w:lang w:eastAsia="zh-CN"/>
        </w:rPr>
        <w:drawing>
          <wp:anchor distT="0" distB="0" distL="114300" distR="114300" simplePos="0" relativeHeight="251672576" behindDoc="0" locked="0" layoutInCell="1" allowOverlap="1">
            <wp:simplePos x="0" y="0"/>
            <wp:positionH relativeFrom="column">
              <wp:posOffset>2193290</wp:posOffset>
            </wp:positionH>
            <wp:positionV relativeFrom="paragraph">
              <wp:posOffset>812800</wp:posOffset>
            </wp:positionV>
            <wp:extent cx="238125" cy="200025"/>
            <wp:effectExtent l="0" t="0" r="9525" b="9525"/>
            <wp:wrapNone/>
            <wp:docPr id="22" name="图片 22" descr="173009712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0097128890"/>
                    <pic:cNvPicPr>
                      <a:picLocks noChangeAspect="1"/>
                    </pic:cNvPicPr>
                  </pic:nvPicPr>
                  <pic:blipFill>
                    <a:blip r:embed="rId28"/>
                    <a:stretch>
                      <a:fillRect/>
                    </a:stretch>
                  </pic:blipFill>
                  <pic:spPr>
                    <a:xfrm>
                      <a:off x="0" y="0"/>
                      <a:ext cx="238125" cy="200025"/>
                    </a:xfrm>
                    <a:prstGeom prst="rect">
                      <a:avLst/>
                    </a:prstGeom>
                  </pic:spPr>
                </pic:pic>
              </a:graphicData>
            </a:graphic>
          </wp:anchor>
        </w:drawing>
      </w:r>
      <w:r>
        <w:rPr>
          <w:color w:val="auto"/>
          <w:sz w:val="24"/>
        </w:rPr>
        <w:pict>
          <v:line id="_x0000_s2288" o:spid="_x0000_s2288" o:spt="20" style="position:absolute;left:0pt;flip:x y;margin-left:183.6pt;margin-top:54.6pt;height:57.75pt;width:32.25pt;z-index:251672576;mso-width-relative:page;mso-height-relative:page;" fillcolor="#FFFFFF" filled="t" stroked="t" coordsize="21600,21600">
            <v:path arrowok="t"/>
            <v:fill on="t" color2="#FFFFFF" focussize="0,0"/>
            <v:stroke color="#000000" endarrow="open"/>
            <v:imagedata o:title=""/>
            <o:lock v:ext="edit" aspectratio="f"/>
          </v:line>
        </w:pict>
      </w:r>
      <w:r>
        <w:rPr>
          <w:rFonts w:hint="eastAsia" w:eastAsia="宋体"/>
          <w:color w:val="auto"/>
          <w:sz w:val="24"/>
          <w:lang w:eastAsia="zh-CN"/>
        </w:rPr>
        <w:drawing>
          <wp:inline distT="0" distB="0" distL="114300" distR="114300">
            <wp:extent cx="5877560" cy="5579745"/>
            <wp:effectExtent l="0" t="0" r="8890" b="1905"/>
            <wp:docPr id="21" name="图片 21" descr="173009705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0097051407"/>
                    <pic:cNvPicPr>
                      <a:picLocks noChangeAspect="1"/>
                    </pic:cNvPicPr>
                  </pic:nvPicPr>
                  <pic:blipFill>
                    <a:blip r:embed="rId29"/>
                    <a:stretch>
                      <a:fillRect/>
                    </a:stretch>
                  </pic:blipFill>
                  <pic:spPr>
                    <a:xfrm>
                      <a:off x="0" y="0"/>
                      <a:ext cx="5877560" cy="5579745"/>
                    </a:xfrm>
                    <a:prstGeom prst="rect">
                      <a:avLst/>
                    </a:prstGeom>
                  </pic:spPr>
                </pic:pic>
              </a:graphicData>
            </a:graphic>
          </wp:inline>
        </w:drawing>
      </w:r>
    </w:p>
    <w:p w14:paraId="588D2988">
      <w:pPr>
        <w:spacing w:line="360" w:lineRule="auto"/>
        <w:jc w:val="center"/>
        <w:rPr>
          <w:b/>
          <w:color w:val="auto"/>
          <w:sz w:val="24"/>
        </w:rPr>
      </w:pPr>
      <w:r>
        <w:rPr>
          <w:rFonts w:hint="eastAsia"/>
          <w:b/>
          <w:color w:val="auto"/>
          <w:sz w:val="24"/>
        </w:rPr>
        <w:t>附图2项目平面布置图</w:t>
      </w:r>
    </w:p>
    <w:p w14:paraId="1275D6E2">
      <w:pPr>
        <w:spacing w:line="360" w:lineRule="auto"/>
        <w:rPr>
          <w:color w:val="auto"/>
          <w:sz w:val="24"/>
        </w:rPr>
        <w:sectPr>
          <w:pgSz w:w="16838" w:h="11906" w:orient="landscape"/>
          <w:pgMar w:top="1236" w:right="1440" w:bottom="1236" w:left="1440" w:header="851" w:footer="992" w:gutter="0"/>
          <w:pgBorders>
            <w:top w:val="none" w:sz="0" w:space="0"/>
            <w:left w:val="none" w:sz="0" w:space="0"/>
            <w:bottom w:val="none" w:sz="0" w:space="0"/>
            <w:right w:val="none" w:sz="0" w:space="0"/>
          </w:pgBorders>
          <w:cols w:space="0" w:num="1"/>
          <w:docGrid w:type="lines" w:linePitch="319" w:charSpace="0"/>
        </w:sectPr>
      </w:pPr>
    </w:p>
    <w:p w14:paraId="43479534">
      <w:pPr>
        <w:spacing w:line="360" w:lineRule="auto"/>
        <w:jc w:val="left"/>
        <w:rPr>
          <w:b/>
          <w:color w:val="auto"/>
          <w:sz w:val="24"/>
        </w:rPr>
      </w:pPr>
      <w:r>
        <w:rPr>
          <w:rFonts w:hint="eastAsia"/>
          <w:b/>
          <w:color w:val="auto"/>
          <w:sz w:val="24"/>
        </w:rPr>
        <w:t xml:space="preserve">             </w:t>
      </w:r>
      <w:r>
        <w:rPr>
          <w:rFonts w:hint="eastAsia"/>
          <w:color w:val="auto"/>
          <w:lang w:val="en-US" w:eastAsia="zh-CN"/>
        </w:rPr>
        <w:drawing>
          <wp:anchor distT="0" distB="0" distL="114300" distR="114300" simplePos="0" relativeHeight="251668480" behindDoc="0" locked="0" layoutInCell="1" allowOverlap="1">
            <wp:simplePos x="0" y="0"/>
            <wp:positionH relativeFrom="column">
              <wp:posOffset>92075</wp:posOffset>
            </wp:positionH>
            <wp:positionV relativeFrom="paragraph">
              <wp:posOffset>205105</wp:posOffset>
            </wp:positionV>
            <wp:extent cx="2741295" cy="1824990"/>
            <wp:effectExtent l="0" t="0" r="1905" b="3810"/>
            <wp:wrapSquare wrapText="bothSides"/>
            <wp:docPr id="8" name="图片 819" descr="IMG_20240326_075100776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19" descr="IMG_20240326_075100776_original"/>
                    <pic:cNvPicPr>
                      <a:picLocks noChangeAspect="1"/>
                    </pic:cNvPicPr>
                  </pic:nvPicPr>
                  <pic:blipFill>
                    <a:blip r:embed="rId30"/>
                    <a:stretch>
                      <a:fillRect/>
                    </a:stretch>
                  </pic:blipFill>
                  <pic:spPr>
                    <a:xfrm>
                      <a:off x="0" y="0"/>
                      <a:ext cx="2741295" cy="1824990"/>
                    </a:xfrm>
                    <a:prstGeom prst="rect">
                      <a:avLst/>
                    </a:prstGeom>
                    <a:noFill/>
                    <a:ln>
                      <a:noFill/>
                    </a:ln>
                  </pic:spPr>
                </pic:pic>
              </a:graphicData>
            </a:graphic>
          </wp:anchor>
        </w:drawing>
      </w:r>
    </w:p>
    <w:p w14:paraId="553B7494">
      <w:pPr>
        <w:spacing w:line="360" w:lineRule="auto"/>
        <w:jc w:val="left"/>
        <w:rPr>
          <w:rFonts w:hint="eastAsia"/>
          <w:bCs/>
          <w:color w:val="auto"/>
          <w:kern w:val="0"/>
          <w:sz w:val="24"/>
          <w:szCs w:val="21"/>
        </w:rPr>
      </w:pPr>
      <w:r>
        <w:rPr>
          <w:rFonts w:hint="eastAsia"/>
          <w:color w:val="auto"/>
          <w:lang w:val="en-US" w:eastAsia="zh-CN"/>
        </w:rPr>
        <w:drawing>
          <wp:anchor distT="0" distB="0" distL="114300" distR="114300" simplePos="0" relativeHeight="251669504" behindDoc="0" locked="0" layoutInCell="1" allowOverlap="1">
            <wp:simplePos x="0" y="0"/>
            <wp:positionH relativeFrom="column">
              <wp:posOffset>1355090</wp:posOffset>
            </wp:positionH>
            <wp:positionV relativeFrom="paragraph">
              <wp:posOffset>20320</wp:posOffset>
            </wp:positionV>
            <wp:extent cx="2618105" cy="1739265"/>
            <wp:effectExtent l="0" t="0" r="10795" b="13335"/>
            <wp:wrapSquare wrapText="bothSides"/>
            <wp:docPr id="13" name="图片 820" descr="IMG_20240326_074503516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20" descr="IMG_20240326_074503516_original"/>
                    <pic:cNvPicPr>
                      <a:picLocks noChangeAspect="1"/>
                    </pic:cNvPicPr>
                  </pic:nvPicPr>
                  <pic:blipFill>
                    <a:blip r:embed="rId31"/>
                    <a:stretch>
                      <a:fillRect/>
                    </a:stretch>
                  </pic:blipFill>
                  <pic:spPr>
                    <a:xfrm>
                      <a:off x="0" y="0"/>
                      <a:ext cx="2618105" cy="1739265"/>
                    </a:xfrm>
                    <a:prstGeom prst="rect">
                      <a:avLst/>
                    </a:prstGeom>
                    <a:noFill/>
                    <a:ln>
                      <a:noFill/>
                    </a:ln>
                  </pic:spPr>
                </pic:pic>
              </a:graphicData>
            </a:graphic>
          </wp:anchor>
        </w:drawing>
      </w:r>
      <w:r>
        <w:rPr>
          <w:rFonts w:hint="eastAsia"/>
          <w:bCs/>
          <w:color w:val="auto"/>
          <w:kern w:val="0"/>
          <w:sz w:val="24"/>
          <w:szCs w:val="21"/>
        </w:rPr>
        <w:t xml:space="preserve">                </w:t>
      </w:r>
    </w:p>
    <w:p w14:paraId="5CAF0F70">
      <w:pPr>
        <w:spacing w:line="360" w:lineRule="auto"/>
        <w:jc w:val="left"/>
        <w:rPr>
          <w:rFonts w:hint="eastAsia"/>
          <w:bCs/>
          <w:color w:val="auto"/>
          <w:kern w:val="0"/>
          <w:sz w:val="24"/>
          <w:szCs w:val="21"/>
        </w:rPr>
      </w:pPr>
    </w:p>
    <w:p w14:paraId="52F36E12">
      <w:pPr>
        <w:spacing w:line="360" w:lineRule="auto"/>
        <w:jc w:val="left"/>
        <w:rPr>
          <w:rFonts w:hint="eastAsia"/>
          <w:bCs/>
          <w:color w:val="auto"/>
          <w:kern w:val="0"/>
          <w:sz w:val="24"/>
          <w:szCs w:val="21"/>
        </w:rPr>
      </w:pPr>
    </w:p>
    <w:p w14:paraId="5DD607BF">
      <w:pPr>
        <w:spacing w:line="360" w:lineRule="auto"/>
        <w:jc w:val="left"/>
        <w:rPr>
          <w:rFonts w:hint="eastAsia"/>
          <w:bCs/>
          <w:color w:val="auto"/>
          <w:kern w:val="0"/>
          <w:sz w:val="24"/>
          <w:szCs w:val="21"/>
        </w:rPr>
      </w:pPr>
    </w:p>
    <w:p w14:paraId="7C182B8C">
      <w:pPr>
        <w:spacing w:line="360" w:lineRule="auto"/>
        <w:jc w:val="left"/>
        <w:rPr>
          <w:rFonts w:hint="eastAsia"/>
          <w:bCs/>
          <w:color w:val="auto"/>
          <w:kern w:val="0"/>
          <w:sz w:val="24"/>
          <w:szCs w:val="21"/>
        </w:rPr>
      </w:pPr>
    </w:p>
    <w:p w14:paraId="6F5CB863">
      <w:pPr>
        <w:spacing w:line="360" w:lineRule="auto"/>
        <w:jc w:val="left"/>
        <w:rPr>
          <w:rFonts w:hint="eastAsia"/>
          <w:bCs/>
          <w:color w:val="auto"/>
          <w:kern w:val="0"/>
          <w:sz w:val="24"/>
          <w:szCs w:val="21"/>
        </w:rPr>
      </w:pPr>
    </w:p>
    <w:p w14:paraId="74356EC3">
      <w:pPr>
        <w:pStyle w:val="9"/>
        <w:ind w:firstLine="960" w:firstLineChars="400"/>
        <w:rPr>
          <w:rFonts w:hint="default" w:eastAsia="宋体"/>
          <w:color w:val="auto"/>
          <w:lang w:val="en-US" w:eastAsia="zh-CN"/>
        </w:rPr>
      </w:pPr>
      <w:r>
        <w:rPr>
          <w:rFonts w:hint="eastAsia"/>
          <w:bCs/>
          <w:color w:val="auto"/>
          <w:kern w:val="0"/>
          <w:sz w:val="24"/>
          <w:szCs w:val="21"/>
        </w:rPr>
        <w:t>东侧</w:t>
      </w:r>
      <w:r>
        <w:rPr>
          <w:rFonts w:hint="eastAsia"/>
          <w:bCs/>
          <w:color w:val="auto"/>
          <w:kern w:val="0"/>
          <w:sz w:val="24"/>
          <w:szCs w:val="21"/>
          <w:lang w:val="en-US" w:eastAsia="zh-CN"/>
        </w:rPr>
        <w:t xml:space="preserve">                                                        </w:t>
      </w:r>
      <w:r>
        <w:rPr>
          <w:rFonts w:hint="eastAsia"/>
          <w:bCs/>
          <w:color w:val="auto"/>
          <w:kern w:val="0"/>
          <w:sz w:val="24"/>
          <w:szCs w:val="21"/>
        </w:rPr>
        <w:t>南侧</w:t>
      </w:r>
    </w:p>
    <w:p w14:paraId="71AB991C">
      <w:pPr>
        <w:spacing w:line="360" w:lineRule="auto"/>
        <w:ind w:firstLine="630" w:firstLineChars="300"/>
        <w:jc w:val="left"/>
        <w:rPr>
          <w:bCs/>
          <w:color w:val="auto"/>
          <w:kern w:val="0"/>
          <w:sz w:val="24"/>
          <w:szCs w:val="21"/>
        </w:rPr>
      </w:pPr>
      <w:r>
        <w:rPr>
          <w:rFonts w:hint="eastAsia"/>
          <w:color w:val="auto"/>
          <w:lang w:val="en-US" w:eastAsia="zh-CN"/>
        </w:rPr>
        <w:drawing>
          <wp:anchor distT="0" distB="0" distL="114300" distR="114300" simplePos="0" relativeHeight="251671552" behindDoc="0" locked="0" layoutInCell="1" allowOverlap="1">
            <wp:simplePos x="0" y="0"/>
            <wp:positionH relativeFrom="column">
              <wp:posOffset>4271010</wp:posOffset>
            </wp:positionH>
            <wp:positionV relativeFrom="paragraph">
              <wp:posOffset>179705</wp:posOffset>
            </wp:positionV>
            <wp:extent cx="2554605" cy="1969770"/>
            <wp:effectExtent l="0" t="0" r="17145" b="11430"/>
            <wp:wrapSquare wrapText="bothSides"/>
            <wp:docPr id="19" name="图片 825" descr="IMG_20240326_07395782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5" descr="IMG_20240326_073957823_original"/>
                    <pic:cNvPicPr>
                      <a:picLocks noChangeAspect="1"/>
                    </pic:cNvPicPr>
                  </pic:nvPicPr>
                  <pic:blipFill>
                    <a:blip r:embed="rId32"/>
                    <a:stretch>
                      <a:fillRect/>
                    </a:stretch>
                  </pic:blipFill>
                  <pic:spPr>
                    <a:xfrm>
                      <a:off x="0" y="0"/>
                      <a:ext cx="2554605" cy="1969770"/>
                    </a:xfrm>
                    <a:prstGeom prst="rect">
                      <a:avLst/>
                    </a:prstGeom>
                    <a:noFill/>
                    <a:ln>
                      <a:noFill/>
                    </a:ln>
                  </pic:spPr>
                </pic:pic>
              </a:graphicData>
            </a:graphic>
          </wp:anchor>
        </w:drawing>
      </w:r>
      <w:r>
        <w:rPr>
          <w:rFonts w:hint="eastAsia"/>
          <w:bCs/>
          <w:color w:val="auto"/>
          <w:kern w:val="0"/>
          <w:sz w:val="24"/>
          <w:szCs w:val="21"/>
        </w:rPr>
        <w:t xml:space="preserve">                                             </w:t>
      </w:r>
    </w:p>
    <w:p w14:paraId="32DE021C">
      <w:pPr>
        <w:spacing w:line="360" w:lineRule="auto"/>
        <w:jc w:val="left"/>
        <w:rPr>
          <w:rFonts w:hint="eastAsia"/>
          <w:b/>
          <w:color w:val="auto"/>
          <w:sz w:val="24"/>
        </w:rPr>
      </w:pPr>
      <w:r>
        <w:rPr>
          <w:rFonts w:hint="eastAsia"/>
          <w:b/>
          <w:color w:val="auto"/>
          <w:sz w:val="24"/>
        </w:rPr>
        <w:t xml:space="preserve">             </w:t>
      </w:r>
    </w:p>
    <w:p w14:paraId="3742D6B6">
      <w:pPr>
        <w:pStyle w:val="9"/>
        <w:rPr>
          <w:rFonts w:hint="eastAsia"/>
          <w:b/>
          <w:color w:val="auto"/>
          <w:sz w:val="24"/>
        </w:rPr>
      </w:pPr>
    </w:p>
    <w:p w14:paraId="4251FBC6">
      <w:pPr>
        <w:rPr>
          <w:rFonts w:hint="eastAsia"/>
          <w:b/>
          <w:color w:val="auto"/>
          <w:sz w:val="24"/>
        </w:rPr>
      </w:pPr>
    </w:p>
    <w:p w14:paraId="69EAA08D">
      <w:pPr>
        <w:pStyle w:val="9"/>
        <w:rPr>
          <w:rFonts w:hint="eastAsia"/>
          <w:b/>
          <w:color w:val="auto"/>
          <w:sz w:val="24"/>
        </w:rPr>
      </w:pPr>
      <w:r>
        <w:rPr>
          <w:rFonts w:hint="eastAsia"/>
          <w:color w:val="auto"/>
          <w:lang w:val="en-US" w:eastAsia="zh-CN"/>
        </w:rPr>
        <w:drawing>
          <wp:anchor distT="0" distB="0" distL="114300" distR="114300" simplePos="0" relativeHeight="251670528" behindDoc="0" locked="0" layoutInCell="1" allowOverlap="1">
            <wp:simplePos x="0" y="0"/>
            <wp:positionH relativeFrom="column">
              <wp:posOffset>142240</wp:posOffset>
            </wp:positionH>
            <wp:positionV relativeFrom="paragraph">
              <wp:posOffset>-981710</wp:posOffset>
            </wp:positionV>
            <wp:extent cx="2731135" cy="1931670"/>
            <wp:effectExtent l="0" t="0" r="12065" b="11430"/>
            <wp:wrapSquare wrapText="bothSides"/>
            <wp:docPr id="18" name="图片 824" descr="IMG_20240326_07515527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24" descr="IMG_20240326_075155273_original"/>
                    <pic:cNvPicPr>
                      <a:picLocks noChangeAspect="1"/>
                    </pic:cNvPicPr>
                  </pic:nvPicPr>
                  <pic:blipFill>
                    <a:blip r:embed="rId33"/>
                    <a:stretch>
                      <a:fillRect/>
                    </a:stretch>
                  </pic:blipFill>
                  <pic:spPr>
                    <a:xfrm>
                      <a:off x="0" y="0"/>
                      <a:ext cx="2731135" cy="1931670"/>
                    </a:xfrm>
                    <a:prstGeom prst="rect">
                      <a:avLst/>
                    </a:prstGeom>
                    <a:noFill/>
                    <a:ln>
                      <a:noFill/>
                    </a:ln>
                  </pic:spPr>
                </pic:pic>
              </a:graphicData>
            </a:graphic>
          </wp:anchor>
        </w:drawing>
      </w:r>
    </w:p>
    <w:p w14:paraId="755C8E2E">
      <w:pPr>
        <w:rPr>
          <w:color w:val="auto"/>
        </w:rPr>
      </w:pPr>
    </w:p>
    <w:p w14:paraId="4674A37E">
      <w:pPr>
        <w:spacing w:line="360" w:lineRule="auto"/>
        <w:jc w:val="left"/>
        <w:rPr>
          <w:rFonts w:hint="eastAsia"/>
          <w:bCs/>
          <w:color w:val="auto"/>
          <w:kern w:val="0"/>
          <w:sz w:val="24"/>
          <w:szCs w:val="21"/>
        </w:rPr>
      </w:pPr>
      <w:r>
        <w:rPr>
          <w:rFonts w:hint="eastAsia"/>
          <w:bCs/>
          <w:color w:val="auto"/>
          <w:kern w:val="0"/>
          <w:sz w:val="24"/>
          <w:szCs w:val="21"/>
        </w:rPr>
        <w:t xml:space="preserve">                      </w:t>
      </w:r>
    </w:p>
    <w:p w14:paraId="3382999F">
      <w:pPr>
        <w:spacing w:line="360" w:lineRule="auto"/>
        <w:ind w:firstLine="720" w:firstLineChars="300"/>
        <w:jc w:val="left"/>
        <w:rPr>
          <w:rFonts w:hint="eastAsia"/>
          <w:bCs/>
          <w:color w:val="auto"/>
          <w:kern w:val="0"/>
          <w:sz w:val="24"/>
          <w:szCs w:val="21"/>
        </w:rPr>
      </w:pPr>
    </w:p>
    <w:p w14:paraId="69336D6F">
      <w:pPr>
        <w:spacing w:line="360" w:lineRule="auto"/>
        <w:ind w:firstLine="720" w:firstLineChars="300"/>
        <w:jc w:val="left"/>
        <w:rPr>
          <w:rFonts w:hint="eastAsia" w:eastAsia="宋体"/>
          <w:bCs/>
          <w:color w:val="auto"/>
          <w:kern w:val="0"/>
          <w:sz w:val="24"/>
          <w:szCs w:val="21"/>
          <w:lang w:eastAsia="zh-CN"/>
        </w:rPr>
      </w:pPr>
      <w:r>
        <w:rPr>
          <w:rFonts w:hint="eastAsia"/>
          <w:bCs/>
          <w:color w:val="auto"/>
          <w:kern w:val="0"/>
          <w:sz w:val="24"/>
          <w:szCs w:val="21"/>
          <w:lang w:val="en-US" w:eastAsia="zh-CN"/>
        </w:rPr>
        <w:t>北</w:t>
      </w:r>
      <w:r>
        <w:rPr>
          <w:rFonts w:hint="eastAsia"/>
          <w:bCs/>
          <w:color w:val="auto"/>
          <w:kern w:val="0"/>
          <w:sz w:val="24"/>
          <w:szCs w:val="21"/>
        </w:rPr>
        <w:t xml:space="preserve">侧                                               </w:t>
      </w:r>
      <w:r>
        <w:rPr>
          <w:rFonts w:hint="eastAsia"/>
          <w:bCs/>
          <w:color w:val="auto"/>
          <w:kern w:val="0"/>
          <w:sz w:val="24"/>
          <w:szCs w:val="21"/>
          <w:lang w:val="en-US" w:eastAsia="zh-CN"/>
        </w:rPr>
        <w:t xml:space="preserve">             西</w:t>
      </w:r>
      <w:r>
        <w:rPr>
          <w:rFonts w:hint="eastAsia"/>
          <w:bCs/>
          <w:color w:val="auto"/>
          <w:kern w:val="0"/>
          <w:sz w:val="24"/>
          <w:szCs w:val="21"/>
        </w:rPr>
        <w:t>侧</w:t>
      </w:r>
    </w:p>
    <w:p w14:paraId="18DAA140">
      <w:pPr>
        <w:spacing w:line="360" w:lineRule="auto"/>
        <w:jc w:val="center"/>
        <w:rPr>
          <w:b/>
          <w:bCs/>
          <w:color w:val="auto"/>
          <w:kern w:val="0"/>
          <w:sz w:val="24"/>
          <w:szCs w:val="21"/>
        </w:rPr>
      </w:pPr>
      <w:r>
        <w:rPr>
          <w:b/>
          <w:bCs/>
          <w:color w:val="auto"/>
          <w:kern w:val="0"/>
          <w:sz w:val="24"/>
          <w:szCs w:val="21"/>
        </w:rPr>
        <w:t>附图</w:t>
      </w:r>
      <w:r>
        <w:rPr>
          <w:rFonts w:hint="eastAsia"/>
          <w:b/>
          <w:bCs/>
          <w:color w:val="auto"/>
          <w:kern w:val="0"/>
          <w:sz w:val="24"/>
          <w:szCs w:val="21"/>
        </w:rPr>
        <w:t>3</w:t>
      </w:r>
      <w:r>
        <w:rPr>
          <w:b/>
          <w:bCs/>
          <w:color w:val="auto"/>
          <w:kern w:val="0"/>
          <w:sz w:val="24"/>
          <w:szCs w:val="21"/>
        </w:rPr>
        <w:t xml:space="preserve"> </w:t>
      </w:r>
      <w:r>
        <w:rPr>
          <w:rFonts w:hint="eastAsia"/>
          <w:b/>
          <w:bCs/>
          <w:color w:val="auto"/>
          <w:kern w:val="0"/>
          <w:sz w:val="24"/>
          <w:szCs w:val="21"/>
        </w:rPr>
        <w:t>本项目</w:t>
      </w:r>
      <w:r>
        <w:rPr>
          <w:b/>
          <w:bCs/>
          <w:color w:val="auto"/>
          <w:kern w:val="0"/>
          <w:sz w:val="24"/>
          <w:szCs w:val="21"/>
        </w:rPr>
        <w:t>四周情况图</w:t>
      </w:r>
    </w:p>
    <w:p w14:paraId="0F09CDC5">
      <w:pPr>
        <w:spacing w:line="360" w:lineRule="auto"/>
        <w:contextualSpacing/>
        <w:jc w:val="center"/>
        <w:rPr>
          <w:rFonts w:hAnsi="宋体"/>
          <w:b/>
          <w:color w:val="auto"/>
          <w:sz w:val="24"/>
        </w:rPr>
      </w:pPr>
      <w:r>
        <w:rPr>
          <w:rFonts w:hAnsi="宋体"/>
          <w:b/>
          <w:color w:val="auto"/>
          <w:sz w:val="24"/>
        </w:rPr>
        <w:pict>
          <v:rect id="_x0000_s2291" o:spid="_x0000_s2291" o:spt="1" style="position:absolute;left:0pt;margin-left:481pt;margin-top:423.95pt;height:18.8pt;width:163.85pt;z-index:251665408;mso-width-relative:page;mso-height-relative:page;" stroked="t" coordsize="21600,21600">
            <v:path/>
            <v:fill focussize="0,0"/>
            <v:stroke color="#FFFFFF"/>
            <v:imagedata o:title=""/>
            <o:lock v:ext="edit"/>
          </v:rect>
        </w:pict>
      </w:r>
    </w:p>
    <w:sectPr>
      <w:pgSz w:w="16838" w:h="11906" w:orient="landscape"/>
      <w:pgMar w:top="1236" w:right="1440" w:bottom="1236" w:left="1440" w:header="851" w:footer="992" w:gutter="0"/>
      <w:pgBorders>
        <w:top w:val="none" w:sz="0" w:space="0"/>
        <w:left w:val="none" w:sz="0" w:space="0"/>
        <w:bottom w:val="none" w:sz="0" w:space="0"/>
        <w:right w:val="none" w:sz="0" w:space="0"/>
      </w:pgBorders>
      <w:cols w:space="0" w:num="1"/>
      <w:docGrid w:type="lines" w:linePitch="319" w:charSpace="0"/>
    </w:sectPr>
  </w:body>
</w:document>
</file>